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057F8" w14:textId="65326D56" w:rsidR="00BE7BFA" w:rsidRDefault="00BE7BFA" w:rsidP="004C7971">
      <w:pPr>
        <w:pStyle w:val="authorline"/>
        <w:spacing w:line="360" w:lineRule="auto"/>
        <w:rPr>
          <w:rFonts w:ascii="TimesNewRomanPS-BoldMT" w:hAnsi="TimesNewRomanPS-BoldMT" w:cs="TimesNewRomanPS-BoldMT"/>
          <w:b/>
          <w:bCs/>
          <w:sz w:val="34"/>
          <w:szCs w:val="34"/>
        </w:rPr>
      </w:pPr>
      <w:r w:rsidRPr="00BE7BFA">
        <w:rPr>
          <w:b/>
          <w:sz w:val="32"/>
          <w:szCs w:val="32"/>
        </w:rPr>
        <w:t>Human-Digital Twins: Enabling Technologies, Applications, and in the Era of Industry 5.0</w:t>
      </w:r>
    </w:p>
    <w:p w14:paraId="33738F1B" w14:textId="2038B2AB" w:rsidR="001C77E0" w:rsidRPr="00953623" w:rsidRDefault="004C7971" w:rsidP="004C7971">
      <w:pPr>
        <w:pStyle w:val="abstract"/>
        <w:pBdr>
          <w:top w:val="none" w:sz="0" w:space="0" w:color="auto"/>
        </w:pBdr>
        <w:spacing w:after="0"/>
        <w:jc w:val="center"/>
        <w:rPr>
          <w:rFonts w:eastAsiaTheme="minorEastAsia"/>
          <w:bCs/>
          <w:sz w:val="24"/>
          <w:szCs w:val="24"/>
        </w:rPr>
      </w:pPr>
      <w:r w:rsidRPr="004C7971">
        <w:rPr>
          <w:rFonts w:eastAsiaTheme="minorEastAsia"/>
          <w:bCs/>
          <w:sz w:val="24"/>
          <w:szCs w:val="24"/>
        </w:rPr>
        <w:t xml:space="preserve">Riyaz Sheikh Abdullah </w:t>
      </w:r>
      <w:r w:rsidRPr="004C7971">
        <w:rPr>
          <w:rFonts w:eastAsiaTheme="minorEastAsia"/>
          <w:bCs/>
          <w:sz w:val="24"/>
          <w:szCs w:val="24"/>
          <w:vertAlign w:val="superscript"/>
        </w:rPr>
        <w:t>1</w:t>
      </w:r>
    </w:p>
    <w:p w14:paraId="60693E50" w14:textId="77777777" w:rsidR="004C7971" w:rsidRPr="004C7971" w:rsidRDefault="004C7971" w:rsidP="004C7971">
      <w:pPr>
        <w:pStyle w:val="abstract"/>
        <w:pBdr>
          <w:top w:val="none" w:sz="0" w:space="0" w:color="auto"/>
        </w:pBdr>
        <w:spacing w:after="0" w:line="360" w:lineRule="auto"/>
        <w:rPr>
          <w:rFonts w:eastAsiaTheme="minorEastAsia"/>
          <w:b w:val="0"/>
          <w:sz w:val="12"/>
          <w:szCs w:val="12"/>
          <w:vertAlign w:val="superscript"/>
        </w:rPr>
      </w:pPr>
    </w:p>
    <w:p w14:paraId="135CA97F" w14:textId="5B034056" w:rsidR="001C77E0" w:rsidRPr="00BE7BFA" w:rsidRDefault="004C7971" w:rsidP="004C7971">
      <w:pPr>
        <w:pStyle w:val="abstract"/>
        <w:pBdr>
          <w:top w:val="none" w:sz="0" w:space="0" w:color="auto"/>
        </w:pBdr>
        <w:spacing w:after="0" w:line="276" w:lineRule="auto"/>
        <w:jc w:val="center"/>
        <w:rPr>
          <w:rFonts w:eastAsiaTheme="minorEastAsia"/>
          <w:b w:val="0"/>
          <w:sz w:val="24"/>
          <w:szCs w:val="24"/>
        </w:rPr>
      </w:pPr>
      <w:r w:rsidRPr="004C7971">
        <w:rPr>
          <w:rFonts w:eastAsiaTheme="minorEastAsia"/>
          <w:b w:val="0"/>
          <w:sz w:val="24"/>
          <w:szCs w:val="24"/>
          <w:vertAlign w:val="superscript"/>
        </w:rPr>
        <w:t>1</w:t>
      </w:r>
      <w:r>
        <w:rPr>
          <w:rFonts w:eastAsiaTheme="minorEastAsia"/>
          <w:b w:val="0"/>
          <w:sz w:val="24"/>
          <w:szCs w:val="24"/>
          <w:vertAlign w:val="superscript"/>
        </w:rPr>
        <w:t xml:space="preserve"> </w:t>
      </w:r>
      <w:r w:rsidRPr="004C7971">
        <w:rPr>
          <w:rFonts w:eastAsiaTheme="minorEastAsia"/>
          <w:b w:val="0"/>
          <w:sz w:val="24"/>
          <w:szCs w:val="24"/>
        </w:rPr>
        <w:t>Department of MIS, College of Business Administration, Jazan University, Jazan</w:t>
      </w:r>
      <w:r>
        <w:rPr>
          <w:rFonts w:eastAsiaTheme="minorEastAsia"/>
          <w:b w:val="0"/>
          <w:sz w:val="24"/>
          <w:szCs w:val="24"/>
        </w:rPr>
        <w:t xml:space="preserve">, Kingdom of Saudi Arabia, </w:t>
      </w:r>
      <w:r w:rsidRPr="004C7971">
        <w:rPr>
          <w:rFonts w:eastAsiaTheme="minorEastAsia"/>
          <w:b w:val="0"/>
          <w:sz w:val="24"/>
          <w:szCs w:val="24"/>
        </w:rPr>
        <w:t>Email:</w:t>
      </w:r>
      <w:r>
        <w:rPr>
          <w:rFonts w:eastAsiaTheme="minorEastAsia"/>
          <w:b w:val="0"/>
          <w:sz w:val="24"/>
          <w:szCs w:val="24"/>
        </w:rPr>
        <w:t xml:space="preserve"> </w:t>
      </w:r>
      <w:hyperlink r:id="rId8" w:history="1">
        <w:r w:rsidRPr="009D1FA4">
          <w:rPr>
            <w:rStyle w:val="Hyperlink"/>
            <w:rFonts w:eastAsiaTheme="minorEastAsia"/>
            <w:b w:val="0"/>
            <w:sz w:val="24"/>
            <w:szCs w:val="24"/>
          </w:rPr>
          <w:t>rasheikh@jazanu.edu.sa</w:t>
        </w:r>
      </w:hyperlink>
    </w:p>
    <w:p w14:paraId="6896B9F3" w14:textId="037AD72A" w:rsidR="001C77E0" w:rsidRDefault="004C7971" w:rsidP="001C77E0">
      <w:pPr>
        <w:pStyle w:val="abstract"/>
        <w:pBdr>
          <w:top w:val="none" w:sz="0" w:space="0" w:color="auto"/>
        </w:pBdr>
        <w:jc w:val="center"/>
        <w:rPr>
          <w:rFonts w:eastAsiaTheme="minorEastAsia"/>
          <w:b w:val="0"/>
          <w:sz w:val="24"/>
          <w:szCs w:val="24"/>
        </w:rPr>
      </w:pPr>
      <w:r w:rsidRPr="004C7971">
        <w:rPr>
          <w:noProof/>
          <w:szCs w:val="18"/>
          <w:vertAlign w:val="superscript"/>
        </w:rPr>
        <mc:AlternateContent>
          <mc:Choice Requires="wps">
            <w:drawing>
              <wp:anchor distT="0" distB="0" distL="114300" distR="114300" simplePos="0" relativeHeight="251659264" behindDoc="0" locked="0" layoutInCell="1" allowOverlap="1" wp14:anchorId="0A5AD9E9" wp14:editId="5458903F">
                <wp:simplePos x="0" y="0"/>
                <wp:positionH relativeFrom="margin">
                  <wp:align>left</wp:align>
                </wp:positionH>
                <wp:positionV relativeFrom="paragraph">
                  <wp:posOffset>137160</wp:posOffset>
                </wp:positionV>
                <wp:extent cx="5888355" cy="6629400"/>
                <wp:effectExtent l="0" t="0" r="0" b="0"/>
                <wp:wrapNone/>
                <wp:docPr id="1872632886" name="Rectangle: Rounded Corners 1"/>
                <wp:cNvGraphicFramePr/>
                <a:graphic xmlns:a="http://schemas.openxmlformats.org/drawingml/2006/main">
                  <a:graphicData uri="http://schemas.microsoft.com/office/word/2010/wordprocessingShape">
                    <wps:wsp>
                      <wps:cNvSpPr/>
                      <wps:spPr>
                        <a:xfrm>
                          <a:off x="0" y="0"/>
                          <a:ext cx="5888355" cy="6629400"/>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6B5F4196" w14:textId="213B4E7E" w:rsidR="00BE7BFA" w:rsidRPr="00BE7BFA" w:rsidRDefault="00BE7BFA" w:rsidP="00BE7BFA">
                            <w:pPr>
                              <w:spacing w:after="240"/>
                              <w:jc w:val="both"/>
                              <w:rPr>
                                <w:rFonts w:asciiTheme="majorBidi" w:hAnsiTheme="majorBidi" w:cstheme="majorBidi"/>
                                <w:sz w:val="24"/>
                                <w:szCs w:val="24"/>
                              </w:rPr>
                            </w:pPr>
                            <w:r w:rsidRPr="00BE7BFA">
                              <w:rPr>
                                <w:rFonts w:asciiTheme="majorBidi" w:hAnsiTheme="majorBidi" w:cstheme="majorBidi"/>
                                <w:sz w:val="24"/>
                                <w:szCs w:val="24"/>
                              </w:rPr>
                              <w:t xml:space="preserve">The research aims to thoroughly examine the incorporation of human-digital twins (HDT) into the </w:t>
                            </w:r>
                            <w:r w:rsidR="006D35A4">
                              <w:rPr>
                                <w:rFonts w:asciiTheme="majorBidi" w:hAnsiTheme="majorBidi" w:cstheme="majorBidi"/>
                                <w:sz w:val="24"/>
                                <w:szCs w:val="24"/>
                              </w:rPr>
                              <w:t>i</w:t>
                            </w:r>
                            <w:r w:rsidRPr="00BE7BFA">
                              <w:rPr>
                                <w:rFonts w:asciiTheme="majorBidi" w:hAnsiTheme="majorBidi" w:cstheme="majorBidi"/>
                                <w:sz w:val="24"/>
                                <w:szCs w:val="24"/>
                              </w:rPr>
                              <w:t xml:space="preserve">ndustry 5.0 framework to comprehend its applications, challenges and possible advantages. This research aims to clarify the revolutionary impact of HDT in the manufacturing sector by examining representative case studies spanning various phases of product development and production. The current deficiency in research concerns the necessity for a comprehensive analysis of HDT, encompassing its </w:t>
                            </w:r>
                            <w:r w:rsidR="001E0EF1" w:rsidRPr="00BE7BFA">
                              <w:rPr>
                                <w:rFonts w:asciiTheme="majorBidi" w:hAnsiTheme="majorBidi" w:cstheme="majorBidi"/>
                                <w:sz w:val="24"/>
                                <w:szCs w:val="24"/>
                              </w:rPr>
                              <w:t>organizational</w:t>
                            </w:r>
                            <w:r w:rsidRPr="00BE7BFA">
                              <w:rPr>
                                <w:rFonts w:asciiTheme="majorBidi" w:hAnsiTheme="majorBidi" w:cstheme="majorBidi"/>
                                <w:sz w:val="24"/>
                                <w:szCs w:val="24"/>
                              </w:rPr>
                              <w:t>, technological, application, and societal dimensions, as well as its implementations in production, design, and other phases of the lifecycle.</w:t>
                            </w:r>
                          </w:p>
                          <w:p w14:paraId="40641346" w14:textId="38F8FABB" w:rsidR="00BE7BFA" w:rsidRPr="00BE7BFA" w:rsidRDefault="00BE7BFA" w:rsidP="00BE7BFA">
                            <w:pPr>
                              <w:spacing w:after="240"/>
                              <w:jc w:val="both"/>
                              <w:rPr>
                                <w:rFonts w:asciiTheme="majorBidi" w:hAnsiTheme="majorBidi" w:cstheme="majorBidi"/>
                                <w:sz w:val="24"/>
                                <w:szCs w:val="24"/>
                              </w:rPr>
                            </w:pPr>
                            <w:r w:rsidRPr="00BE7BFA">
                              <w:rPr>
                                <w:rFonts w:asciiTheme="majorBidi" w:hAnsiTheme="majorBidi" w:cstheme="majorBidi"/>
                                <w:sz w:val="24"/>
                                <w:szCs w:val="24"/>
                              </w:rPr>
                              <w:t xml:space="preserve">To bridge this divide, a comprehensive literature review, analysis of representative case studies, and discussion of challenges and opportunities comprised the systematic research methodology. The results indicate that HDT substantially contributes to Industry 5.0 in user-centric design, real-time collaboration, safety improvement, and efficiency enhancement. Significantly, obstacles </w:t>
                            </w:r>
                            <w:r w:rsidR="001E0EF1" w:rsidRPr="00BE7BFA">
                              <w:rPr>
                                <w:rFonts w:asciiTheme="majorBidi" w:hAnsiTheme="majorBidi" w:cstheme="majorBidi"/>
                                <w:sz w:val="24"/>
                                <w:szCs w:val="24"/>
                              </w:rPr>
                              <w:t>recognized</w:t>
                            </w:r>
                            <w:r w:rsidRPr="00BE7BFA">
                              <w:rPr>
                                <w:rFonts w:asciiTheme="majorBidi" w:hAnsiTheme="majorBidi" w:cstheme="majorBidi"/>
                                <w:sz w:val="24"/>
                                <w:szCs w:val="24"/>
                              </w:rPr>
                              <w:t xml:space="preserve"> encompass the implementation of an authentically human-centric methodology and the resolution of security concerns. The adaptability of HDT is better comprehended through a comparative analysis of case studies, and its theoretical framework, HDT = (HE, VE, and IS), is consistent with the objectives of Industry 5.0, which envision a manufacturing ecosystem that is interconnected, intelligent, and </w:t>
                            </w:r>
                            <w:proofErr w:type="spellStart"/>
                            <w:r w:rsidRPr="00BE7BFA">
                              <w:rPr>
                                <w:rFonts w:asciiTheme="majorBidi" w:hAnsiTheme="majorBidi" w:cstheme="majorBidi"/>
                                <w:sz w:val="24"/>
                                <w:szCs w:val="24"/>
                              </w:rPr>
                              <w:t>centred</w:t>
                            </w:r>
                            <w:proofErr w:type="spellEnd"/>
                            <w:r w:rsidRPr="00BE7BFA">
                              <w:rPr>
                                <w:rFonts w:asciiTheme="majorBidi" w:hAnsiTheme="majorBidi" w:cstheme="majorBidi"/>
                                <w:sz w:val="24"/>
                                <w:szCs w:val="24"/>
                              </w:rPr>
                              <w:t xml:space="preserve"> around human beings.</w:t>
                            </w:r>
                          </w:p>
                          <w:p w14:paraId="34967EC4" w14:textId="5A4440F7" w:rsidR="001C77E0" w:rsidRPr="001C77E0" w:rsidRDefault="00BE7BFA" w:rsidP="00BE7BFA">
                            <w:pPr>
                              <w:spacing w:after="240"/>
                              <w:jc w:val="both"/>
                              <w:rPr>
                                <w:rFonts w:asciiTheme="majorBidi" w:hAnsiTheme="majorBidi" w:cstheme="majorBidi"/>
                                <w:sz w:val="24"/>
                                <w:szCs w:val="24"/>
                              </w:rPr>
                            </w:pPr>
                            <w:r w:rsidRPr="00BE7BFA">
                              <w:rPr>
                                <w:rFonts w:asciiTheme="majorBidi" w:hAnsiTheme="majorBidi" w:cstheme="majorBidi"/>
                                <w:sz w:val="24"/>
                                <w:szCs w:val="24"/>
                              </w:rPr>
                              <w:t>The research contributes to the field by providing industry practitioners with practical implications that inform and direct strategies for effectively implementing HDT. This study first examines how the relationship between people and digital twins is changing, including ethical issues and societal effects. The findings strengthen the ideas behind HDT and Industry 5.0. Overall, this research contributes to advancing HDT discourse by providing industry and academia with invaluable insights.</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6ABC984F" w:rsidR="001C77E0" w:rsidRPr="001C77E0" w:rsidRDefault="00BE7BFA" w:rsidP="00BE7BFA">
                            <w:pPr>
                              <w:autoSpaceDE w:val="0"/>
                              <w:autoSpaceDN w:val="0"/>
                              <w:adjustRightInd w:val="0"/>
                              <w:spacing w:line="276" w:lineRule="auto"/>
                              <w:jc w:val="both"/>
                              <w:rPr>
                                <w:rFonts w:asciiTheme="majorBidi" w:hAnsiTheme="majorBidi" w:cstheme="majorBidi"/>
                                <w:b/>
                                <w:bCs/>
                                <w:sz w:val="24"/>
                                <w:szCs w:val="24"/>
                              </w:rPr>
                            </w:pPr>
                            <w:r w:rsidRPr="00BE7BFA">
                              <w:rPr>
                                <w:rFonts w:asciiTheme="majorBidi" w:hAnsiTheme="majorBidi" w:cstheme="majorBidi"/>
                                <w:sz w:val="24"/>
                                <w:szCs w:val="24"/>
                              </w:rPr>
                              <w:t>Human Digital Twin(HDT)</w:t>
                            </w:r>
                            <w:r>
                              <w:rPr>
                                <w:rFonts w:asciiTheme="majorBidi" w:hAnsiTheme="majorBidi" w:cstheme="majorBidi"/>
                                <w:sz w:val="24"/>
                                <w:szCs w:val="24"/>
                              </w:rPr>
                              <w:t>;</w:t>
                            </w:r>
                            <w:r w:rsidRPr="00BE7BFA">
                              <w:rPr>
                                <w:rFonts w:asciiTheme="majorBidi" w:hAnsiTheme="majorBidi" w:cstheme="majorBidi"/>
                                <w:sz w:val="24"/>
                                <w:szCs w:val="24"/>
                              </w:rPr>
                              <w:t xml:space="preserve"> Industry 5.0</w:t>
                            </w:r>
                            <w:r>
                              <w:rPr>
                                <w:rFonts w:asciiTheme="majorBidi" w:hAnsiTheme="majorBidi" w:cstheme="majorBidi"/>
                                <w:sz w:val="24"/>
                                <w:szCs w:val="24"/>
                              </w:rPr>
                              <w:t>;</w:t>
                            </w:r>
                            <w:r w:rsidRPr="00BE7BFA">
                              <w:rPr>
                                <w:rFonts w:asciiTheme="majorBidi" w:hAnsiTheme="majorBidi" w:cstheme="majorBidi"/>
                                <w:sz w:val="24"/>
                                <w:szCs w:val="24"/>
                              </w:rPr>
                              <w:t xml:space="preserve"> smart manufacturing</w:t>
                            </w:r>
                            <w:r>
                              <w:rPr>
                                <w:rFonts w:asciiTheme="majorBidi" w:hAnsiTheme="majorBidi" w:cstheme="majorBidi"/>
                                <w:sz w:val="24"/>
                                <w:szCs w:val="24"/>
                              </w:rPr>
                              <w:t>;</w:t>
                            </w:r>
                            <w:r w:rsidRPr="00BE7BFA">
                              <w:rPr>
                                <w:rFonts w:asciiTheme="majorBidi" w:hAnsiTheme="majorBidi" w:cstheme="majorBidi"/>
                                <w:sz w:val="24"/>
                                <w:szCs w:val="24"/>
                              </w:rPr>
                              <w:t xml:space="preserve"> human-machine collaboration</w:t>
                            </w:r>
                            <w:r w:rsidR="00953623" w:rsidRPr="00953623">
                              <w:rPr>
                                <w:rFonts w:asciiTheme="majorBidi" w:hAnsiTheme="majorBidi" w:cstheme="majorBidi"/>
                                <w:sz w:val="24"/>
                                <w:szCs w:val="24"/>
                              </w:rPr>
                              <w:t>.</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AD9E9" id="Rectangle: Rounded Corners 1" o:spid="_x0000_s1026" style="position:absolute;left:0;text-align:left;margin-left:0;margin-top:10.8pt;width:463.65pt;height:52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" fillcolor="#d8d8d8 [2732]" stroked="f" strokeweight="2pt">
                <v:textbo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6B5F4196" w14:textId="213B4E7E" w:rsidR="00BE7BFA" w:rsidRPr="00BE7BFA" w:rsidRDefault="00BE7BFA" w:rsidP="00BE7BFA">
                      <w:pPr>
                        <w:spacing w:after="240"/>
                        <w:jc w:val="both"/>
                        <w:rPr>
                          <w:rFonts w:asciiTheme="majorBidi" w:hAnsiTheme="majorBidi" w:cstheme="majorBidi"/>
                          <w:sz w:val="24"/>
                          <w:szCs w:val="24"/>
                        </w:rPr>
                      </w:pPr>
                      <w:r w:rsidRPr="00BE7BFA">
                        <w:rPr>
                          <w:rFonts w:asciiTheme="majorBidi" w:hAnsiTheme="majorBidi" w:cstheme="majorBidi"/>
                          <w:sz w:val="24"/>
                          <w:szCs w:val="24"/>
                        </w:rPr>
                        <w:t xml:space="preserve">The research aims to thoroughly examine the incorporation of human-digital twins (HDT) into the </w:t>
                      </w:r>
                      <w:r w:rsidR="006D35A4">
                        <w:rPr>
                          <w:rFonts w:asciiTheme="majorBidi" w:hAnsiTheme="majorBidi" w:cstheme="majorBidi"/>
                          <w:sz w:val="24"/>
                          <w:szCs w:val="24"/>
                        </w:rPr>
                        <w:t>i</w:t>
                      </w:r>
                      <w:r w:rsidRPr="00BE7BFA">
                        <w:rPr>
                          <w:rFonts w:asciiTheme="majorBidi" w:hAnsiTheme="majorBidi" w:cstheme="majorBidi"/>
                          <w:sz w:val="24"/>
                          <w:szCs w:val="24"/>
                        </w:rPr>
                        <w:t xml:space="preserve">ndustry 5.0 framework to comprehend its applications, challenges and possible advantages. This research aims to clarify the revolutionary impact of HDT in the manufacturing sector by examining representative case studies spanning various phases of product development and production. The current deficiency in research concerns the necessity for a comprehensive analysis of HDT, encompassing its </w:t>
                      </w:r>
                      <w:r w:rsidR="001E0EF1" w:rsidRPr="00BE7BFA">
                        <w:rPr>
                          <w:rFonts w:asciiTheme="majorBidi" w:hAnsiTheme="majorBidi" w:cstheme="majorBidi"/>
                          <w:sz w:val="24"/>
                          <w:szCs w:val="24"/>
                        </w:rPr>
                        <w:t>organizational</w:t>
                      </w:r>
                      <w:r w:rsidRPr="00BE7BFA">
                        <w:rPr>
                          <w:rFonts w:asciiTheme="majorBidi" w:hAnsiTheme="majorBidi" w:cstheme="majorBidi"/>
                          <w:sz w:val="24"/>
                          <w:szCs w:val="24"/>
                        </w:rPr>
                        <w:t>, technological, application, and societal dimensions, as well as its implementations in production, design, and other phases of the lifecycle.</w:t>
                      </w:r>
                    </w:p>
                    <w:p w14:paraId="40641346" w14:textId="38F8FABB" w:rsidR="00BE7BFA" w:rsidRPr="00BE7BFA" w:rsidRDefault="00BE7BFA" w:rsidP="00BE7BFA">
                      <w:pPr>
                        <w:spacing w:after="240"/>
                        <w:jc w:val="both"/>
                        <w:rPr>
                          <w:rFonts w:asciiTheme="majorBidi" w:hAnsiTheme="majorBidi" w:cstheme="majorBidi"/>
                          <w:sz w:val="24"/>
                          <w:szCs w:val="24"/>
                        </w:rPr>
                      </w:pPr>
                      <w:r w:rsidRPr="00BE7BFA">
                        <w:rPr>
                          <w:rFonts w:asciiTheme="majorBidi" w:hAnsiTheme="majorBidi" w:cstheme="majorBidi"/>
                          <w:sz w:val="24"/>
                          <w:szCs w:val="24"/>
                        </w:rPr>
                        <w:t xml:space="preserve">To bridge this divide, a comprehensive literature review, analysis of representative case studies, and discussion of challenges and opportunities comprised the systematic research methodology. The results indicate that HDT substantially contributes to Industry 5.0 in user-centric design, real-time collaboration, safety improvement, and efficiency enhancement. Significantly, obstacles </w:t>
                      </w:r>
                      <w:r w:rsidR="001E0EF1" w:rsidRPr="00BE7BFA">
                        <w:rPr>
                          <w:rFonts w:asciiTheme="majorBidi" w:hAnsiTheme="majorBidi" w:cstheme="majorBidi"/>
                          <w:sz w:val="24"/>
                          <w:szCs w:val="24"/>
                        </w:rPr>
                        <w:t>recognized</w:t>
                      </w:r>
                      <w:r w:rsidRPr="00BE7BFA">
                        <w:rPr>
                          <w:rFonts w:asciiTheme="majorBidi" w:hAnsiTheme="majorBidi" w:cstheme="majorBidi"/>
                          <w:sz w:val="24"/>
                          <w:szCs w:val="24"/>
                        </w:rPr>
                        <w:t xml:space="preserve"> encompass the implementation of an authentically human-centric methodology and the resolution of security concerns. The adaptability of HDT is better comprehended through a comparative analysis of case studies, and its theoretical framework, HDT = (HE, VE, and IS), is consistent with the objectives of Industry 5.0, which envision a manufacturing ecosystem that is interconnected, intelligent, and </w:t>
                      </w:r>
                      <w:proofErr w:type="spellStart"/>
                      <w:r w:rsidRPr="00BE7BFA">
                        <w:rPr>
                          <w:rFonts w:asciiTheme="majorBidi" w:hAnsiTheme="majorBidi" w:cstheme="majorBidi"/>
                          <w:sz w:val="24"/>
                          <w:szCs w:val="24"/>
                        </w:rPr>
                        <w:t>centred</w:t>
                      </w:r>
                      <w:proofErr w:type="spellEnd"/>
                      <w:r w:rsidRPr="00BE7BFA">
                        <w:rPr>
                          <w:rFonts w:asciiTheme="majorBidi" w:hAnsiTheme="majorBidi" w:cstheme="majorBidi"/>
                          <w:sz w:val="24"/>
                          <w:szCs w:val="24"/>
                        </w:rPr>
                        <w:t xml:space="preserve"> around human beings.</w:t>
                      </w:r>
                    </w:p>
                    <w:p w14:paraId="34967EC4" w14:textId="5A4440F7" w:rsidR="001C77E0" w:rsidRPr="001C77E0" w:rsidRDefault="00BE7BFA" w:rsidP="00BE7BFA">
                      <w:pPr>
                        <w:spacing w:after="240"/>
                        <w:jc w:val="both"/>
                        <w:rPr>
                          <w:rFonts w:asciiTheme="majorBidi" w:hAnsiTheme="majorBidi" w:cstheme="majorBidi"/>
                          <w:sz w:val="24"/>
                          <w:szCs w:val="24"/>
                        </w:rPr>
                      </w:pPr>
                      <w:r w:rsidRPr="00BE7BFA">
                        <w:rPr>
                          <w:rFonts w:asciiTheme="majorBidi" w:hAnsiTheme="majorBidi" w:cstheme="majorBidi"/>
                          <w:sz w:val="24"/>
                          <w:szCs w:val="24"/>
                        </w:rPr>
                        <w:t>The research contributes to the field by providing industry practitioners with practical implications that inform and direct strategies for effectively implementing HDT. This study first examines how the relationship between people and digital twins is changing, including ethical issues and societal effects. The findings strengthen the ideas behind HDT and Industry 5.0. Overall, this research contributes to advancing HDT discourse by providing industry and academia with invaluable insights.</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6ABC984F" w:rsidR="001C77E0" w:rsidRPr="001C77E0" w:rsidRDefault="00BE7BFA" w:rsidP="00BE7BFA">
                      <w:pPr>
                        <w:autoSpaceDE w:val="0"/>
                        <w:autoSpaceDN w:val="0"/>
                        <w:adjustRightInd w:val="0"/>
                        <w:spacing w:line="276" w:lineRule="auto"/>
                        <w:jc w:val="both"/>
                        <w:rPr>
                          <w:rFonts w:asciiTheme="majorBidi" w:hAnsiTheme="majorBidi" w:cstheme="majorBidi"/>
                          <w:b/>
                          <w:bCs/>
                          <w:sz w:val="24"/>
                          <w:szCs w:val="24"/>
                        </w:rPr>
                      </w:pPr>
                      <w:r w:rsidRPr="00BE7BFA">
                        <w:rPr>
                          <w:rFonts w:asciiTheme="majorBidi" w:hAnsiTheme="majorBidi" w:cstheme="majorBidi"/>
                          <w:sz w:val="24"/>
                          <w:szCs w:val="24"/>
                        </w:rPr>
                        <w:t>Human Digital Twin(HDT)</w:t>
                      </w:r>
                      <w:r>
                        <w:rPr>
                          <w:rFonts w:asciiTheme="majorBidi" w:hAnsiTheme="majorBidi" w:cstheme="majorBidi"/>
                          <w:sz w:val="24"/>
                          <w:szCs w:val="24"/>
                        </w:rPr>
                        <w:t>;</w:t>
                      </w:r>
                      <w:r w:rsidRPr="00BE7BFA">
                        <w:rPr>
                          <w:rFonts w:asciiTheme="majorBidi" w:hAnsiTheme="majorBidi" w:cstheme="majorBidi"/>
                          <w:sz w:val="24"/>
                          <w:szCs w:val="24"/>
                        </w:rPr>
                        <w:t xml:space="preserve"> Industry 5.0</w:t>
                      </w:r>
                      <w:r>
                        <w:rPr>
                          <w:rFonts w:asciiTheme="majorBidi" w:hAnsiTheme="majorBidi" w:cstheme="majorBidi"/>
                          <w:sz w:val="24"/>
                          <w:szCs w:val="24"/>
                        </w:rPr>
                        <w:t>;</w:t>
                      </w:r>
                      <w:r w:rsidRPr="00BE7BFA">
                        <w:rPr>
                          <w:rFonts w:asciiTheme="majorBidi" w:hAnsiTheme="majorBidi" w:cstheme="majorBidi"/>
                          <w:sz w:val="24"/>
                          <w:szCs w:val="24"/>
                        </w:rPr>
                        <w:t xml:space="preserve"> smart manufacturing</w:t>
                      </w:r>
                      <w:r>
                        <w:rPr>
                          <w:rFonts w:asciiTheme="majorBidi" w:hAnsiTheme="majorBidi" w:cstheme="majorBidi"/>
                          <w:sz w:val="24"/>
                          <w:szCs w:val="24"/>
                        </w:rPr>
                        <w:t>;</w:t>
                      </w:r>
                      <w:r w:rsidRPr="00BE7BFA">
                        <w:rPr>
                          <w:rFonts w:asciiTheme="majorBidi" w:hAnsiTheme="majorBidi" w:cstheme="majorBidi"/>
                          <w:sz w:val="24"/>
                          <w:szCs w:val="24"/>
                        </w:rPr>
                        <w:t xml:space="preserve"> human-machine collaboration</w:t>
                      </w:r>
                      <w:r w:rsidR="00953623" w:rsidRPr="00953623">
                        <w:rPr>
                          <w:rFonts w:asciiTheme="majorBidi" w:hAnsiTheme="majorBidi" w:cstheme="majorBidi"/>
                          <w:sz w:val="24"/>
                          <w:szCs w:val="24"/>
                        </w:rPr>
                        <w:t>.</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v:textbox>
                <w10:wrap anchorx="margin"/>
              </v:roundrect>
            </w:pict>
          </mc:Fallback>
        </mc:AlternateContent>
      </w:r>
    </w:p>
    <w:p w14:paraId="75951D6A" w14:textId="21762A4A" w:rsidR="00FC11BD" w:rsidRPr="00A90D9B" w:rsidRDefault="00FC11BD" w:rsidP="001C77E0">
      <w:pPr>
        <w:pStyle w:val="abstract"/>
        <w:pBdr>
          <w:top w:val="none" w:sz="0" w:space="0" w:color="auto"/>
        </w:pBdr>
        <w:rPr>
          <w:rFonts w:asciiTheme="majorBidi" w:hAnsiTheme="majorBidi" w:cstheme="majorBidi"/>
          <w:b w:val="0"/>
          <w:bCs/>
          <w:szCs w:val="18"/>
        </w:rPr>
      </w:pPr>
    </w:p>
    <w:p w14:paraId="16EA5311" w14:textId="444CE694" w:rsidR="0040558C" w:rsidRDefault="0040558C" w:rsidP="001C77E0">
      <w:pPr>
        <w:rPr>
          <w:rFonts w:ascii="Times New Roman" w:hAnsi="Times New Roman" w:cs="Times New Roman"/>
        </w:rPr>
      </w:pPr>
    </w:p>
    <w:p w14:paraId="5A781BCB" w14:textId="5FB3A47C" w:rsidR="001C77E0" w:rsidRDefault="003F48EC" w:rsidP="001C77E0">
      <w:pPr>
        <w:rPr>
          <w:rFonts w:ascii="Times New Roman" w:hAnsi="Times New Roman" w:cs="Times New Roman"/>
        </w:rPr>
      </w:pPr>
      <w:r w:rsidRPr="0016638B">
        <w:rPr>
          <w:rFonts w:asciiTheme="majorBidi" w:hAnsiTheme="majorBidi" w:cstheme="majorBidi"/>
          <w:noProof/>
          <w:sz w:val="16"/>
          <w:szCs w:val="16"/>
        </w:rPr>
        <mc:AlternateContent>
          <mc:Choice Requires="wps">
            <w:drawing>
              <wp:anchor distT="45720" distB="45720" distL="114300" distR="114300" simplePos="0" relativeHeight="251662336" behindDoc="0" locked="0" layoutInCell="1" allowOverlap="1" wp14:anchorId="5E8F8587" wp14:editId="77DBA4CA">
                <wp:simplePos x="0" y="0"/>
                <wp:positionH relativeFrom="leftMargin">
                  <wp:posOffset>45720</wp:posOffset>
                </wp:positionH>
                <wp:positionV relativeFrom="paragraph">
                  <wp:posOffset>175895</wp:posOffset>
                </wp:positionV>
                <wp:extent cx="8534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14:paraId="32BABF3B" w14:textId="0CDA64D1" w:rsidR="0016638B" w:rsidRDefault="0016638B" w:rsidP="0016638B">
                            <w:pPr>
                              <w:rPr>
                                <w:sz w:val="16"/>
                                <w:szCs w:val="16"/>
                              </w:rPr>
                            </w:pPr>
                            <w:r w:rsidRPr="0016638B">
                              <w:rPr>
                                <w:sz w:val="16"/>
                                <w:szCs w:val="16"/>
                              </w:rPr>
                              <w:t>Submitted:</w:t>
                            </w:r>
                          </w:p>
                          <w:p w14:paraId="2300FAA5" w14:textId="7ED72DBB" w:rsidR="003F48EC" w:rsidRDefault="002C069C" w:rsidP="0016638B">
                            <w:pPr>
                              <w:rPr>
                                <w:sz w:val="16"/>
                                <w:szCs w:val="16"/>
                              </w:rPr>
                            </w:pPr>
                            <w:r>
                              <w:rPr>
                                <w:sz w:val="16"/>
                                <w:szCs w:val="16"/>
                              </w:rPr>
                              <w:t>22-MAY-24</w:t>
                            </w:r>
                          </w:p>
                          <w:p w14:paraId="14340878" w14:textId="77777777" w:rsidR="002C069C" w:rsidRPr="0016638B" w:rsidRDefault="002C069C" w:rsidP="0016638B">
                            <w:pPr>
                              <w:rPr>
                                <w:sz w:val="16"/>
                                <w:szCs w:val="16"/>
                              </w:rPr>
                            </w:pPr>
                          </w:p>
                          <w:p w14:paraId="414712ED" w14:textId="43075F28" w:rsidR="0016638B" w:rsidRPr="0016638B" w:rsidRDefault="0016638B" w:rsidP="0016638B">
                            <w:pPr>
                              <w:rPr>
                                <w:sz w:val="16"/>
                                <w:szCs w:val="16"/>
                              </w:rPr>
                            </w:pPr>
                            <w:r w:rsidRPr="0016638B">
                              <w:rPr>
                                <w:sz w:val="16"/>
                                <w:szCs w:val="16"/>
                              </w:rPr>
                              <w:t>Accepted:</w:t>
                            </w:r>
                          </w:p>
                          <w:p w14:paraId="432DBB88" w14:textId="4A00DD31" w:rsidR="003F48EC" w:rsidRDefault="002C069C" w:rsidP="0016638B">
                            <w:pPr>
                              <w:rPr>
                                <w:sz w:val="16"/>
                                <w:szCs w:val="16"/>
                              </w:rPr>
                            </w:pPr>
                            <w:r>
                              <w:rPr>
                                <w:sz w:val="16"/>
                                <w:szCs w:val="16"/>
                              </w:rPr>
                              <w:t>26-MAY-24</w:t>
                            </w:r>
                          </w:p>
                          <w:p w14:paraId="10D9FFCA" w14:textId="77777777" w:rsidR="002C069C" w:rsidRDefault="002C069C" w:rsidP="0016638B">
                            <w:pPr>
                              <w:rPr>
                                <w:sz w:val="16"/>
                                <w:szCs w:val="16"/>
                              </w:rPr>
                            </w:pPr>
                          </w:p>
                          <w:p w14:paraId="5EADD56E" w14:textId="779C531F"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F8587" id="_x0000_t202" coordsize="21600,21600" o:spt="202" path="m,l,21600r21600,l21600,xe">
                <v:stroke joinstyle="miter"/>
                <v:path gradientshapeok="t" o:connecttype="rect"/>
              </v:shapetype>
              <v:shape id="Text Box 2" o:spid="_x0000_s1027" type="#_x0000_t202" style="position:absolute;margin-left:3.6pt;margin-top:13.85pt;width:67.2pt;height:110.6pt;z-index:2516623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" filled="f" stroked="f">
                <v:textbox style="mso-fit-shape-to-text:t">
                  <w:txbxContent>
                    <w:p w14:paraId="32BABF3B" w14:textId="0CDA64D1" w:rsidR="0016638B" w:rsidRDefault="0016638B" w:rsidP="0016638B">
                      <w:pPr>
                        <w:rPr>
                          <w:sz w:val="16"/>
                          <w:szCs w:val="16"/>
                        </w:rPr>
                      </w:pPr>
                      <w:r w:rsidRPr="0016638B">
                        <w:rPr>
                          <w:sz w:val="16"/>
                          <w:szCs w:val="16"/>
                        </w:rPr>
                        <w:t>Submitted:</w:t>
                      </w:r>
                    </w:p>
                    <w:p w14:paraId="2300FAA5" w14:textId="7ED72DBB" w:rsidR="003F48EC" w:rsidRDefault="002C069C" w:rsidP="0016638B">
                      <w:pPr>
                        <w:rPr>
                          <w:sz w:val="16"/>
                          <w:szCs w:val="16"/>
                        </w:rPr>
                      </w:pPr>
                      <w:r>
                        <w:rPr>
                          <w:sz w:val="16"/>
                          <w:szCs w:val="16"/>
                        </w:rPr>
                        <w:t>22-MAY-24</w:t>
                      </w:r>
                    </w:p>
                    <w:p w14:paraId="14340878" w14:textId="77777777" w:rsidR="002C069C" w:rsidRPr="0016638B" w:rsidRDefault="002C069C" w:rsidP="0016638B">
                      <w:pPr>
                        <w:rPr>
                          <w:sz w:val="16"/>
                          <w:szCs w:val="16"/>
                        </w:rPr>
                      </w:pPr>
                    </w:p>
                    <w:p w14:paraId="414712ED" w14:textId="43075F28" w:rsidR="0016638B" w:rsidRPr="0016638B" w:rsidRDefault="0016638B" w:rsidP="0016638B">
                      <w:pPr>
                        <w:rPr>
                          <w:sz w:val="16"/>
                          <w:szCs w:val="16"/>
                        </w:rPr>
                      </w:pPr>
                      <w:r w:rsidRPr="0016638B">
                        <w:rPr>
                          <w:sz w:val="16"/>
                          <w:szCs w:val="16"/>
                        </w:rPr>
                        <w:t>Accepted:</w:t>
                      </w:r>
                    </w:p>
                    <w:p w14:paraId="432DBB88" w14:textId="4A00DD31" w:rsidR="003F48EC" w:rsidRDefault="002C069C" w:rsidP="0016638B">
                      <w:pPr>
                        <w:rPr>
                          <w:sz w:val="16"/>
                          <w:szCs w:val="16"/>
                        </w:rPr>
                      </w:pPr>
                      <w:r>
                        <w:rPr>
                          <w:sz w:val="16"/>
                          <w:szCs w:val="16"/>
                        </w:rPr>
                        <w:t>26-MAY-24</w:t>
                      </w:r>
                    </w:p>
                    <w:p w14:paraId="10D9FFCA" w14:textId="77777777" w:rsidR="002C069C" w:rsidRDefault="002C069C" w:rsidP="0016638B">
                      <w:pPr>
                        <w:rPr>
                          <w:sz w:val="16"/>
                          <w:szCs w:val="16"/>
                        </w:rPr>
                      </w:pPr>
                    </w:p>
                    <w:p w14:paraId="5EADD56E" w14:textId="779C531F"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v:textbox>
                <w10:wrap anchorx="margin"/>
              </v:shape>
            </w:pict>
          </mc:Fallback>
        </mc:AlternateContent>
      </w:r>
    </w:p>
    <w:p w14:paraId="641225B5" w14:textId="72A20BDD" w:rsidR="001C77E0" w:rsidRDefault="001C77E0" w:rsidP="001C77E0">
      <w:pPr>
        <w:rPr>
          <w:rFonts w:ascii="Times New Roman" w:hAnsi="Times New Roman" w:cs="Times New Roman"/>
        </w:rPr>
      </w:pPr>
    </w:p>
    <w:p w14:paraId="7D3CF7B6" w14:textId="7BB2867F" w:rsidR="001C77E0" w:rsidRDefault="001C77E0" w:rsidP="001C77E0">
      <w:pPr>
        <w:rPr>
          <w:rFonts w:ascii="Times New Roman" w:hAnsi="Times New Roman" w:cs="Times New Roman"/>
        </w:rPr>
      </w:pPr>
    </w:p>
    <w:p w14:paraId="120447CD" w14:textId="405D8B3E" w:rsidR="001C77E0" w:rsidRDefault="001C77E0" w:rsidP="001C77E0">
      <w:pPr>
        <w:rPr>
          <w:rFonts w:ascii="Times New Roman" w:hAnsi="Times New Roman" w:cs="Times New Roman"/>
        </w:rPr>
      </w:pPr>
    </w:p>
    <w:p w14:paraId="31BCC42B" w14:textId="77777777" w:rsidR="001C77E0" w:rsidRDefault="001C77E0" w:rsidP="001C77E0">
      <w:pPr>
        <w:rPr>
          <w:rFonts w:ascii="Times New Roman" w:hAnsi="Times New Roman" w:cs="Times New Roman"/>
        </w:rPr>
      </w:pPr>
    </w:p>
    <w:p w14:paraId="71276653" w14:textId="77777777" w:rsidR="001C77E0" w:rsidRDefault="001C77E0" w:rsidP="001C77E0">
      <w:pPr>
        <w:rPr>
          <w:rFonts w:ascii="Times New Roman" w:hAnsi="Times New Roman" w:cs="Times New Roman"/>
        </w:rPr>
      </w:pPr>
    </w:p>
    <w:p w14:paraId="418BA25C" w14:textId="77777777" w:rsidR="001C77E0" w:rsidRDefault="001C77E0" w:rsidP="001C77E0">
      <w:pPr>
        <w:rPr>
          <w:rFonts w:ascii="Times New Roman" w:hAnsi="Times New Roman" w:cs="Times New Roman"/>
        </w:rPr>
      </w:pPr>
    </w:p>
    <w:p w14:paraId="55124F6A" w14:textId="77777777" w:rsidR="001C77E0" w:rsidRDefault="001C77E0" w:rsidP="001C77E0">
      <w:pPr>
        <w:rPr>
          <w:rFonts w:ascii="Times New Roman" w:hAnsi="Times New Roman" w:cs="Times New Roman"/>
        </w:rPr>
      </w:pPr>
    </w:p>
    <w:p w14:paraId="796D57C4" w14:textId="77777777" w:rsidR="001C77E0" w:rsidRDefault="001C77E0" w:rsidP="001C77E0">
      <w:pPr>
        <w:rPr>
          <w:rFonts w:ascii="Times New Roman" w:hAnsi="Times New Roman" w:cs="Times New Roman"/>
        </w:rPr>
      </w:pPr>
    </w:p>
    <w:p w14:paraId="3E6CC58F" w14:textId="77777777" w:rsidR="001C77E0" w:rsidRDefault="001C77E0" w:rsidP="001C77E0">
      <w:pPr>
        <w:rPr>
          <w:rFonts w:ascii="Times New Roman" w:hAnsi="Times New Roman" w:cs="Times New Roman"/>
        </w:rPr>
      </w:pPr>
    </w:p>
    <w:p w14:paraId="574BA2B6" w14:textId="77777777" w:rsidR="001C77E0" w:rsidRDefault="001C77E0" w:rsidP="001C77E0">
      <w:pPr>
        <w:rPr>
          <w:rFonts w:ascii="Times New Roman" w:hAnsi="Times New Roman" w:cs="Times New Roman"/>
        </w:rPr>
      </w:pPr>
    </w:p>
    <w:p w14:paraId="2E326878" w14:textId="77777777" w:rsidR="001C77E0" w:rsidRDefault="001C77E0" w:rsidP="001C77E0">
      <w:pPr>
        <w:rPr>
          <w:rFonts w:ascii="Times New Roman" w:hAnsi="Times New Roman" w:cs="Times New Roman"/>
        </w:rPr>
      </w:pPr>
    </w:p>
    <w:p w14:paraId="19ACE6A4" w14:textId="77777777" w:rsidR="001C77E0" w:rsidRDefault="001C77E0" w:rsidP="001C77E0">
      <w:pPr>
        <w:rPr>
          <w:rFonts w:ascii="Times New Roman" w:hAnsi="Times New Roman" w:cs="Times New Roman"/>
        </w:rPr>
      </w:pPr>
    </w:p>
    <w:p w14:paraId="6C05257A" w14:textId="77777777" w:rsidR="001C77E0" w:rsidRDefault="001C77E0" w:rsidP="001C77E0">
      <w:pPr>
        <w:rPr>
          <w:rFonts w:ascii="Times New Roman" w:hAnsi="Times New Roman" w:cs="Times New Roman"/>
        </w:rPr>
      </w:pPr>
    </w:p>
    <w:p w14:paraId="4CE310F8" w14:textId="77777777" w:rsidR="001C77E0" w:rsidRDefault="001C77E0" w:rsidP="001C77E0">
      <w:pPr>
        <w:rPr>
          <w:rFonts w:ascii="Times New Roman" w:hAnsi="Times New Roman" w:cs="Times New Roman"/>
        </w:rPr>
      </w:pPr>
    </w:p>
    <w:p w14:paraId="57D74129" w14:textId="77777777" w:rsidR="001C77E0" w:rsidRDefault="001C77E0" w:rsidP="001C77E0">
      <w:pPr>
        <w:rPr>
          <w:rFonts w:ascii="Times New Roman" w:hAnsi="Times New Roman" w:cs="Times New Roman"/>
        </w:rPr>
      </w:pPr>
    </w:p>
    <w:p w14:paraId="00DC1098" w14:textId="77777777" w:rsidR="001C77E0" w:rsidRDefault="001C77E0" w:rsidP="001C77E0">
      <w:pPr>
        <w:rPr>
          <w:rFonts w:ascii="Times New Roman" w:hAnsi="Times New Roman" w:cs="Times New Roman"/>
        </w:rPr>
      </w:pPr>
    </w:p>
    <w:p w14:paraId="51B389D5" w14:textId="77777777" w:rsidR="001C77E0" w:rsidRDefault="001C77E0" w:rsidP="001C77E0">
      <w:pPr>
        <w:rPr>
          <w:rFonts w:ascii="Times New Roman" w:hAnsi="Times New Roman" w:cs="Times New Roman"/>
        </w:rPr>
      </w:pPr>
    </w:p>
    <w:p w14:paraId="0C20808C" w14:textId="77777777" w:rsidR="001C77E0" w:rsidRDefault="001C77E0" w:rsidP="001C77E0">
      <w:pPr>
        <w:rPr>
          <w:rFonts w:ascii="Times New Roman" w:hAnsi="Times New Roman" w:cs="Times New Roman"/>
        </w:rPr>
      </w:pPr>
    </w:p>
    <w:p w14:paraId="7BB55953" w14:textId="77777777" w:rsidR="001C77E0" w:rsidRDefault="001C77E0" w:rsidP="001C77E0">
      <w:pPr>
        <w:rPr>
          <w:rFonts w:ascii="Times New Roman" w:hAnsi="Times New Roman" w:cs="Times New Roman"/>
        </w:rPr>
      </w:pPr>
    </w:p>
    <w:p w14:paraId="387375F2" w14:textId="77777777" w:rsidR="001C77E0" w:rsidRDefault="001C77E0" w:rsidP="001C77E0">
      <w:pPr>
        <w:rPr>
          <w:rFonts w:ascii="Times New Roman" w:hAnsi="Times New Roman" w:cs="Times New Roman"/>
        </w:rPr>
      </w:pPr>
    </w:p>
    <w:p w14:paraId="36816321" w14:textId="2FC05454" w:rsidR="0040558C" w:rsidRPr="003826C6" w:rsidRDefault="0040558C" w:rsidP="0040558C">
      <w:pPr>
        <w:rPr>
          <w:rFonts w:ascii="Times New Roman" w:hAnsi="Times New Roman" w:cs="Times New Roman"/>
        </w:rPr>
      </w:pPr>
    </w:p>
    <w:p w14:paraId="3996C168" w14:textId="77777777" w:rsidR="00666704" w:rsidRPr="00953623" w:rsidRDefault="00666704" w:rsidP="0040558C">
      <w:pPr>
        <w:rPr>
          <w:rFonts w:ascii="Times New Roman" w:hAnsi="Times New Roman" w:cs="Times New Roman"/>
          <w:sz w:val="16"/>
          <w:szCs w:val="16"/>
        </w:rPr>
      </w:pPr>
    </w:p>
    <w:p w14:paraId="67C4461D" w14:textId="77777777" w:rsidR="00BE7BFA" w:rsidRDefault="00BE7BFA" w:rsidP="0040558C">
      <w:pPr>
        <w:rPr>
          <w:rFonts w:ascii="Times New Roman" w:hAnsi="Times New Roman" w:cs="Times New Roman"/>
        </w:rPr>
      </w:pPr>
    </w:p>
    <w:p w14:paraId="18D73151" w14:textId="77777777" w:rsidR="00BE7BFA" w:rsidRDefault="00BE7BFA" w:rsidP="0040558C">
      <w:pPr>
        <w:rPr>
          <w:rFonts w:ascii="Times New Roman" w:hAnsi="Times New Roman" w:cs="Times New Roman"/>
        </w:rPr>
      </w:pPr>
    </w:p>
    <w:p w14:paraId="13DC126B" w14:textId="77777777" w:rsidR="00BE7BFA" w:rsidRDefault="00BE7BFA" w:rsidP="0040558C">
      <w:pPr>
        <w:rPr>
          <w:rFonts w:ascii="Times New Roman" w:hAnsi="Times New Roman" w:cs="Times New Roman"/>
        </w:rPr>
      </w:pPr>
    </w:p>
    <w:p w14:paraId="38D9C6BF" w14:textId="77777777" w:rsidR="00BE7BFA" w:rsidRDefault="00BE7BFA" w:rsidP="0040558C">
      <w:pPr>
        <w:rPr>
          <w:rFonts w:ascii="Times New Roman" w:hAnsi="Times New Roman" w:cs="Times New Roman"/>
        </w:rPr>
      </w:pPr>
    </w:p>
    <w:p w14:paraId="41531B44" w14:textId="77777777" w:rsidR="00BE7BFA" w:rsidRDefault="00BE7BFA" w:rsidP="0040558C">
      <w:pPr>
        <w:rPr>
          <w:rFonts w:ascii="Times New Roman" w:hAnsi="Times New Roman" w:cs="Times New Roman"/>
        </w:rPr>
      </w:pPr>
    </w:p>
    <w:p w14:paraId="2706485C" w14:textId="77777777" w:rsidR="00BE7BFA" w:rsidRDefault="00BE7BFA" w:rsidP="0040558C">
      <w:pPr>
        <w:rPr>
          <w:rFonts w:ascii="Times New Roman" w:hAnsi="Times New Roman" w:cs="Times New Roman"/>
        </w:rPr>
      </w:pPr>
    </w:p>
    <w:p w14:paraId="66BC1EA1" w14:textId="77777777" w:rsidR="00BE7BFA" w:rsidRDefault="00BE7BFA" w:rsidP="0040558C">
      <w:pPr>
        <w:rPr>
          <w:rFonts w:ascii="Times New Roman" w:hAnsi="Times New Roman" w:cs="Times New Roman"/>
        </w:rPr>
      </w:pPr>
    </w:p>
    <w:p w14:paraId="6837C63B" w14:textId="77777777" w:rsidR="00BE7BFA" w:rsidRDefault="00BE7BFA" w:rsidP="0040558C">
      <w:pPr>
        <w:rPr>
          <w:rFonts w:ascii="Times New Roman" w:hAnsi="Times New Roman" w:cs="Times New Roman"/>
        </w:rPr>
      </w:pPr>
    </w:p>
    <w:p w14:paraId="666204A6" w14:textId="77777777" w:rsidR="00BE7BFA" w:rsidRDefault="00BE7BFA" w:rsidP="0040558C">
      <w:pPr>
        <w:rPr>
          <w:rFonts w:ascii="Times New Roman" w:hAnsi="Times New Roman" w:cs="Times New Roman"/>
        </w:rPr>
      </w:pPr>
    </w:p>
    <w:p w14:paraId="51FD9D0E" w14:textId="77777777" w:rsidR="00BE7BFA" w:rsidRDefault="00BE7BFA" w:rsidP="0040558C">
      <w:pPr>
        <w:rPr>
          <w:rFonts w:ascii="Times New Roman" w:hAnsi="Times New Roman" w:cs="Times New Roman"/>
        </w:rPr>
      </w:pPr>
    </w:p>
    <w:p w14:paraId="6811FF14" w14:textId="77777777" w:rsidR="00BE7BFA" w:rsidRDefault="00BE7BFA" w:rsidP="0040558C">
      <w:pPr>
        <w:rPr>
          <w:rFonts w:ascii="Times New Roman" w:hAnsi="Times New Roman" w:cs="Times New Roman"/>
        </w:rPr>
      </w:pPr>
    </w:p>
    <w:p w14:paraId="0BEE1827" w14:textId="77777777" w:rsidR="00BE7BFA" w:rsidRDefault="00BE7BFA" w:rsidP="0040558C">
      <w:pPr>
        <w:rPr>
          <w:rFonts w:ascii="Times New Roman" w:hAnsi="Times New Roman" w:cs="Times New Roman"/>
        </w:rPr>
      </w:pPr>
    </w:p>
    <w:p w14:paraId="4296BB4C" w14:textId="77777777" w:rsidR="00BE7BFA" w:rsidRDefault="00BE7BFA" w:rsidP="0040558C">
      <w:pPr>
        <w:rPr>
          <w:rFonts w:ascii="Times New Roman" w:hAnsi="Times New Roman" w:cs="Times New Roman"/>
        </w:rPr>
      </w:pPr>
    </w:p>
    <w:p w14:paraId="234AB377" w14:textId="77777777" w:rsidR="00953623" w:rsidRDefault="00953623" w:rsidP="0040558C">
      <w:pPr>
        <w:rPr>
          <w:rFonts w:ascii="Times New Roman" w:hAnsi="Times New Roman" w:cs="Times New Roman"/>
        </w:rPr>
      </w:pPr>
    </w:p>
    <w:p w14:paraId="44E30022" w14:textId="77777777" w:rsidR="00BE7BFA" w:rsidRPr="003826C6" w:rsidRDefault="00BE7BFA" w:rsidP="0040558C">
      <w:pPr>
        <w:rPr>
          <w:rFonts w:ascii="Times New Roman" w:hAnsi="Times New Roman" w:cs="Times New Roman"/>
        </w:rPr>
        <w:sectPr w:rsidR="00BE7BFA" w:rsidRPr="003826C6" w:rsidSect="004607FF">
          <w:headerReference w:type="even" r:id="rId9"/>
          <w:footerReference w:type="even" r:id="rId10"/>
          <w:footerReference w:type="default" r:id="rId11"/>
          <w:headerReference w:type="first" r:id="rId12"/>
          <w:footerReference w:type="first" r:id="rId13"/>
          <w:pgSz w:w="12240" w:h="15840"/>
          <w:pgMar w:top="1530" w:right="1440" w:bottom="1440" w:left="1440" w:header="1080" w:footer="708" w:gutter="0"/>
          <w:pgNumType w:start="113"/>
          <w:cols w:space="708"/>
          <w:titlePg/>
          <w:docGrid w:linePitch="299"/>
        </w:sectPr>
      </w:pPr>
    </w:p>
    <w:p w14:paraId="5388FB55" w14:textId="59D5E0CC" w:rsidR="0040558C" w:rsidRPr="00670115" w:rsidRDefault="0040558C" w:rsidP="00D616C8">
      <w:pPr>
        <w:pStyle w:val="Heading1"/>
      </w:pPr>
      <w:r w:rsidRPr="00670115">
        <w:lastRenderedPageBreak/>
        <w:t>Introduction</w:t>
      </w:r>
      <w:r w:rsidR="00F83621" w:rsidRPr="00670115">
        <w:t xml:space="preserve"> : Industrial Revolution 5.0 and Human Digital Twin (HDT)</w:t>
      </w:r>
    </w:p>
    <w:p w14:paraId="3A216EF4" w14:textId="77777777" w:rsidR="005B63F0" w:rsidRPr="00670115" w:rsidRDefault="005B63F0" w:rsidP="005B63F0">
      <w:pPr>
        <w:pStyle w:val="Heading1"/>
        <w:numPr>
          <w:ilvl w:val="0"/>
          <w:numId w:val="0"/>
        </w:numPr>
        <w:ind w:left="720" w:hanging="720"/>
        <w:rPr>
          <w:b w:val="0"/>
          <w:bCs/>
          <w:i/>
          <w:iCs/>
        </w:rPr>
        <w:sectPr w:rsidR="005B63F0" w:rsidRPr="00670115" w:rsidSect="00670115">
          <w:headerReference w:type="default" r:id="rId14"/>
          <w:type w:val="continuous"/>
          <w:pgSz w:w="12240" w:h="15840"/>
          <w:pgMar w:top="810" w:right="1440" w:bottom="1440" w:left="1440" w:header="540" w:footer="2013" w:gutter="0"/>
          <w:cols w:num="2" w:space="708"/>
        </w:sectPr>
      </w:pPr>
      <w:bookmarkStart w:id="0" w:name="_Hlk145574166"/>
    </w:p>
    <w:p w14:paraId="00B99E8B" w14:textId="77777777" w:rsidR="005B63F0" w:rsidRPr="00670115" w:rsidRDefault="005B63F0" w:rsidP="005B63F0">
      <w:pPr>
        <w:pStyle w:val="Heading1"/>
        <w:numPr>
          <w:ilvl w:val="0"/>
          <w:numId w:val="0"/>
        </w:numPr>
        <w:ind w:left="720" w:hanging="720"/>
        <w:rPr>
          <w:b w:val="0"/>
          <w:bCs/>
          <w:i/>
          <w:iCs/>
        </w:rPr>
      </w:pPr>
      <w:r w:rsidRPr="00670115">
        <w:rPr>
          <w:b w:val="0"/>
          <w:bCs/>
          <w:i/>
          <w:iCs/>
        </w:rPr>
        <w:t>1.1  Background</w:t>
      </w:r>
    </w:p>
    <w:p w14:paraId="07DE96C5" w14:textId="77777777" w:rsidR="005B63F0" w:rsidRPr="00670115" w:rsidRDefault="005B63F0" w:rsidP="005B63F0">
      <w:pPr>
        <w:jc w:val="both"/>
        <w:rPr>
          <w:rFonts w:ascii="Times New Roman" w:hAnsi="Times New Roman" w:cs="Times New Roman"/>
          <w:sz w:val="20"/>
          <w:szCs w:val="20"/>
        </w:rPr>
      </w:pPr>
      <w:r w:rsidRPr="00670115">
        <w:rPr>
          <w:rFonts w:ascii="Times New Roman" w:hAnsi="Times New Roman" w:cs="Times New Roman"/>
          <w:sz w:val="20"/>
          <w:szCs w:val="20"/>
        </w:rPr>
        <w:t xml:space="preserve">The industrial landscape is undergoing a significant shift towards Industry 5.0, marked by the integration of digital technology for enhanced efficiency, environmental sustainability, and overall robustness </w:t>
      </w:r>
      <w:r w:rsidRPr="00670115">
        <w:rPr>
          <w:rFonts w:ascii="Times New Roman" w:hAnsi="Times New Roman" w:cs="Times New Roman"/>
          <w:sz w:val="20"/>
          <w:szCs w:val="20"/>
        </w:rPr>
        <w:fldChar w:fldCharType="begin" w:fldLock="1"/>
      </w:r>
      <w:r w:rsidRPr="00670115">
        <w:rPr>
          <w:rFonts w:ascii="Times New Roman" w:hAnsi="Times New Roman" w:cs="Times New Roman"/>
          <w:sz w:val="20"/>
          <w:szCs w:val="20"/>
        </w:rPr>
        <w:instrText>ADDIN CSL_CITATION {"citationItems":[{"id":"ITEM-1","itemData":{"DOI":"10.2777/308407","ISBN":"9789276253082","author":[{"dropping-particle":"","family":"Cotta","given":"Jose","non-dropping-particle":"","parse-names":false,"suffix":""},{"dropping-particle":"","family":"Breque","given":"Maija","non-dropping-particle":"","parse-names":false,"suffix":""},{"dropping-particle":"De","family":"Nul","given":"Lars","non-dropping-particle":"","parse-names":false,"suffix":""},{"dropping-particle":"","family":"Petridis","given":"Athanasios","non-dropping-particle":"","parse-names":false,"suffix":""}],"container-title":"Luxembourg: Publications Office of the European Union","id":"ITEM-1","issued":{"date-parts":[["2021"]]},"note":"Research gap well define","title":"Towards a sustainable, human- centric and resilient European industry","type":"article-journal"},"uris":["http://www.mendeley.com/documents/?uuid=2351a802-28ca-4771-bf0d-721781ee3a3f"]},{"id":"ITEM-2","itemData":{"author":[{"dropping-particle":"","family":"Nahavandi","given":"Saeid","non-dropping-particle":"","parse-names":false,"suffix":""}],"container-title":"Sustainability (Switzerland)","id":"ITEM-2","issued":{"date-parts":[["2019"]]},"note":"Best Paper","title":"Industry 5 . 0 — A Human-Centric Solution","type":"article-journal"},"uris":["http://www.mendeley.com/documents/?uuid=129ec8d3-5f53-4c80-a407-40886075b37f"]},{"id":"ITEM-3","itemData":{"abstract":"The industry is a key driver of economic development. However, changes caused by introduction of modern technologies, and increasing complexity of products and production, directly affect the industrial enterprises and workers. The critics of the Industry 4.0 paradigm emphasized its orientation to new technologies and digitalization in a technocratic way. Therefore, the new industrial paradigm Industry 5.0 appeared very soon and automatically triggered a debate about the role of, and reasons for applying, the new paradigm. Industry 5.0 is complementing the existing Industry 4.0 paradigm with the orientation to the worker who has an important role in the production process, and that role has been emphasized during the COVID-19 pandemic. In this research, there is a brief discussion on main drivers and enablers for introduction of these new paradigms, then a literature- based analysis is carried out to highlight the differences between two paradigms from three important aspects—people, organization, and technology. The conclusion emphasizes the main features and concerns regarding the movement towards Industry 5.0, and the general conclusion is that there is a significant change of the main research aims from sustainability towards human-centricity. At the end, the analysis of maturity models that evaluates enterprises’ readiness to introduce features of new paradigms is given as well. Keywords:","author":[{"dropping-particle":"","family":"Zizic","given":"Marina Crnjac","non-dropping-particle":"","parse-names":false,"suffix":""},{"dropping-particle":"","family":"Mladineo","given":"Marko","non-dropping-particle":"","parse-names":false,"suffix":""},{"dropping-particle":"","family":"Gjeldum","given":"Nikola","non-dropping-particle":"","parse-names":false,"suffix":""},{"dropping-particle":"","family":"Celent","given":"Luka","non-dropping-particle":"","parse-names":false,"suffix":""}],"container-title":"Energies","id":"ITEM-3","issued":{"date-parts":[["2022"]]},"title":"of Paradigm Shift for the People , Organization and Technology","type":"article-journal"},"uris":["http://www.mendeley.com/documents/?uuid=668f2a49-eabb-49ea-894e-25c6ddd5e2f6"]}],"mendeley":{"formattedCitation":"&lt;sup&gt;1–3&lt;/sup&gt;","plainTextFormattedCitation":"1–3","previouslyFormattedCitation":"(Nahavandi, 2019; Cotta &lt;i&gt;et al.&lt;/i&gt;, 2021; Zizic &lt;i&gt;et al.&lt;/i&gt;, 2022)"},"properties":{"noteIndex":0},"schema":"https://github.com/citation-style-language/schema/raw/master/csl-citation.json"}</w:instrText>
      </w:r>
      <w:r w:rsidRPr="00670115">
        <w:rPr>
          <w:rFonts w:ascii="Times New Roman" w:hAnsi="Times New Roman" w:cs="Times New Roman"/>
          <w:sz w:val="20"/>
          <w:szCs w:val="20"/>
        </w:rPr>
        <w:fldChar w:fldCharType="separate"/>
      </w:r>
      <w:r w:rsidRPr="00670115">
        <w:rPr>
          <w:rFonts w:ascii="Times New Roman" w:hAnsi="Times New Roman" w:cs="Times New Roman"/>
          <w:noProof/>
          <w:sz w:val="20"/>
          <w:szCs w:val="20"/>
          <w:vertAlign w:val="superscript"/>
        </w:rPr>
        <w:t>1–3</w:t>
      </w:r>
      <w:r w:rsidRPr="00670115">
        <w:rPr>
          <w:rFonts w:ascii="Times New Roman" w:hAnsi="Times New Roman" w:cs="Times New Roman"/>
          <w:sz w:val="20"/>
          <w:szCs w:val="20"/>
        </w:rPr>
        <w:fldChar w:fldCharType="end"/>
      </w:r>
      <w:r w:rsidRPr="00670115">
        <w:rPr>
          <w:rFonts w:ascii="Times New Roman" w:hAnsi="Times New Roman" w:cs="Times New Roman"/>
          <w:sz w:val="20"/>
          <w:szCs w:val="20"/>
        </w:rPr>
        <w:t xml:space="preserve">. Figure 1 visually maps the progression from Industry 1.0 to Industry 5.0, with Industry 4.0 introducing improved efficiency and process automation </w:t>
      </w:r>
      <w:r w:rsidRPr="00670115">
        <w:rPr>
          <w:rFonts w:ascii="Times New Roman" w:hAnsi="Times New Roman" w:cs="Times New Roman"/>
          <w:sz w:val="20"/>
          <w:szCs w:val="20"/>
        </w:rPr>
        <w:fldChar w:fldCharType="begin" w:fldLock="1"/>
      </w:r>
      <w:r w:rsidRPr="00670115">
        <w:rPr>
          <w:rFonts w:ascii="Times New Roman" w:hAnsi="Times New Roman" w:cs="Times New Roman"/>
          <w:sz w:val="20"/>
          <w:szCs w:val="20"/>
        </w:rPr>
        <w:instrText>ADDIN CSL_CITATION {"citationItems":[{"id":"ITEM-1","itemData":{"DOI":"10.3390/pr11010193","ISSN":"22279717","abstract":"Industry 5.0 presents itself as a strategy that puts the human factor at the centre of production, where the well-being of the worker is prioritized, as well as more sustainable and resilient production systems. For human centricity, it is necessary to empower human beings and, respectively, industrial operators, to improve their individual skills and competences in collaboration or cooperation with digital technologies. This research’s main purpose and distinguishing point are to determine whether Industry 5.0 is truly human-oriented and how human centricity can be created with Industry 5.0 technologies. For that, this systematic literature review article analyses and clarifies the concepts and ideologies of Industry 5.0 and its respective technologies (Artificial Intelligence, Robotics, Human-robot collaboration, Digitalization), as well as the strategies of human centricity, with the aim of achieving sustainable and resilient systems, especially for the worker.","author":[{"dropping-particle":"","family":"Alves","given":"Joel","non-dropping-particle":"","parse-names":false,"suffix":""},{"dropping-particle":"","family":"Lima","given":"Tânia M.","non-dropping-particle":"","parse-names":false,"suffix":""},{"dropping-particle":"","family":"Gaspar","given":"Pedro D.","non-dropping-particle":"","parse-names":false,"suffix":""}],"container-title":"Processes","id":"ITEM-1","issue":"1","issued":{"date-parts":[["2023"]]},"note":"The paper is base paper for the older version of my research.","page":"0-15","title":"Is Industry 5.0 a Human-Centred Approach? A Systematic Review","type":"article-journal","volume":"11"},"uris":["http://www.mendeley.com/documents/?uuid=b36e1f30-143f-4578-8b9b-435113630320"]}],"mendeley":{"formattedCitation":"&lt;sup&gt;4&lt;/sup&gt;","plainTextFormattedCitation":"4","previouslyFormattedCitation":"(Alves, Lima and Gaspar, 2023)"},"properties":{"noteIndex":0},"schema":"https://github.com/citation-style-language/schema/raw/master/csl-citation.json"}</w:instrText>
      </w:r>
      <w:r w:rsidRPr="00670115">
        <w:rPr>
          <w:rFonts w:ascii="Times New Roman" w:hAnsi="Times New Roman" w:cs="Times New Roman"/>
          <w:sz w:val="20"/>
          <w:szCs w:val="20"/>
        </w:rPr>
        <w:fldChar w:fldCharType="separate"/>
      </w:r>
      <w:r w:rsidRPr="00670115">
        <w:rPr>
          <w:rFonts w:ascii="Times New Roman" w:hAnsi="Times New Roman" w:cs="Times New Roman"/>
          <w:noProof/>
          <w:sz w:val="20"/>
          <w:szCs w:val="20"/>
          <w:vertAlign w:val="superscript"/>
        </w:rPr>
        <w:t>4</w:t>
      </w:r>
      <w:r w:rsidRPr="00670115">
        <w:rPr>
          <w:rFonts w:ascii="Times New Roman" w:hAnsi="Times New Roman" w:cs="Times New Roman"/>
          <w:sz w:val="20"/>
          <w:szCs w:val="20"/>
        </w:rPr>
        <w:fldChar w:fldCharType="end"/>
      </w:r>
      <w:r w:rsidRPr="00670115">
        <w:rPr>
          <w:rFonts w:ascii="Times New Roman" w:hAnsi="Times New Roman" w:cs="Times New Roman"/>
          <w:sz w:val="20"/>
          <w:szCs w:val="20"/>
        </w:rPr>
        <w:t>. However, Industry 5.0 aims to address overlooked aspects like environmental and social metrics, as well as human health and safety, by emphasizing human-centricity. This approach taps into the cognitive abilities, defect tolerance, and inventiveness of individuals, fostering adaptability, resilience, and agility.</w:t>
      </w:r>
    </w:p>
    <w:p w14:paraId="493066D1" w14:textId="77777777" w:rsidR="00670115" w:rsidRPr="00670115" w:rsidRDefault="00670115" w:rsidP="005B63F0">
      <w:pPr>
        <w:jc w:val="both"/>
        <w:rPr>
          <w:rFonts w:ascii="Times New Roman" w:hAnsi="Times New Roman" w:cs="Times New Roman"/>
          <w:sz w:val="20"/>
          <w:szCs w:val="20"/>
        </w:rPr>
      </w:pPr>
    </w:p>
    <w:p w14:paraId="014AA60A" w14:textId="77777777" w:rsidR="005B63F0" w:rsidRPr="00670115" w:rsidRDefault="005B63F0" w:rsidP="00670115">
      <w:pPr>
        <w:ind w:firstLine="288"/>
        <w:jc w:val="both"/>
        <w:rPr>
          <w:rFonts w:ascii="Times New Roman" w:hAnsi="Times New Roman" w:cs="Times New Roman"/>
          <w:sz w:val="20"/>
          <w:szCs w:val="20"/>
        </w:rPr>
      </w:pPr>
      <w:r w:rsidRPr="00670115">
        <w:rPr>
          <w:rFonts w:ascii="Times New Roman" w:hAnsi="Times New Roman" w:cs="Times New Roman"/>
          <w:sz w:val="20"/>
          <w:szCs w:val="20"/>
        </w:rPr>
        <w:t xml:space="preserve">The human-centric approach becomes crucial for sustained competitiveness, prioritizing the development of labor skills and considering the mental and physical health of individuals within an industry </w:t>
      </w:r>
      <w:r w:rsidRPr="00670115">
        <w:rPr>
          <w:rFonts w:ascii="Times New Roman" w:hAnsi="Times New Roman" w:cs="Times New Roman"/>
          <w:sz w:val="20"/>
          <w:szCs w:val="20"/>
        </w:rPr>
        <w:fldChar w:fldCharType="begin" w:fldLock="1"/>
      </w:r>
      <w:r w:rsidRPr="00670115">
        <w:rPr>
          <w:rFonts w:ascii="Times New Roman" w:hAnsi="Times New Roman" w:cs="Times New Roman"/>
          <w:sz w:val="20"/>
          <w:szCs w:val="20"/>
        </w:rPr>
        <w:instrText>ADDIN CSL_CITATION {"citationItems":[{"id":"ITEM-1","itemData":{"DOI":"10.1016/j.eng.2019.07.015","ISSN":"20958099","abstract":"An intelligent manufacturing system is a composite intelligent system comprising humans, cyber systems, and physical systems with the aim of achieving specific manufacturing goals at an optimized level. This kind of intelligent system is called a human–cyber–physical system (HCPS). In terms of technology, HCPSs can both reveal technological principles and form the technological architecture for intelligent manufacturing. It can be concluded that the essence of intelligent manufacturing is to design, construct, and apply HCPSs in various cases and at different levels. With advances in information technology, intelligent manufacturing has passed through the stages of digital manufacturing and digital-networked manufacturing, and is evolving toward new-generation intelligent manufacturing (NGIM). NGIM is characterized by the in-depth integration of new-generation artificial intelligence (AI) technology (i.e., enabling technology) with advanced manufacturing technology (i.e., root technology); it is the core driving force of the new industrial revolution. In this study, the evolutionary footprint of intelligent manufacturing is reviewed from the perspective of HCPSs, and the implications, characteristics, technical frame, and key technologies of HCPSs for NGIM are then discussed in depth. Finally, an outlook of the major challenges of HCPSs for NGIM is proposed.","author":[{"dropping-particle":"","family":"Zhou","given":"Ji","non-dropping-particle":"","parse-names":false,"suffix":""},{"dropping-particle":"","family":"Zhou","given":"Yanhong","non-dropping-particle":"","parse-names":false,"suffix":""},{"dropping-particle":"","family":"Wang","given":"Baicun","non-dropping-particle":"","parse-names":false,"suffix":""},{"dropping-particle":"","family":"Zang","given":"Jiyuan","non-dropping-particle":"","parse-names":false,"suffix":""}],"container-title":"Engineering","id":"ITEM-1","issue":"4","issued":{"date-parts":[["2019"]]},"title":"Human–Cyber–Physical Systems (HCPSs) in the Context of New-Generation Intelligent Manufacturing","type":"article-journal","volume":"5"},"uris":["http://www.mendeley.com/documents/?uuid=246aab65-6a9c-33c1-89b4-1226e02744f4"]},{"id":"ITEM-2","itemData":{"DOI":"10.3390/su15075660","ISSN":"20711050","abstract":"The Internet of Things (IoT) and blockchain (BC) are reliable technologies widely employed in various contexts. IoT devices have a lot of potential for data sensing and recording without human intervention, but they also have processing and security issues. Due to their limited computing power, IoT devices cannot use specialized cryptographic security mechanisms. There are various challenges when using traditional cryptographic techniques to transport and store medical records securely. The general public’s health depends on having an electronic health record (EHR) system that is current. In the era of e-health and m-health, problems with integrating data from various EHRs, preserving data interoperability, and ensuring that all data access is in the patient’s hands are all obstacles to creating a dependable EHR system. If health records get into the wrong hands, they could endanger the lives of patients and their right to privacy. BC technology has become a potent tool for ensuring recorded data’s immutability, validity, and confidentiality while enabling decentralized storage. This study focuses on EHR and other types of e-healthcare, evaluating the advantages of complementary technologies and the underlying functional principles. The major BC consensus mechanisms for BC-based EHR systems are analyzed in this study. It also examines several IoT-EHR frameworks’ current infrastructures. A breakdown of BC integration’s benefits with the IoT-EHR framework is also offered. A BC-based IoT-EHR architecture has been developed to enable the automated sensing of patient records and to store and retrieve these records in a secure and reliable environment. Finally, we conduct a security study to demonstrate the security of our suggested EHR framework.","author":[{"dropping-particle":"","family":"Alam","given":"Shadab","non-dropping-particle":"","parse-names":false,"suffix":""},{"dropping-particle":"","family":"Bhatia","given":"Surbhi","non-dropping-particle":"","parse-names":false,"suffix":""},{"dropping-particle":"","family":"Shuaib","given":"Mohammed","non-dropping-particle":"","parse-names":false,"suffix":""},{"dropping-particle":"","family":"Khubrani","given":"Mousa Mohammed","non-dropping-particle":"","parse-names":false,"suffix":""},{"dropping-particle":"","family":"Alfayez","given":"Fayez","non-dropping-particle":"","parse-names":false,"suffix":""},{"dropping-particle":"","family":"Malibari","given":"Areej A.","non-dropping-particle":"","parse-names":false,"suffix":""},{"dropping-particle":"","family":"Ahmad","given":"Sadaf","non-dropping-particle":"","parse-names":false,"suffix":""}],"container-title":"Sustainability (Switzerland)","id":"ITEM-2","issue":"7","issued":{"date-parts":[["2023"]]},"title":"An Overview of Blockchain and IoT Integration for Secure and Reliable Health Records Monitoring","type":"article-journal","volume":"15"},"uris":["http://www.mendeley.com/documents/?uuid=e51a5a3b-9c08-365a-9f8a-1bdd3f500b88"]}],"mendeley":{"formattedCitation":"&lt;sup&gt;5,6&lt;/sup&gt;","plainTextFormattedCitation":"5,6","previouslyFormattedCitation":"(Zhou &lt;i&gt;et al.&lt;/i&gt;, 2019; Alam &lt;i&gt;et al.&lt;/i&gt;, 2023)"},"properties":{"noteIndex":0},"schema":"https://github.com/citation-style-language/schema/raw/master/csl-citation.json"}</w:instrText>
      </w:r>
      <w:r w:rsidRPr="00670115">
        <w:rPr>
          <w:rFonts w:ascii="Times New Roman" w:hAnsi="Times New Roman" w:cs="Times New Roman"/>
          <w:sz w:val="20"/>
          <w:szCs w:val="20"/>
        </w:rPr>
        <w:fldChar w:fldCharType="separate"/>
      </w:r>
      <w:r w:rsidRPr="00670115">
        <w:rPr>
          <w:rFonts w:ascii="Times New Roman" w:hAnsi="Times New Roman" w:cs="Times New Roman"/>
          <w:noProof/>
          <w:sz w:val="20"/>
          <w:szCs w:val="20"/>
          <w:vertAlign w:val="superscript"/>
        </w:rPr>
        <w:t>5,6</w:t>
      </w:r>
      <w:r w:rsidRPr="00670115">
        <w:rPr>
          <w:rFonts w:ascii="Times New Roman" w:hAnsi="Times New Roman" w:cs="Times New Roman"/>
          <w:sz w:val="20"/>
          <w:szCs w:val="20"/>
        </w:rPr>
        <w:fldChar w:fldCharType="end"/>
      </w:r>
      <w:r w:rsidRPr="00670115">
        <w:rPr>
          <w:rFonts w:ascii="Times New Roman" w:hAnsi="Times New Roman" w:cs="Times New Roman"/>
          <w:sz w:val="20"/>
          <w:szCs w:val="20"/>
        </w:rPr>
        <w:t xml:space="preserve">. It aligns with the broader goals of contributing enduringly to society and promoting sustainable economic development while ensuring technological advancements uphold human rights </w:t>
      </w:r>
      <w:r w:rsidRPr="00670115">
        <w:rPr>
          <w:rFonts w:ascii="Times New Roman" w:hAnsi="Times New Roman" w:cs="Times New Roman"/>
          <w:sz w:val="20"/>
          <w:szCs w:val="20"/>
        </w:rPr>
        <w:fldChar w:fldCharType="begin" w:fldLock="1"/>
      </w:r>
      <w:r w:rsidRPr="00670115">
        <w:rPr>
          <w:rFonts w:ascii="Times New Roman" w:hAnsi="Times New Roman" w:cs="Times New Roman"/>
          <w:sz w:val="20"/>
          <w:szCs w:val="20"/>
        </w:rPr>
        <w:instrText>ADDIN CSL_CITATION {"citationItems":[{"id":"ITEM-1","itemData":{"DOI":"10.1016/j.jmsy.2022.07.010","ISSN":"02786125","abstract":"Recently, the futuristic industry and society have caught increasing attention, that is, on Industry 5.0 and Society 5.0. Industry 5.0 is announced by European Commission toward a sustainable, human-centric, and resilient European industry. Society 5.0 is proposed by Japan Cabinet to balance economic advancement with the resolution of social problems in Japanese society. Generally, the revolutions of industry and society have profoundly interacted with each other since the first industrial revolution. The coexistence of Industry 5.0 and Society 5.0 could raise varying confusions to be clarified and a series of questions to be answered. Therefore, we attempt to present the comparison, complementation, and co-evolution between Industry 5.0 and Society 5.0 to address the corresponding foundational arguments about Industry 5.0 and Society 5.0, which could be the basic inspiration for future investigation and discussion and accelerate the development of Industry 5.0 and Society 5.0.","author":[{"dropping-particle":"","family":"Huang","given":"Sihan","non-dropping-particle":"","parse-names":false,"suffix":""},{"dropping-particle":"","family":"Wang","given":"Baicun","non-dropping-particle":"","parse-names":false,"suffix":""},{"dropping-particle":"","family":"Li","given":"Xingyu","non-dropping-particle":"","parse-names":false,"suffix":""},{"dropping-particle":"","family":"Zheng","given":"Pai","non-dropping-particle":"","parse-names":false,"suffix":""},{"dropping-particle":"","family":"Mourtzis","given":"Dimitris","non-dropping-particle":"","parse-names":false,"suffix":""},{"dropping-particle":"","family":"Wang","given":"Lihui","non-dropping-particle":"","parse-names":false,"suffix":""}],"container-title":"Journal of Manufacturing Systems","id":"ITEM-1","issued":{"date-parts":[["2022"]]},"title":"Industry 5.0 and Society 5.0—Comparison, complementation and co-evolution","type":"article-journal","volume":"64"},"uris":["http://www.mendeley.com/documents/?uuid=3beceb1c-ad42-3244-a46c-8ed8c053e16e"]}],"mendeley":{"formattedCitation":"&lt;sup&gt;7&lt;/sup&gt;","plainTextFormattedCitation":"7","previouslyFormattedCitation":"(Huang &lt;i&gt;et al.&lt;/i&gt;, 2022)"},"properties":{"noteIndex":0},"schema":"https://github.com/citation-style-language/schema/raw/master/csl-citation.json"}</w:instrText>
      </w:r>
      <w:r w:rsidRPr="00670115">
        <w:rPr>
          <w:rFonts w:ascii="Times New Roman" w:hAnsi="Times New Roman" w:cs="Times New Roman"/>
          <w:sz w:val="20"/>
          <w:szCs w:val="20"/>
        </w:rPr>
        <w:fldChar w:fldCharType="separate"/>
      </w:r>
      <w:r w:rsidRPr="00670115">
        <w:rPr>
          <w:rFonts w:ascii="Times New Roman" w:hAnsi="Times New Roman" w:cs="Times New Roman"/>
          <w:noProof/>
          <w:sz w:val="20"/>
          <w:szCs w:val="20"/>
          <w:vertAlign w:val="superscript"/>
        </w:rPr>
        <w:t>7</w:t>
      </w:r>
      <w:r w:rsidRPr="00670115">
        <w:rPr>
          <w:rFonts w:ascii="Times New Roman" w:hAnsi="Times New Roman" w:cs="Times New Roman"/>
          <w:sz w:val="20"/>
          <w:szCs w:val="20"/>
        </w:rPr>
        <w:fldChar w:fldCharType="end"/>
      </w:r>
      <w:r w:rsidRPr="00670115">
        <w:rPr>
          <w:rFonts w:ascii="Times New Roman" w:hAnsi="Times New Roman" w:cs="Times New Roman"/>
          <w:sz w:val="20"/>
          <w:szCs w:val="20"/>
        </w:rPr>
        <w:t xml:space="preserve">. This approach is vital for achieving societal sustainability and resilience by placing humans at the center of production processes and meeting diverse human needs </w:t>
      </w:r>
      <w:r w:rsidRPr="00670115">
        <w:rPr>
          <w:rFonts w:ascii="Times New Roman" w:hAnsi="Times New Roman" w:cs="Times New Roman"/>
          <w:sz w:val="20"/>
          <w:szCs w:val="20"/>
        </w:rPr>
        <w:fldChar w:fldCharType="begin" w:fldLock="1"/>
      </w:r>
      <w:r w:rsidRPr="00670115">
        <w:rPr>
          <w:rFonts w:ascii="Times New Roman" w:hAnsi="Times New Roman" w:cs="Times New Roman"/>
          <w:sz w:val="20"/>
          <w:szCs w:val="20"/>
        </w:rPr>
        <w:instrText>ADDIN CSL_CITATION {"citationItems":[{"id":"ITEM-1","itemData":{"DOI":"10.1016/j.techsoc.2022.102086","ISSN":"0160791X","abstract":"This systematic review brings together the collection of recent scholarly outputs on the disruptive impact of digital transformation on the work. This paper draws from a sample of 68 outputs from 2011 to 2022. We identify three key theoretical perspectives: socio-technical systems theory, skill-biased technological change, and political economy of digital transformation. The articles provide complementary insights on cross-cutting themes of technological unemployment, wage inequality and job polarization. They also highlight often conflicting views about technology ownership, work-less utopia, education reforms and the imperative of human-centricity in appropriation of technology. Drawing on the findings across the whole spectrum of theoretical and analytical perspectives, we offer critical reflections about the factors that will define the work of the future, in terms of skills, creativity and opportunities for autonomous workers. We also discuss the political and institutional processes that will shape the future of work. Finally, we offer recommendations for future research and policy interventions.","author":[{"dropping-particle":"","family":"Kolade","given":"Oluwaseun","non-dropping-particle":"","parse-names":false,"suffix":""},{"dropping-particle":"","family":"Owoseni","given":"Adebowale","non-dropping-particle":"","parse-names":false,"suffix":""}],"container-title":"Technology in Society","id":"ITEM-1","issued":{"date-parts":[["2022"]]},"title":"Employment 5.0: The work of the future and the future of work","type":"article-journal","volume":"71"},"uris":["http://www.mendeley.com/documents/?uuid=58295a1c-5aed-30f8-87fd-c0b8e9816bec"]}],"mendeley":{"formattedCitation":"&lt;sup&gt;8&lt;/sup&gt;","plainTextFormattedCitation":"8","previouslyFormattedCitation":"(Kolade and Owoseni, 2022)"},"properties":{"noteIndex":0},"schema":"https://github.com/citation-style-language/schema/raw/master/csl-citation.json"}</w:instrText>
      </w:r>
      <w:r w:rsidRPr="00670115">
        <w:rPr>
          <w:rFonts w:ascii="Times New Roman" w:hAnsi="Times New Roman" w:cs="Times New Roman"/>
          <w:sz w:val="20"/>
          <w:szCs w:val="20"/>
        </w:rPr>
        <w:fldChar w:fldCharType="separate"/>
      </w:r>
      <w:r w:rsidRPr="00670115">
        <w:rPr>
          <w:rFonts w:ascii="Times New Roman" w:hAnsi="Times New Roman" w:cs="Times New Roman"/>
          <w:noProof/>
          <w:sz w:val="20"/>
          <w:szCs w:val="20"/>
          <w:vertAlign w:val="superscript"/>
        </w:rPr>
        <w:t>8</w:t>
      </w:r>
      <w:r w:rsidRPr="00670115">
        <w:rPr>
          <w:rFonts w:ascii="Times New Roman" w:hAnsi="Times New Roman" w:cs="Times New Roman"/>
          <w:sz w:val="20"/>
          <w:szCs w:val="20"/>
        </w:rPr>
        <w:fldChar w:fldCharType="end"/>
      </w:r>
      <w:r w:rsidRPr="00670115">
        <w:rPr>
          <w:rFonts w:ascii="Times New Roman" w:hAnsi="Times New Roman" w:cs="Times New Roman"/>
          <w:sz w:val="20"/>
          <w:szCs w:val="20"/>
        </w:rPr>
        <w:t>.</w:t>
      </w:r>
    </w:p>
    <w:p w14:paraId="5361D755" w14:textId="77777777" w:rsidR="00670115" w:rsidRPr="00670115" w:rsidRDefault="00670115" w:rsidP="005B63F0">
      <w:pPr>
        <w:jc w:val="both"/>
        <w:rPr>
          <w:rFonts w:ascii="Times New Roman" w:hAnsi="Times New Roman" w:cs="Times New Roman"/>
          <w:sz w:val="20"/>
          <w:szCs w:val="20"/>
        </w:rPr>
      </w:pPr>
    </w:p>
    <w:p w14:paraId="27D07007" w14:textId="60E52FA6" w:rsidR="005B63F0" w:rsidRPr="00670115" w:rsidRDefault="005B63F0" w:rsidP="00670115">
      <w:pPr>
        <w:ind w:firstLine="245"/>
        <w:jc w:val="both"/>
        <w:rPr>
          <w:rFonts w:ascii="Times New Roman" w:hAnsi="Times New Roman" w:cs="Times New Roman"/>
          <w:sz w:val="20"/>
          <w:szCs w:val="20"/>
        </w:rPr>
      </w:pPr>
      <w:r w:rsidRPr="00670115">
        <w:rPr>
          <w:rFonts w:ascii="Times New Roman" w:hAnsi="Times New Roman" w:cs="Times New Roman"/>
          <w:sz w:val="20"/>
          <w:szCs w:val="20"/>
        </w:rPr>
        <w:t xml:space="preserve">Humans play a unique role in smart manufacturing systems, offering values such as creativity, decision-making ability, cognition, and dexterity </w:t>
      </w:r>
      <w:r w:rsidRPr="00670115">
        <w:rPr>
          <w:rFonts w:ascii="Times New Roman" w:hAnsi="Times New Roman" w:cs="Times New Roman"/>
          <w:sz w:val="20"/>
          <w:szCs w:val="20"/>
        </w:rPr>
        <w:fldChar w:fldCharType="begin" w:fldLock="1"/>
      </w:r>
      <w:r w:rsidRPr="00670115">
        <w:rPr>
          <w:rFonts w:ascii="Times New Roman" w:hAnsi="Times New Roman" w:cs="Times New Roman"/>
          <w:sz w:val="20"/>
          <w:szCs w:val="20"/>
        </w:rPr>
        <w:instrText>ADDIN CSL_CITATION {"citationItems":[{"id":"ITEM-1","itemData":{"DOI":"10.3389/frobt.2022.813907","ISSN":"22969144","abstract":"In the current industrial context, the importance of assessing and improving workers’ health conditions is widely recognised. Both physical and psycho-social factors contribute to jeopardising the underlying comfort and well-being, boosting the occurrence of diseases and injuries, and affecting their quality of life. Human-robot interaction and collaboration frameworks stand out among the possible solutions to prevent and mitigate workplace risk factors. The increasingly advanced control strategies and planning schemes featured by collaborative robots have the potential to foster fruitful and efficient coordination during the execution of hybrid tasks, by meeting their human counterparts’ needs and limits. To this end, a thorough and comprehensive evaluation of an individual’s ergonomics, i.e. direct effect of workload on the human psycho-physical state, must be taken into account. In this review article, we provide an overview of the existing ergonomics assessment tools as well as the available monitoring technologies to drive and adapt a collaborative robot’s behaviour. Preliminary attempts of ergonomic human-robot collaboration frameworks are presented next, discussing state-of-the-art limitations and challenges. Future trends and promising themes are finally highlighted, aiming to promote safety, health, and equality in worldwide workplaces.","author":[{"dropping-particle":"","family":"Lorenzini","given":"Marta","non-dropping-particle":"","parse-names":false,"suffix":""},{"dropping-particle":"","family":"Lagomarsino","given":"Marta","non-dropping-particle":"","parse-names":false,"suffix":""},{"dropping-particle":"","family":"Fortini","given":"Luca","non-dropping-particle":"","parse-names":false,"suffix":""},{"dropping-particle":"","family":"Gholami","given":"Soheil","non-dropping-particle":"","parse-names":false,"suffix":""},{"dropping-particle":"","family":"Ajoudani","given":"Arash","non-dropping-particle":"","parse-names":false,"suffix":""}],"container-title":"Frontiers in Robotics and AI","id":"ITEM-1","issued":{"date-parts":[["2023"]]},"title":"Ergonomic human-robot collaboration in industry: A review","type":"article","volume":"9"},"uris":["http://www.mendeley.com/documents/?uuid=e92abf2e-2a10-3fab-a58a-351682537112"]}],"mendeley":{"formattedCitation":"&lt;sup&gt;9&lt;/sup&gt;","plainTextFormattedCitation":"9","previouslyFormattedCitation":"(Lorenzini &lt;i&gt;et al.&lt;/i&gt;, 2023)"},"properties":{"noteIndex":0},"schema":"https://github.com/citation-style-language/schema/raw/master/csl-citation.json"}</w:instrText>
      </w:r>
      <w:r w:rsidRPr="00670115">
        <w:rPr>
          <w:rFonts w:ascii="Times New Roman" w:hAnsi="Times New Roman" w:cs="Times New Roman"/>
          <w:sz w:val="20"/>
          <w:szCs w:val="20"/>
        </w:rPr>
        <w:fldChar w:fldCharType="separate"/>
      </w:r>
      <w:r w:rsidRPr="00670115">
        <w:rPr>
          <w:rFonts w:ascii="Times New Roman" w:hAnsi="Times New Roman" w:cs="Times New Roman"/>
          <w:noProof/>
          <w:sz w:val="20"/>
          <w:szCs w:val="20"/>
          <w:vertAlign w:val="superscript"/>
        </w:rPr>
        <w:t>9</w:t>
      </w:r>
      <w:r w:rsidRPr="00670115">
        <w:rPr>
          <w:rFonts w:ascii="Times New Roman" w:hAnsi="Times New Roman" w:cs="Times New Roman"/>
          <w:sz w:val="20"/>
          <w:szCs w:val="20"/>
        </w:rPr>
        <w:fldChar w:fldCharType="end"/>
      </w:r>
      <w:r w:rsidRPr="00670115">
        <w:rPr>
          <w:rFonts w:ascii="Times New Roman" w:hAnsi="Times New Roman" w:cs="Times New Roman"/>
          <w:sz w:val="20"/>
          <w:szCs w:val="20"/>
        </w:rPr>
        <w:t xml:space="preserve">. Collaboration between humans and machines results in higher productivity for manufacturing tasks compared to manual work or automation alone, spanning inspections, assembly, logistics, and maintenance </w:t>
      </w:r>
      <w:r w:rsidRPr="00670115">
        <w:rPr>
          <w:rFonts w:ascii="Times New Roman" w:hAnsi="Times New Roman" w:cs="Times New Roman"/>
          <w:sz w:val="20"/>
          <w:szCs w:val="20"/>
        </w:rPr>
        <w:fldChar w:fldCharType="begin" w:fldLock="1"/>
      </w:r>
      <w:r w:rsidRPr="00670115">
        <w:rPr>
          <w:rFonts w:ascii="Times New Roman" w:hAnsi="Times New Roman" w:cs="Times New Roman"/>
          <w:sz w:val="20"/>
          <w:szCs w:val="20"/>
        </w:rPr>
        <w:instrText>ADDIN CSL_CITATION {"citationItems":[{"id":"ITEM-1","itemData":{"DOI":"10.1016/j.cirp.2022.04.019","ISSN":"17260604","abstract":"The benefits of Industry 4.0 are limited by the large computational requirements of ever-larger digital models of complex production systems. A complementary learning paradigm is thus proposed to cultivate knowledge in a team of machines and humans that represents the key to a high-performance manufacturing system. Two types of knowledge are created using light-weighted neural networks and meta-learning: general knowledge of tasks and specific knowledge on collaboration with humans given few interactions. AI-based teaming strategies are designed to enable machines to leverage human expertise in making decisions using local communications that make intricate sensor systems and expensive computation unnecessary.","author":[{"dropping-particle":"","family":"Li","given":"Xingyu","non-dropping-particle":"","parse-names":false,"suffix":""},{"dropping-particle":"","family":"Koren","given":"Yoram","non-dropping-particle":"","parse-names":false,"suffix":""},{"dropping-particle":"","family":"Epureanu","given":"Bogdan I.","non-dropping-particle":"","parse-names":false,"suffix":""}],"container-title":"CIRP Annals","id":"ITEM-1","issue":"1","issued":{"date-parts":[["2022"]]},"title":"Complementary learning-team machines to enlighten and exploit human expertise","type":"article-journal","volume":"71"},"uris":["http://www.mendeley.com/documents/?uuid=e11864a2-97a9-315a-9c3c-93fcec6eda73"]}],"mendeley":{"formattedCitation":"&lt;sup&gt;10&lt;/sup&gt;","plainTextFormattedCitation":"10","previouslyFormattedCitation":"(Li, Koren and Epureanu, 2022)"},"properties":{"noteIndex":0},"schema":"https://github.com/citation-style-language/schema/raw/master/csl-citation.json"}</w:instrText>
      </w:r>
      <w:r w:rsidRPr="00670115">
        <w:rPr>
          <w:rFonts w:ascii="Times New Roman" w:hAnsi="Times New Roman" w:cs="Times New Roman"/>
          <w:sz w:val="20"/>
          <w:szCs w:val="20"/>
        </w:rPr>
        <w:fldChar w:fldCharType="separate"/>
      </w:r>
      <w:r w:rsidRPr="00670115">
        <w:rPr>
          <w:rFonts w:ascii="Times New Roman" w:hAnsi="Times New Roman" w:cs="Times New Roman"/>
          <w:noProof/>
          <w:sz w:val="20"/>
          <w:szCs w:val="20"/>
          <w:vertAlign w:val="superscript"/>
        </w:rPr>
        <w:t>10</w:t>
      </w:r>
      <w:r w:rsidRPr="00670115">
        <w:rPr>
          <w:rFonts w:ascii="Times New Roman" w:hAnsi="Times New Roman" w:cs="Times New Roman"/>
          <w:sz w:val="20"/>
          <w:szCs w:val="20"/>
        </w:rPr>
        <w:fldChar w:fldCharType="end"/>
      </w:r>
      <w:r w:rsidRPr="00670115">
        <w:rPr>
          <w:rFonts w:ascii="Times New Roman" w:hAnsi="Times New Roman" w:cs="Times New Roman"/>
          <w:sz w:val="20"/>
          <w:szCs w:val="20"/>
        </w:rPr>
        <w:t>.</w:t>
      </w:r>
    </w:p>
    <w:p w14:paraId="7B33F86C" w14:textId="04D672D4" w:rsidR="005B63F0" w:rsidRPr="00670115" w:rsidRDefault="005B63F0" w:rsidP="005B63F0">
      <w:pPr>
        <w:pStyle w:val="normaltext"/>
      </w:pPr>
      <w:r w:rsidRPr="00670115">
        <w:t xml:space="preserve">Despite the attention Industry 5.0 has garnered, further clarification is needed for its form and implementation. The general human-centered vision necessitates closer scrutiny for practical application, urging the inclusion of specific case studies </w:t>
      </w:r>
      <w:r w:rsidRPr="00670115">
        <w:fldChar w:fldCharType="begin" w:fldLock="1"/>
      </w:r>
      <w:r w:rsidRPr="00670115">
        <w:instrText>ADDIN CSL_CITATION {"citationItems":[{"id":"ITEM-1","itemData":{"DOI":"10.1016/j.jmsy.2022.09.017","ISSN":"02786125","abstract":"Industry 5.0 blows the whistle on global industrial transformation. It aims to place humans’ well-being at the center of manufacturing systems, thereby achieving social goals beyond employment and growth to provide prosperity robustly for the sustainable development of all humanity. However, the current exploration of Industry 5.0 is still in its infancy where research findings are relatively scarce and little systematic. This paper first reviews the evolutionary vein of Industry 5.0 and three leading characteristics of Industry 5.0: human-centricity, sustainability, and resiliency. The connotation system of Industry 5.0 is discussed, and its diversified essence is analyzed. Then, this paper constructs a tri-dimension system architecture for implementing Industry 5.0, namely, the technical dimension, reality dimension, and application dimension. The paper further discusses key enablers, the future implementation path, potential applications, and challenges of realistic scenarios of Industry 5.0. Finally, the limitations of the current research are discussed with potential future research directions highlighted. It is expected that this review work will arouse lively discussions and debates, and bring together the strengths of all beings for building a comprehensive system of Industry 5.0.","author":[{"dropping-particle":"","family":"Leng","given":"Jiewu","non-dropping-particle":"","parse-names":false,"suffix":""},{"dropping-particle":"","family":"Sha","given":"Weinan","non-dropping-particle":"","parse-names":false,"suffix":""},{"dropping-particle":"","family":"Wang","given":"Baicun","non-dropping-particle":"","parse-names":false,"suffix":""},{"dropping-particle":"","family":"Zheng","given":"Pai","non-dropping-particle":"","parse-names":false,"suffix":""},{"dropping-particle":"","family":"Zhuang","given":"Cunbo","non-dropping-particle":"","parse-names":false,"suffix":""},{"dropping-particle":"","family":"Liu","given":"Qiang","non-dropping-particle":"","parse-names":false,"suffix":""},{"dropping-particle":"","family":"Wuest","given":"Thorsten","non-dropping-particle":"","parse-names":false,"suffix":""},{"dropping-particle":"","family":"Mourtzis","given":"Dimitris","non-dropping-particle":"","parse-names":false,"suffix":""},{"dropping-particle":"","family":"Wang","given":"Lihui","non-dropping-particle":"","parse-names":false,"suffix":""}],"container-title":"Journal of Manufacturing Systems","id":"ITEM-1","issued":{"date-parts":[["2022"]]},"title":"Industry 5.0: Prospect and retrospect","type":"article-journal","volume":"65"},"uris":["http://www.mendeley.com/documents/?uuid=edd7a98e-c3ee-3a00-b605-ee4779cbbb4d"]}],"mendeley":{"formattedCitation":"&lt;sup&gt;11&lt;/sup&gt;","plainTextFormattedCitation":"11","previouslyFormattedCitation":"(Leng &lt;i&gt;et al.&lt;/i&gt;, 2022)"},"properties":{"noteIndex":0},"schema":"https://github.com/citation-style-language/schema/raw/master/csl-citation.json"}</w:instrText>
      </w:r>
      <w:r w:rsidRPr="00670115">
        <w:fldChar w:fldCharType="separate"/>
      </w:r>
      <w:r w:rsidRPr="00670115">
        <w:rPr>
          <w:noProof/>
          <w:vertAlign w:val="superscript"/>
        </w:rPr>
        <w:t>11</w:t>
      </w:r>
      <w:r w:rsidRPr="00670115">
        <w:fldChar w:fldCharType="end"/>
      </w:r>
      <w:r w:rsidRPr="00670115">
        <w:t xml:space="preserve">. Collaboration improvements between humans and machines are vital, requiring novel approaches that allow seamless cooperation and eliminate the need for workers to adapt to machine requirements </w:t>
      </w:r>
      <w:r w:rsidRPr="00670115">
        <w:fldChar w:fldCharType="begin" w:fldLock="1"/>
      </w:r>
      <w:r w:rsidRPr="00670115">
        <w:instrText>ADDIN CSL_CITATION {"citationItems":[{"id":"ITEM-1","itemData":{"DOI":"10.1016/j.jmsy.2022.02.001","ISSN":"02786125","abstract":"The recent shift to wellbeing, sustainability, and resilience under Industry 5.0 has prompted formal discussions that manufacturing should be human-centric – placing the wellbeing of industry workers at the center of manufacturing processes, instead of system-centric – only driven by efficiency and quality improvement and cost reduction. However, there is a lack of shared understanding of the essence of human-centric manufacturing, though significant research efforts exist in enhancing the physical and cognitive wellbeing of operators. Therefore, this position paper presents our arguments on the concept, needs, reference model, enabling technologies and system frameworks of human-centric manufacturing, providing a relatable vision and research agenda for future work in human-centric manufacturing systems. We believe human-centric manufacturing should ultimately address human needs defined in an Industrial Human Needs Pyramid – from basic needs of safety and health to the highest level of esteem and self-actualization. In parallel, human-machine relationships will change following a 5C evolution map – from current Coexistence, Cooperation and Collaboration to future Compassion and Coevolution. As such, human-centric manufacturing systems need to have bi-directional empathy, proactive communication and collaborative intelligence for establishing trustworthy human-machine coevolution relationships, thereby leading to high-performance human-machine teams. It is suggested that future research focus should be on developing transparent, trustworthy and quantifiable technologies that provide a rewarding working environment driven by real-world needs.","author":[{"dropping-particle":"","family":"Lu","given":"Yuqian","non-dropping-particle":"","parse-names":false,"suffix":""},{"dropping-particle":"","family":"Zheng","given":"Hao","non-dropping-particle":"","parse-names":false,"suffix":""},{"dropping-particle":"","family":"Chand","given":"Saahil","non-dropping-particle":"","parse-names":false,"suffix":""},{"dropping-particle":"","family":"Xia","given":"Wanqing","non-dropping-particle":"","parse-names":false,"suffix":""},{"dropping-particle":"","family":"Liu","given":"Zengkun","non-dropping-particle":"","parse-names":false,"suffix":""},{"dropping-particle":"","family":"Xu","given":"Xun","non-dropping-particle":"","parse-names":false,"suffix":""},{"dropping-particle":"","family":"Wang","given":"Lihui","non-dropping-particle":"","parse-names":false,"suffix":""},{"dropping-particle":"","family":"Qin","given":"Zhaojun","non-dropping-particle":"","parse-names":false,"suffix":""},{"dropping-particle":"","family":"Bao","given":"Jinsong","non-dropping-particle":"","parse-names":false,"suffix":""}],"container-title":"Journal of Manufacturing Systems","id":"ITEM-1","issued":{"date-parts":[["2022"]]},"title":"Outlook on human-centric manufacturing towards Industry 5.0","type":"article-journal","volume":"62"},"uris":["http://www.mendeley.com/documents/?uuid=5c9b5b87-c9be-3b94-b552-630acbcd13af"]}],"mendeley":{"formattedCitation":"&lt;sup&gt;12&lt;/sup&gt;","plainTextFormattedCitation":"12","previouslyFormattedCitation":"(Lu &lt;i&gt;et al.&lt;/i&gt;, 2022)"},"properties":{"noteIndex":0},"schema":"https://github.com/citation-style-language/schema/raw/master/csl-citation.json"}</w:instrText>
      </w:r>
      <w:r w:rsidRPr="00670115">
        <w:fldChar w:fldCharType="separate"/>
      </w:r>
      <w:r w:rsidRPr="00670115">
        <w:rPr>
          <w:noProof/>
          <w:vertAlign w:val="superscript"/>
        </w:rPr>
        <w:t>12</w:t>
      </w:r>
      <w:r w:rsidRPr="00670115">
        <w:fldChar w:fldCharType="end"/>
      </w:r>
      <w:r w:rsidRPr="00670115">
        <w:t>. Extensive research is imperative, combining various enabling technologies, including human digital twin. These digital twins (DTs) are foundational for future manufacturing, virtually representing assets, products, and resources for simulating performance, predicting failures, or investigating problems within the factory</w:t>
      </w:r>
      <w:r w:rsidRPr="00670115">
        <w:fldChar w:fldCharType="begin" w:fldLock="1"/>
      </w:r>
      <w:r w:rsidRPr="00670115">
        <w:instrText>ADDIN CSL_CITATION {"citationItems":[{"id":"ITEM-1","itemData":{"DOI":"10.3389/frobt.2022.813907","ISSN":"22969144","abstract":"In the current industrial context, the importance of assessing and improving workers’ health conditions is widely recognised. Both physical and psycho-social factors contribute to jeopardising the underlying comfort and well-being, boosting the occurrence of diseases and injuries, and affecting their quality of life. Human-robot interaction and collaboration frameworks stand out among the possible solutions to prevent and mitigate workplace risk factors. The increasingly advanced control strategies and planning schemes featured by collaborative robots have the potential to foster fruitful and efficient coordination during the execution of hybrid tasks, by meeting their human counterparts’ needs and limits. To this end, a thorough and comprehensive evaluation of an individual’s ergonomics, i.e. direct effect of workload on the human psycho-physical state, must be taken into account. In this review article, we provide an overview of the existing ergonomics assessment tools as well as the available monitoring technologies to drive and adapt a collaborative robot’s behaviour. Preliminary attempts of ergonomic human-robot collaboration frameworks are presented next, discussing state-of-the-art limitations and challenges. Future trends and promising themes are finally highlighted, aiming to promote safety, health, and equality in worldwide workplaces.","author":[{"dropping-particle":"","family":"Lorenzini","given":"Marta","non-dropping-particle":"","parse-names":false,"suffix":""},{"dropping-particle":"","family":"Lagomarsino","given":"Marta","non-dropping-particle":"","parse-names":false,"suffix":""},{"dropping-particle":"","family":"Fortini","given":"Luca","non-dropping-particle":"","parse-names":false,"suffix":""},{"dropping-particle":"","family":"Gholami","given":"Soheil","non-dropping-particle":"","parse-names":false,"suffix":""},{"dropping-particle":"","family":"Ajoudani","given":"Arash","non-dropping-particle":"","parse-names":false,"suffix":""}],"container-title":"Frontiers in Robotics and AI","id":"ITEM-1","issued":{"date-parts":[["2023"]]},"title":"Ergonomic human-robot collaboration in industry: A review","type":"article","volume":"9"},"uris":["http://www.mendeley.com/documents/?uuid=e92abf2e-2a10-3fab-a58a-351682537112"]},{"id":"ITEM-2","itemData":{"DOI":"10.1016/j.cirp.2022.04.019","ISSN":"17260604","abstract":"The benefits of Industry 4.0 are limited by the large computational requirements of ever-larger digital models of complex production systems. A complementary learning paradigm is thus proposed to cultivate knowledge in a team of machines and humans that represents the key to a high-performance manufacturing system. Two types of knowledge are created using light-weighted neural networks and meta-learning: general knowledge of tasks and specific knowledge on collaboration with humans given few interactions. AI-based teaming strategies are designed to enable machines to leverage human expertise in making decisions using local communications that make intricate sensor systems and expensive computation unnecessary.","author":[{"dropping-particle":"","family":"Li","given":"Xingyu","non-dropping-particle":"","parse-names":false,"suffix":""},{"dropping-particle":"","family":"Koren","given":"Yoram","non-dropping-particle":"","parse-names":false,"suffix":""},{"dropping-particle":"","family":"Epureanu","given":"Bogdan I.","non-dropping-particle":"","parse-names":false,"suffix":""}],"container-title":"CIRP Annals","id":"ITEM-2","issue":"1","issued":{"date-parts":[["2022"]]},"title":"Complementary learning-team machines to enlighten and exploit human expertise","type":"article-journal","volume":"71"},"uris":["http://www.mendeley.com/documents/?uuid=e11864a2-97a9-315a-9c3c-93fcec6eda73"]}],"mendeley":{"formattedCitation":"&lt;sup&gt;9,10&lt;/sup&gt;","plainTextFormattedCitation":"9,10","previouslyFormattedCitation":"(Li, Koren and Epureanu, 2022; Lorenzini &lt;i&gt;et al.&lt;/i&gt;, 2023)"},"properties":{"noteIndex":0},"schema":"https://github.com/citation-style-language/schema/raw/master/csl-citation.json"}</w:instrText>
      </w:r>
      <w:r w:rsidRPr="00670115">
        <w:fldChar w:fldCharType="separate"/>
      </w:r>
      <w:r w:rsidRPr="00670115">
        <w:rPr>
          <w:noProof/>
          <w:vertAlign w:val="superscript"/>
        </w:rPr>
        <w:t>9,10</w:t>
      </w:r>
      <w:r w:rsidRPr="00670115">
        <w:fldChar w:fldCharType="end"/>
      </w:r>
      <w:r w:rsidRPr="00670115">
        <w:t>.</w:t>
      </w:r>
    </w:p>
    <w:p w14:paraId="3E95A4FC" w14:textId="77777777" w:rsidR="00670115" w:rsidRDefault="00670115" w:rsidP="005B63F0">
      <w:pPr>
        <w:pStyle w:val="normaltext"/>
        <w:spacing w:before="0" w:after="0"/>
        <w:ind w:firstLine="0"/>
        <w:jc w:val="center"/>
      </w:pPr>
    </w:p>
    <w:p w14:paraId="08859AC2" w14:textId="77777777" w:rsidR="00670115" w:rsidRDefault="00670115" w:rsidP="005B63F0">
      <w:pPr>
        <w:pStyle w:val="normaltext"/>
        <w:spacing w:before="0" w:after="0"/>
        <w:ind w:firstLine="0"/>
        <w:jc w:val="center"/>
      </w:pPr>
    </w:p>
    <w:p w14:paraId="68F41DA0" w14:textId="77777777" w:rsidR="00670115" w:rsidRDefault="00670115" w:rsidP="005B63F0">
      <w:pPr>
        <w:pStyle w:val="normaltext"/>
        <w:spacing w:before="0" w:after="0"/>
        <w:ind w:firstLine="0"/>
        <w:jc w:val="center"/>
      </w:pPr>
    </w:p>
    <w:p w14:paraId="2DEC9676" w14:textId="77777777" w:rsidR="00670115" w:rsidRDefault="00670115" w:rsidP="005B63F0">
      <w:pPr>
        <w:pStyle w:val="normaltext"/>
        <w:spacing w:before="0" w:after="0"/>
        <w:ind w:firstLine="0"/>
        <w:jc w:val="center"/>
        <w:sectPr w:rsidR="00670115" w:rsidSect="00670115">
          <w:type w:val="continuous"/>
          <w:pgSz w:w="12240" w:h="15840"/>
          <w:pgMar w:top="810" w:right="1440" w:bottom="1440" w:left="1440" w:header="540" w:footer="2013" w:gutter="0"/>
          <w:cols w:num="2" w:space="708"/>
        </w:sectPr>
      </w:pPr>
    </w:p>
    <w:p w14:paraId="431C334A" w14:textId="2BE86657" w:rsidR="005B63F0" w:rsidRDefault="005B63F0" w:rsidP="005B63F0">
      <w:pPr>
        <w:pStyle w:val="normaltext"/>
        <w:spacing w:before="0" w:after="0"/>
        <w:ind w:firstLine="0"/>
        <w:jc w:val="center"/>
      </w:pPr>
      <w:r w:rsidRPr="00C36419">
        <w:rPr>
          <w:noProof/>
          <w:sz w:val="22"/>
          <w:szCs w:val="22"/>
        </w:rPr>
        <w:drawing>
          <wp:inline distT="0" distB="0" distL="0" distR="0" wp14:anchorId="0DAAE3E3" wp14:editId="69874106">
            <wp:extent cx="5410200" cy="2941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jp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69960" cy="2973809"/>
                    </a:xfrm>
                    <a:prstGeom prst="rect">
                      <a:avLst/>
                    </a:prstGeom>
                  </pic:spPr>
                </pic:pic>
              </a:graphicData>
            </a:graphic>
          </wp:inline>
        </w:drawing>
      </w:r>
    </w:p>
    <w:p w14:paraId="73F0F286" w14:textId="77777777" w:rsidR="005B63F0" w:rsidRPr="005B63F0" w:rsidRDefault="005B63F0" w:rsidP="005B63F0">
      <w:pPr>
        <w:pStyle w:val="normaltext"/>
        <w:spacing w:before="0" w:after="0"/>
        <w:ind w:firstLine="0"/>
        <w:jc w:val="center"/>
        <w:rPr>
          <w:b/>
          <w:bCs/>
          <w:sz w:val="6"/>
          <w:szCs w:val="6"/>
        </w:rPr>
      </w:pPr>
    </w:p>
    <w:p w14:paraId="1C89C48A" w14:textId="7D63AD01" w:rsidR="005B63F0" w:rsidRDefault="005B63F0" w:rsidP="005B63F0">
      <w:pPr>
        <w:pStyle w:val="normaltext"/>
        <w:spacing w:before="0" w:after="0"/>
        <w:ind w:firstLine="0"/>
        <w:jc w:val="center"/>
      </w:pPr>
      <w:r w:rsidRPr="005B63F0">
        <w:rPr>
          <w:b/>
          <w:bCs/>
        </w:rPr>
        <w:t>Fig. 1.</w:t>
      </w:r>
      <w:r>
        <w:t xml:space="preserve"> Transition of industrial revolutions from 1.0 to 5.0</w:t>
      </w:r>
    </w:p>
    <w:p w14:paraId="4DF42BCB" w14:textId="77777777" w:rsidR="00670115" w:rsidRDefault="00670115" w:rsidP="00F83621">
      <w:pPr>
        <w:pStyle w:val="normaltext"/>
        <w:ind w:firstLine="0"/>
        <w:sectPr w:rsidR="00670115" w:rsidSect="005B63F0">
          <w:type w:val="continuous"/>
          <w:pgSz w:w="12240" w:h="15840"/>
          <w:pgMar w:top="810" w:right="1440" w:bottom="1440" w:left="1440" w:header="540" w:footer="2013" w:gutter="0"/>
          <w:cols w:space="708"/>
        </w:sectPr>
      </w:pPr>
    </w:p>
    <w:p w14:paraId="2AD9D58C" w14:textId="6E4E537F" w:rsidR="00670115" w:rsidRPr="00CB61B9" w:rsidRDefault="00670115" w:rsidP="00670115">
      <w:pPr>
        <w:ind w:firstLine="288"/>
        <w:jc w:val="both"/>
        <w:rPr>
          <w:rFonts w:ascii="Times New Roman" w:hAnsi="Times New Roman" w:cs="Times New Roman"/>
          <w:sz w:val="20"/>
          <w:szCs w:val="20"/>
        </w:rPr>
      </w:pPr>
      <w:r w:rsidRPr="00CB61B9">
        <w:rPr>
          <w:rFonts w:ascii="Times New Roman" w:hAnsi="Times New Roman" w:cs="Times New Roman"/>
          <w:sz w:val="20"/>
          <w:szCs w:val="20"/>
        </w:rPr>
        <w:lastRenderedPageBreak/>
        <w:t xml:space="preserve">Human Digital Twin (HDT) technology plays a pivotal role in achieving a human-centric scenario within Industry 5.0. HDTs are digital representations of humans, complementing their strengths and prioritizing well-being in smart manufacturing systems </w:t>
      </w:r>
      <w:r w:rsidRPr="00CB61B9">
        <w:rPr>
          <w:rFonts w:ascii="Times New Roman" w:hAnsi="Times New Roman" w:cs="Times New Roman"/>
          <w:sz w:val="20"/>
          <w:szCs w:val="20"/>
        </w:rPr>
        <w:fldChar w:fldCharType="begin" w:fldLock="1"/>
      </w:r>
      <w:r w:rsidRPr="00CB61B9">
        <w:rPr>
          <w:rFonts w:ascii="Times New Roman" w:hAnsi="Times New Roman" w:cs="Times New Roman"/>
          <w:sz w:val="20"/>
          <w:szCs w:val="20"/>
        </w:rPr>
        <w:instrText>ADDIN CSL_CITATION {"citationItems":[{"id":"ITEM-1","itemData":{"DOI":"10.1186/s10033-022-00680-w","ISSN":"21928258","author":[{"dropping-particle":"","family":"Wang","given":"Baicun","non-dropping-particle":"","parse-names":false,"suffix":""},{"dropping-particle":"","family":"Zhou","given":"Huiying","non-dropping-particle":"","parse-names":false,"suffix":""},{"dropping-particle":"","family":"Yang","given":"Geng","non-dropping-particle":"","parse-names":false,"suffix":""},{"dropping-particle":"","family":"Li","given":"Xingyu","non-dropping-particle":"","parse-names":false,"suffix":""},{"dropping-particle":"","family":"Yang","given":"Huayong","non-dropping-particle":"","parse-names":false,"suffix":""}],"container-title":"Chinese Journal of Mechanical Engineering (English Edition)","id":"ITEM-1","issue":"1","issued":{"date-parts":[["2022"]]},"title":"Human Digital Twin (HDT) Driven Human-Cyber-Physical Systems: Key Technologies and Applications","type":"article-journal","volume":"35"},"uris":["http://www.mendeley.com/documents/?uuid=9e8325fc-adae-33dd-b64b-e574364fcf12"]},{"id":"ITEM-2","itemData":{"DOI":"10.1016/j.jmsy.2022.05.005","ISSN":"02786125","abstract":"Advances in human-centric smart manufacturing (HSM) reflect a trend towards the integration of human-in-the-loop with technologies, to address challenges of human-machine relationships. In this context, the human-cyber-physical systems (HCPS), as an emerging human-centric system paradigm, can bring insights to the development and implementation of HSM. This study presents a systematic review of HCPS theories and technologies on HSM with a focus on the human-aspect is conducted. First, the concepts, key components, and taxonomy of HCPS are discussed. HCPS system framework and subsystems are analyzed. Enabling technologies (e.g., domain technologies, unit-level technologies, and system-level technologies) and core features (e.g., connectivity, integration, intelligence, adaptation, and socialization) of HCPS are presented. Applications of HCPS in smart manufacturing are illustrated with the human in the design, production, and service perspectives. This research offers key knowledge and a reference model for the human-centric design, evaluation, and implementation of HCPS-based HSM.","author":[{"dropping-particle":"","family":"Wang","given":"Baicun","non-dropping-particle":"","parse-names":false,"suffix":""},{"dropping-particle":"","family":"Zheng","given":"Pai","non-dropping-particle":"","parse-names":false,"suffix":""},{"dropping-particle":"","family":"Yin","given":"Yue","non-dropping-particle":"","parse-names":false,"suffix":""},{"dropping-particle":"","family":"Shih","given":"Albert","non-dropping-particle":"","parse-names":false,"suffix":""},{"dropping-particle":"","family":"Wang","given":"Lihui","non-dropping-particle":"","parse-names":false,"suffix":""}],"container-title":"Journal of Manufacturing Systems","id":"ITEM-2","issued":{"date-parts":[["2022"]]},"title":"Toward human-centric smart manufacturing: A human-cyber-physical systems (HCPS) perspective","type":"article-journal","volume":"63"},"uris":["http://www.mendeley.com/documents/?uuid=33d579c6-bf89-3ecb-9097-0186fa2a6343"]},{"id":"ITEM-3","itemData":{"DOI":"10.1016/j.eng.2019.07.015","ISSN":"20958099","abstract":"An intelligent manufacturing system is a composite intelligent system comprising humans, cyber systems, and physical systems with the aim of achieving specific manufacturing goals at an optimized level. This kind of intelligent system is called a human–cyber–physical system (HCPS). In terms of technology, HCPSs can both reveal technological principles and form the technological architecture for intelligent manufacturing. It can be concluded that the essence of intelligent manufacturing is to design, construct, and apply HCPSs in various cases and at different levels. With advances in information technology, intelligent manufacturing has passed through the stages of digital manufacturing and digital-networked manufacturing, and is evolving toward new-generation intelligent manufacturing (NGIM). NGIM is characterized by the in-depth integration of new-generation artificial intelligence (AI) technology (i.e., enabling technology) with advanced manufacturing technology (i.e., root technology); it is the core driving force of the new industrial revolution. In this study, the evolutionary footprint of intelligent manufacturing is reviewed from the perspective of HCPSs, and the implications, characteristics, technical frame, and key technologies of HCPSs for NGIM are then discussed in depth. Finally, an outlook of the major challenges of HCPSs for NGIM is proposed.","author":[{"dropping-particle":"","family":"Zhou","given":"Ji","non-dropping-particle":"","parse-names":false,"suffix":""},{"dropping-particle":"","family":"Zhou","given":"Yanhong","non-dropping-particle":"","parse-names":false,"suffix":""},{"dropping-particle":"","family":"Wang","given":"Baicun","non-dropping-particle":"","parse-names":false,"suffix":""},{"dropping-particle":"","family":"Zang","given":"Jiyuan","non-dropping-particle":"","parse-names":false,"suffix":""}],"container-title":"Engineering","id":"ITEM-3","issue":"4","issued":{"date-parts":[["2019"]]},"title":"Human–Cyber–Physical Systems (HCPSs) in the Context of New-Generation Intelligent Manufacturing","type":"article-journal","volume":"5"},"uris":["http://www.mendeley.com/documents/?uuid=246aab65-6a9c-33c1-89b4-1226e02744f4"]}],"mendeley":{"formattedCitation":"&lt;sup&gt;5,13,14&lt;/sup&gt;","plainTextFormattedCitation":"5,13,14","previouslyFormattedCitation":"(Zhou &lt;i&gt;et al.&lt;/i&gt;, 2019; Wang, Zheng, &lt;i&gt;et al.&lt;/i&gt;, 2022; Wang, Zhou, &lt;i&gt;et al.&lt;/i&gt;, 2022)"},"properties":{"noteIndex":0},"schema":"https://github.com/citation-style-language/schema/raw/master/csl-citation.json"}</w:instrText>
      </w:r>
      <w:r w:rsidRPr="00CB61B9">
        <w:rPr>
          <w:rFonts w:ascii="Times New Roman" w:hAnsi="Times New Roman" w:cs="Times New Roman"/>
          <w:sz w:val="20"/>
          <w:szCs w:val="20"/>
        </w:rPr>
        <w:fldChar w:fldCharType="separate"/>
      </w:r>
      <w:r w:rsidRPr="00CB61B9">
        <w:rPr>
          <w:rFonts w:ascii="Times New Roman" w:hAnsi="Times New Roman" w:cs="Times New Roman"/>
          <w:noProof/>
          <w:sz w:val="20"/>
          <w:szCs w:val="20"/>
          <w:vertAlign w:val="superscript"/>
        </w:rPr>
        <w:t>5,13,14</w:t>
      </w:r>
      <w:r w:rsidRPr="00CB61B9">
        <w:rPr>
          <w:rFonts w:ascii="Times New Roman" w:hAnsi="Times New Roman" w:cs="Times New Roman"/>
          <w:sz w:val="20"/>
          <w:szCs w:val="20"/>
        </w:rPr>
        <w:fldChar w:fldCharType="end"/>
      </w:r>
      <w:r w:rsidRPr="00CB61B9">
        <w:rPr>
          <w:rFonts w:ascii="Times New Roman" w:hAnsi="Times New Roman" w:cs="Times New Roman"/>
          <w:sz w:val="20"/>
          <w:szCs w:val="20"/>
        </w:rPr>
        <w:t xml:space="preserve">. Leveraging a virtual representation of physical processes and assets in real-time, organizations gain deeper insights, optimize performance, and make informed decisions </w:t>
      </w:r>
      <w:r w:rsidRPr="00CB61B9">
        <w:rPr>
          <w:rFonts w:ascii="Times New Roman" w:hAnsi="Times New Roman" w:cs="Times New Roman"/>
          <w:sz w:val="20"/>
          <w:szCs w:val="20"/>
        </w:rPr>
        <w:fldChar w:fldCharType="begin" w:fldLock="1"/>
      </w:r>
      <w:r w:rsidRPr="00CB61B9">
        <w:rPr>
          <w:rFonts w:ascii="Times New Roman" w:hAnsi="Times New Roman" w:cs="Times New Roman"/>
          <w:sz w:val="20"/>
          <w:szCs w:val="20"/>
        </w:rPr>
        <w:instrText>ADDIN CSL_CITATION {"citationItems":[{"id":"ITEM-1","itemData":{"DOI":"10.1016/j.spc.2022.08.003","ISSN":"23525509","abstract":"Scholars believe that the newly introduced Industry 5.0 has the potential to move beyond the profit-centered productivity of Industry 4.0 and to promote sustainable development goals such as human-centricity, socio-environmental sustainability, and resilience. However, little has been done to understand how this ill-defined phenomenon may deliver its indented sustainability values despite these speculative promises. To address this knowledge gap, the present study developed a strategy roadmap that explains the mechanism by which Industry 5.0 delivers its intended sustainable development functions. The study first developed and introduced the Industry 5.0 reference model that describes the technical and functional properties of this phenomenon. The study further conducted a content-centric synthesis of the literature and identified the sustainable development functions of Industry 5.0. Next, the interpretive structural modeling (ISM) technique was employed to identify the sequential relationships among the functions and construct the Industry 5.0-enabled model of sustainable development. The ISM involved collecting the opinions of 11 Industry 5.0 experts through expert panel meetings. Results revealed that Industry 5.0 delivers sustainable development values through 16 functions. Circular intelligent products, employee technical assistance, intelligent automation, open sustainable innovation, renewable integration, and supply chain adaptability are examples of the functions identified. These functions are highly interrelated and should be developed in a specific order so that the synergies and complementarities among them would maximize the sustainable development value gains. The roadmap to Industry 5.0-driven sustainability developed in this study is expected to provide a better understanding of ways Industry 5.0 can contribute to sustainable development, explaining how the development of its functions should be managed to maximize their synergies and contribution to the intended sustainability values. The study also highlights important avenues for future research, emphasizing the potential enablers of Industry 5.0 development, such as Government 5.0 or Corporate Governance 5.0.","author":[{"dropping-particle":"","family":"Ghobakhloo","given":"Morteza","non-dropping-particle":"","parse-names":false,"suffix":""},{"dropping-particle":"","family":"Iranmanesh","given":"Mohammad","non-dropping-particle":"","parse-names":false,"suffix":""},{"dropping-particle":"","family":"Mubarak","given":"Muhammad Faraz","non-dropping-particle":"","parse-names":false,"suffix":""},{"dropping-particle":"","family":"Mubarik","given":"Mobashar","non-dropping-particle":"","parse-names":false,"suffix":""},{"dropping-particle":"","family":"Rejeb","given":"Abderahman","non-dropping-particle":"","parse-names":false,"suffix":""},{"dropping-particle":"","family":"Nilashi","given":"Mehrbakhsh","non-dropping-particle":"","parse-names":false,"suffix":""}],"container-title":"Sustainable Production and Consumption","id":"ITEM-1","issued":{"date-parts":[["2022"]]},"page":"716-737","publisher":"The Authors","title":"Identifying industry 5.0 contributions to sustainable development: A strategy roadmap for delivering sustainability values","type":"article-journal","volume":"33"},"uris":["http://www.mendeley.com/documents/?uuid=0f384cdc-03ad-4691-aae4-cc342f021cf7"]}],"mendeley":{"formattedCitation":"&lt;sup&gt;15&lt;/sup&gt;","plainTextFormattedCitation":"15","previouslyFormattedCitation":"(Ghobakhloo &lt;i&gt;et al.&lt;/i&gt;, 2022)"},"properties":{"noteIndex":0},"schema":"https://github.com/citation-style-language/schema/raw/master/csl-citation.json"}</w:instrText>
      </w:r>
      <w:r w:rsidRPr="00CB61B9">
        <w:rPr>
          <w:rFonts w:ascii="Times New Roman" w:hAnsi="Times New Roman" w:cs="Times New Roman"/>
          <w:sz w:val="20"/>
          <w:szCs w:val="20"/>
        </w:rPr>
        <w:fldChar w:fldCharType="separate"/>
      </w:r>
      <w:r w:rsidRPr="00CB61B9">
        <w:rPr>
          <w:rFonts w:ascii="Times New Roman" w:hAnsi="Times New Roman" w:cs="Times New Roman"/>
          <w:noProof/>
          <w:sz w:val="20"/>
          <w:szCs w:val="20"/>
          <w:vertAlign w:val="superscript"/>
        </w:rPr>
        <w:t>15</w:t>
      </w:r>
      <w:r w:rsidRPr="00CB61B9">
        <w:rPr>
          <w:rFonts w:ascii="Times New Roman" w:hAnsi="Times New Roman" w:cs="Times New Roman"/>
          <w:sz w:val="20"/>
          <w:szCs w:val="20"/>
        </w:rPr>
        <w:fldChar w:fldCharType="end"/>
      </w:r>
      <w:r w:rsidRPr="00CB61B9">
        <w:rPr>
          <w:rFonts w:ascii="Times New Roman" w:hAnsi="Times New Roman" w:cs="Times New Roman"/>
          <w:sz w:val="20"/>
          <w:szCs w:val="20"/>
        </w:rPr>
        <w:t xml:space="preserve">. HDTs contribute to safer work environments by utilizing sensors and data analytics, facilitating the creation of robust contingency plans through scenario modeling and vulnerability assessments. Monitoring resource utilization and environmental impact, HDTs drive sustainability, providing a platform for predictive maintenance, risk mitigation, and adaptive strategies crucial for resilience </w:t>
      </w:r>
      <w:r w:rsidRPr="00CB61B9">
        <w:rPr>
          <w:rFonts w:ascii="Times New Roman" w:hAnsi="Times New Roman" w:cs="Times New Roman"/>
          <w:sz w:val="20"/>
          <w:szCs w:val="20"/>
        </w:rPr>
        <w:fldChar w:fldCharType="begin" w:fldLock="1"/>
      </w:r>
      <w:r w:rsidRPr="00CB61B9">
        <w:rPr>
          <w:rFonts w:ascii="Times New Roman" w:hAnsi="Times New Roman" w:cs="Times New Roman"/>
          <w:sz w:val="20"/>
          <w:szCs w:val="20"/>
        </w:rPr>
        <w:instrText>ADDIN CSL_CITATION {"citationItems":[{"id":"ITEM-1","itemData":{"DOI":"10.3389/frobt.2022.813907","ISSN":"22969144","abstract":"In the current industrial context, the importance of assessing and improving workers’ health conditions is widely recognised. Both physical and psycho-social factors contribute to jeopardising the underlying comfort and well-being, boosting the occurrence of diseases and injuries, and affecting their quality of life. Human-robot interaction and collaboration frameworks stand out among the possible solutions to prevent and mitigate workplace risk factors. The increasingly advanced control strategies and planning schemes featured by collaborative robots have the potential to foster fruitful and efficient coordination during the execution of hybrid tasks, by meeting their human counterparts’ needs and limits. To this end, a thorough and comprehensive evaluation of an individual’s ergonomics, i.e. direct effect of workload on the human psycho-physical state, must be taken into account. In this review article, we provide an overview of the existing ergonomics assessment tools as well as the available monitoring technologies to drive and adapt a collaborative robot’s behaviour. Preliminary attempts of ergonomic human-robot collaboration frameworks are presented next, discussing state-of-the-art limitations and challenges. Future trends and promising themes are finally highlighted, aiming to promote safety, health, and equality in worldwide workplaces.","author":[{"dropping-particle":"","family":"Lorenzini","given":"Marta","non-dropping-particle":"","parse-names":false,"suffix":""},{"dropping-particle":"","family":"Lagomarsino","given":"Marta","non-dropping-particle":"","parse-names":false,"suffix":""},{"dropping-particle":"","family":"Fortini","given":"Luca","non-dropping-particle":"","parse-names":false,"suffix":""},{"dropping-particle":"","family":"Gholami","given":"Soheil","non-dropping-particle":"","parse-names":false,"suffix":""},{"dropping-particle":"","family":"Ajoudani","given":"Arash","non-dropping-particle":"","parse-names":false,"suffix":""}],"container-title":"Frontiers in Robotics and AI","id":"ITEM-1","issued":{"date-parts":[["2023"]]},"title":"Ergonomic human-robot collaboration in industry: A review","type":"article","volume":"9"},"uris":["http://www.mendeley.com/documents/?uuid=e92abf2e-2a10-3fab-a58a-351682537112"]},{"id":"ITEM-2","itemData":{"DOI":"10.1016/j.cirp.2022.04.019","ISSN":"17260604","abstract":"The benefits of Industry 4.0 are limited by the large computational requirements of ever-larger digital models of complex production systems. A complementary learning paradigm is thus proposed to cultivate knowledge in a team of machines and humans that represents the key to a high-performance manufacturing system. Two types of knowledge are created using light-weighted neural networks and meta-learning: general knowledge of tasks and specific knowledge on collaboration with humans given few interactions. AI-based teaming strategies are designed to enable machines to leverage human expertise in making decisions using local communications that make intricate sensor systems and expensive computation unnecessary.","author":[{"dropping-particle":"","family":"Li","given":"Xingyu","non-dropping-particle":"","parse-names":false,"suffix":""},{"dropping-particle":"","family":"Koren","given":"Yoram","non-dropping-particle":"","parse-names":false,"suffix":""},{"dropping-particle":"","family":"Epureanu","given":"Bogdan I.","non-dropping-particle":"","parse-names":false,"suffix":""}],"container-title":"CIRP Annals","id":"ITEM-2","issue":"1","issued":{"date-parts":[["2022"]]},"title":"Complementary learning-team machines to enlighten and exploit human expertise","type":"article-journal","volume":"71"},"uris":["http://www.mendeley.com/documents/?uuid=e11864a2-97a9-315a-9c3c-93fcec6eda73"]}],"mendeley":{"formattedCitation":"&lt;sup&gt;9,10&lt;/sup&gt;","plainTextFormattedCitation":"9,10","previouslyFormattedCitation":"(Li, Koren and Epureanu, 2022; Lorenzini &lt;i&gt;et al.&lt;/i&gt;, 2023)"},"properties":{"noteIndex":0},"schema":"https://github.com/citation-style-language/schema/raw/master/csl-citation.json"}</w:instrText>
      </w:r>
      <w:r w:rsidRPr="00CB61B9">
        <w:rPr>
          <w:rFonts w:ascii="Times New Roman" w:hAnsi="Times New Roman" w:cs="Times New Roman"/>
          <w:sz w:val="20"/>
          <w:szCs w:val="20"/>
        </w:rPr>
        <w:fldChar w:fldCharType="separate"/>
      </w:r>
      <w:r w:rsidRPr="00CB61B9">
        <w:rPr>
          <w:rFonts w:ascii="Times New Roman" w:hAnsi="Times New Roman" w:cs="Times New Roman"/>
          <w:noProof/>
          <w:sz w:val="20"/>
          <w:szCs w:val="20"/>
          <w:vertAlign w:val="superscript"/>
        </w:rPr>
        <w:t>9,10</w:t>
      </w:r>
      <w:r w:rsidRPr="00CB61B9">
        <w:rPr>
          <w:rFonts w:ascii="Times New Roman" w:hAnsi="Times New Roman" w:cs="Times New Roman"/>
          <w:sz w:val="20"/>
          <w:szCs w:val="20"/>
        </w:rPr>
        <w:fldChar w:fldCharType="end"/>
      </w:r>
      <w:r w:rsidRPr="00CB61B9">
        <w:rPr>
          <w:rFonts w:ascii="Times New Roman" w:hAnsi="Times New Roman" w:cs="Times New Roman"/>
          <w:sz w:val="20"/>
          <w:szCs w:val="20"/>
        </w:rPr>
        <w:t xml:space="preserve">. </w:t>
      </w:r>
    </w:p>
    <w:p w14:paraId="638236A1" w14:textId="77777777" w:rsidR="00670115" w:rsidRPr="00CB61B9" w:rsidRDefault="00670115" w:rsidP="00670115">
      <w:pPr>
        <w:jc w:val="both"/>
        <w:rPr>
          <w:rFonts w:ascii="Times New Roman" w:hAnsi="Times New Roman" w:cs="Times New Roman"/>
          <w:sz w:val="20"/>
          <w:szCs w:val="20"/>
        </w:rPr>
      </w:pPr>
    </w:p>
    <w:p w14:paraId="22E0E805" w14:textId="038369E5" w:rsidR="00670115" w:rsidRPr="00CB61B9" w:rsidRDefault="00670115" w:rsidP="00670115">
      <w:pPr>
        <w:ind w:firstLine="288"/>
        <w:jc w:val="both"/>
        <w:rPr>
          <w:rFonts w:ascii="Times New Roman" w:hAnsi="Times New Roman" w:cs="Times New Roman"/>
          <w:sz w:val="20"/>
          <w:szCs w:val="20"/>
        </w:rPr>
      </w:pPr>
      <w:r w:rsidRPr="00CB61B9">
        <w:rPr>
          <w:rFonts w:ascii="Times New Roman" w:hAnsi="Times New Roman" w:cs="Times New Roman"/>
          <w:sz w:val="20"/>
          <w:szCs w:val="20"/>
        </w:rPr>
        <w:t xml:space="preserve">The potential of HDTs lies in their ability to bring humans and smart devices together in smart </w:t>
      </w:r>
      <w:r w:rsidRPr="00CB61B9">
        <w:rPr>
          <w:rFonts w:ascii="Times New Roman" w:hAnsi="Times New Roman" w:cs="Times New Roman"/>
          <w:sz w:val="20"/>
          <w:szCs w:val="20"/>
        </w:rPr>
        <w:t xml:space="preserve">manufacturing systems, serving as a vital driver of prosperity for all involved human groups </w:t>
      </w:r>
      <w:r w:rsidRPr="00CB61B9">
        <w:rPr>
          <w:rFonts w:ascii="Times New Roman" w:hAnsi="Times New Roman" w:cs="Times New Roman"/>
          <w:sz w:val="20"/>
          <w:szCs w:val="20"/>
        </w:rPr>
        <w:fldChar w:fldCharType="begin" w:fldLock="1"/>
      </w:r>
      <w:r w:rsidRPr="00CB61B9">
        <w:rPr>
          <w:rFonts w:ascii="Times New Roman" w:hAnsi="Times New Roman" w:cs="Times New Roman"/>
          <w:sz w:val="20"/>
          <w:szCs w:val="20"/>
        </w:rPr>
        <w:instrText>ADDIN CSL_CITATION {"citationItems":[{"id":"ITEM-1","itemData":{"DOI":"10.1016/j.autcon.2023.104749","ISSN":"09265805","abstract":"Digital Twin (DT) technology is far from being comprehensive and mature, resulting in their piecemeal implementation in practice where some functions are automated by DTs, and others are still performed by humans. This piecemeal implementation of DTs often leaves practitioners wondering what roles (or functions) to allocate to DTs in a work system, and how might it impact humans. A lack of knowledge about the roles that humans and DTs play in a work system can result in significant costs, misallocation of resources, unrealistic expectations from DTs, and strategic misalignments. To alleviate this challenge, this paper answers the research question: When humans work with DTs, what types of roles can a DT play, and to what extent can those roles be automated? Specifically, we propose a two-dimensional conceptual framework, Levels of Digital Twin (LoDT). The framework is an integration of the types of roles a DT can play, broadly categorized under (1) Observer, (2) Analyst, (3) Decision Maker, and (4) Action Executor, and the extent of automation for each of these roles, divided into five different levels ranging from completely manual to fully automated. A particular DT can play any number of roles at varying levels. The framework can help practitioners systematically plan DT deployments, clearly communicate goals and deliverables, and lay out a strategic vision. A case study illustrates the usefulness of the framework.","author":[{"dropping-particle":"","family":"Agrawal","given":"Ashwin","non-dropping-particle":"","parse-names":false,"suffix":""},{"dropping-particle":"","family":"Thiel","given":"Robert","non-dropping-particle":"","parse-names":false,"suffix":""},{"dropping-particle":"","family":"Jain","given":"Pooja","non-dropping-particle":"","parse-names":false,"suffix":""},{"dropping-particle":"","family":"Singh","given":"Vishal","non-dropping-particle":"","parse-names":false,"suffix":""},{"dropping-particle":"","family":"Fischer","given":"Martin","non-dropping-particle":"","parse-names":false,"suffix":""}],"container-title":"Automation in Construction","id":"ITEM-1","issued":{"date-parts":[["2023"]]},"title":"Digital Twin: Where do humans fit in?","type":"article-journal","volume":"148"},"uris":["http://www.mendeley.com/documents/?uuid=03bca05a-1d65-3d7f-9555-824a4ef155d5"]}],"mendeley":{"formattedCitation":"&lt;sup&gt;16&lt;/sup&gt;","plainTextFormattedCitation":"16","previouslyFormattedCitation":"(Agrawal &lt;i&gt;et al.&lt;/i&gt;, 2023)"},"properties":{"noteIndex":0},"schema":"https://github.com/citation-style-language/schema/raw/master/csl-citation.json"}</w:instrText>
      </w:r>
      <w:r w:rsidRPr="00CB61B9">
        <w:rPr>
          <w:rFonts w:ascii="Times New Roman" w:hAnsi="Times New Roman" w:cs="Times New Roman"/>
          <w:sz w:val="20"/>
          <w:szCs w:val="20"/>
        </w:rPr>
        <w:fldChar w:fldCharType="separate"/>
      </w:r>
      <w:r w:rsidRPr="00CB61B9">
        <w:rPr>
          <w:rFonts w:ascii="Times New Roman" w:hAnsi="Times New Roman" w:cs="Times New Roman"/>
          <w:noProof/>
          <w:sz w:val="20"/>
          <w:szCs w:val="20"/>
          <w:vertAlign w:val="superscript"/>
        </w:rPr>
        <w:t>16</w:t>
      </w:r>
      <w:r w:rsidRPr="00CB61B9">
        <w:rPr>
          <w:rFonts w:ascii="Times New Roman" w:hAnsi="Times New Roman" w:cs="Times New Roman"/>
          <w:sz w:val="20"/>
          <w:szCs w:val="20"/>
        </w:rPr>
        <w:fldChar w:fldCharType="end"/>
      </w:r>
      <w:r w:rsidRPr="00CB61B9">
        <w:rPr>
          <w:rFonts w:ascii="Times New Roman" w:hAnsi="Times New Roman" w:cs="Times New Roman"/>
          <w:sz w:val="20"/>
          <w:szCs w:val="20"/>
        </w:rPr>
        <w:t xml:space="preserve">. Unlike previous industrial revolutions focused solely on cost-efficiency and profit maximization, HDT in Industry 5.0 attracts attention from various domains </w:t>
      </w:r>
      <w:r w:rsidRPr="00CB61B9">
        <w:rPr>
          <w:rFonts w:ascii="Times New Roman" w:hAnsi="Times New Roman" w:cs="Times New Roman"/>
          <w:sz w:val="20"/>
          <w:szCs w:val="20"/>
        </w:rPr>
        <w:fldChar w:fldCharType="begin" w:fldLock="1"/>
      </w:r>
      <w:r w:rsidRPr="00CB61B9">
        <w:rPr>
          <w:rFonts w:ascii="Times New Roman" w:hAnsi="Times New Roman" w:cs="Times New Roman"/>
          <w:sz w:val="20"/>
          <w:szCs w:val="20"/>
        </w:rPr>
        <w:instrText>ADDIN CSL_CITATION {"citationItems":[{"id":"ITEM-1","itemData":{"DOI":"10.1109/MNET.118.2200071","ISSN":"1558156X","abstract":"Human digital twin (HDT) is an emerging technology that can revolutionize the existing healthcare system with the ability to enable personalized healthcare services (PHS) using various tools such as artificial intelligence and blockchain. Its implementation is expected to be similar to digital twins proposed in other application areas such as manufacturing and aviation by consisting of three key dimensions: the physical entity, virtual model, and connection that characterizes the physical-virtual interactions. The known complexity of human body structure because of the constant molecular and physiological changes, however, means extracting precise medical data as well as modeling of HDT is very difficult. Hence, HDT is much more complex than its counterparts and its implementation methods remain unclear, which deserves further investigation. This article thus presents the architectural framework and key design requirements of HDT and then discusses the key technologies and technical challenges to suggest future directions. We believe that this article will open up new research opportunities and motivate new research efforts towards the development of HDT for PHS.","author":[{"dropping-particle":"","family":"Okegbile","given":"Samuel D.","non-dropping-particle":"","parse-names":false,"suffix":""},{"dropping-particle":"","family":"Cai","given":"Jun","non-dropping-particle":"","parse-names":false,"suffix":""},{"dropping-particle":"","family":"Niyato","given":"Dusit","non-dropping-particle":"","parse-names":false,"suffix":""},{"dropping-particle":"","family":"Yi","given":"Changyan","non-dropping-particle":"","parse-names":false,"suffix":""}],"container-title":"IEEE Network","id":"ITEM-1","issue":"2","issued":{"date-parts":[["2023"]]},"title":"Human Digital Twin for Personalized Healthcare: Vision, Architecture and Future Directions","type":"article-journal","volume":"37"},"uris":["http://www.mendeley.com/documents/?uuid=ee384995-048a-32b6-9d9b-769cdec48de4"]},{"id":"ITEM-2","itemData":{"DOI":"10.1016/j.autcon.2023.104749","ISSN":"09265805","abstract":"Digital Twin (DT) technology is far from being comprehensive and mature, resulting in their piecemeal implementation in practice where some functions are automated by DTs, and others are still performed by humans. This piecemeal implementation of DTs often leaves practitioners wondering what roles (or functions) to allocate to DTs in a work system, and how might it impact humans. A lack of knowledge about the roles that humans and DTs play in a work system can result in significant costs, misallocation of resources, unrealistic expectations from DTs, and strategic misalignments. To alleviate this challenge, this paper answers the research question: When humans work with DTs, what types of roles can a DT play, and to what extent can those roles be automated? Specifically, we propose a two-dimensional conceptual framework, Levels of Digital Twin (LoDT). The framework is an integration of the types of roles a DT can play, broadly categorized under (1) Observer, (2) Analyst, (3) Decision Maker, and (4) Action Executor, and the extent of automation for each of these roles, divided into five different levels ranging from completely manual to fully automated. A particular DT can play any number of roles at varying levels. The framework can help practitioners systematically plan DT deployments, clearly communicate goals and deliverables, and lay out a strategic vision. A case study illustrates the usefulness of the framework.","author":[{"dropping-particle":"","family":"Agrawal","given":"Ashwin","non-dropping-particle":"","parse-names":false,"suffix":""},{"dropping-particle":"","family":"Thiel","given":"Robert","non-dropping-particle":"","parse-names":false,"suffix":""},{"dropping-particle":"","family":"Jain","given":"Pooja","non-dropping-particle":"","parse-names":false,"suffix":""},{"dropping-particle":"","family":"Singh","given":"Vishal","non-dropping-particle":"","parse-names":false,"suffix":""},{"dropping-particle":"","family":"Fischer","given":"Martin","non-dropping-particle":"","parse-names":false,"suffix":""}],"container-title":"Automation in Construction","id":"ITEM-2","issued":{"date-parts":[["2023"]]},"title":"Digital Twin: Where do humans fit in?","type":"article-journal","volume":"148"},"uris":["http://www.mendeley.com/documents/?uuid=03bca05a-1d65-3d7f-9555-824a4ef155d5"]}],"mendeley":{"formattedCitation":"&lt;sup&gt;16,17&lt;/sup&gt;","plainTextFormattedCitation":"16,17","previouslyFormattedCitation":"(Agrawal &lt;i&gt;et al.&lt;/i&gt;, 2023; Okegbile &lt;i&gt;et al.&lt;/i&gt;, 2023)"},"properties":{"noteIndex":0},"schema":"https://github.com/citation-style-language/schema/raw/master/csl-citation.json"}</w:instrText>
      </w:r>
      <w:r w:rsidRPr="00CB61B9">
        <w:rPr>
          <w:rFonts w:ascii="Times New Roman" w:hAnsi="Times New Roman" w:cs="Times New Roman"/>
          <w:sz w:val="20"/>
          <w:szCs w:val="20"/>
        </w:rPr>
        <w:fldChar w:fldCharType="separate"/>
      </w:r>
      <w:r w:rsidRPr="00CB61B9">
        <w:rPr>
          <w:rFonts w:ascii="Times New Roman" w:hAnsi="Times New Roman" w:cs="Times New Roman"/>
          <w:noProof/>
          <w:sz w:val="20"/>
          <w:szCs w:val="20"/>
          <w:vertAlign w:val="superscript"/>
        </w:rPr>
        <w:t>16,17</w:t>
      </w:r>
      <w:r w:rsidRPr="00CB61B9">
        <w:rPr>
          <w:rFonts w:ascii="Times New Roman" w:hAnsi="Times New Roman" w:cs="Times New Roman"/>
          <w:sz w:val="20"/>
          <w:szCs w:val="20"/>
        </w:rPr>
        <w:fldChar w:fldCharType="end"/>
      </w:r>
      <w:r w:rsidRPr="00CB61B9">
        <w:rPr>
          <w:rFonts w:ascii="Times New Roman" w:hAnsi="Times New Roman" w:cs="Times New Roman"/>
          <w:sz w:val="20"/>
          <w:szCs w:val="20"/>
        </w:rPr>
        <w:t xml:space="preserve">. These technologies embody human-centricity, sustainability, and resilience principles, allowing organizations to visually represent physical processes and assets in real-time, providing deeper insights, optimizing performance, and facilitating informed decision-making </w:t>
      </w:r>
      <w:r w:rsidRPr="00CB61B9">
        <w:rPr>
          <w:rFonts w:ascii="Times New Roman" w:hAnsi="Times New Roman" w:cs="Times New Roman"/>
          <w:sz w:val="20"/>
          <w:szCs w:val="20"/>
        </w:rPr>
        <w:fldChar w:fldCharType="begin" w:fldLock="1"/>
      </w:r>
      <w:r w:rsidRPr="00CB61B9">
        <w:rPr>
          <w:rFonts w:ascii="Times New Roman" w:hAnsi="Times New Roman" w:cs="Times New Roman"/>
          <w:sz w:val="20"/>
          <w:szCs w:val="20"/>
        </w:rPr>
        <w:instrText>ADDIN CSL_CITATION {"citationItems":[{"id":"ITEM-1","itemData":{"DOI":"10.1016/j.spc.2022.08.003","ISSN":"23525509","abstract":"Scholars believe that the newly introduced Industry 5.0 has the potential to move beyond the profit-centered productivity of Industry 4.0 and to promote sustainable development goals such as human-centricity, socio-environmental sustainability, and resilience. However, little has been done to understand how this ill-defined phenomenon may deliver its indented sustainability values despite these speculative promises. To address this knowledge gap, the present study developed a strategy roadmap that explains the mechanism by which Industry 5.0 delivers its intended sustainable development functions. The study first developed and introduced the Industry 5.0 reference model that describes the technical and functional properties of this phenomenon. The study further conducted a content-centric synthesis of the literature and identified the sustainable development functions of Industry 5.0. Next, the interpretive structural modeling (ISM) technique was employed to identify the sequential relationships among the functions and construct the Industry 5.0-enabled model of sustainable development. The ISM involved collecting the opinions of 11 Industry 5.0 experts through expert panel meetings. Results revealed that Industry 5.0 delivers sustainable development values through 16 functions. Circular intelligent products, employee technical assistance, intelligent automation, open sustainable innovation, renewable integration, and supply chain adaptability are examples of the functions identified. These functions are highly interrelated and should be developed in a specific order so that the synergies and complementarities among them would maximize the sustainable development value gains. The roadmap to Industry 5.0-driven sustainability developed in this study is expected to provide a better understanding of ways Industry 5.0 can contribute to sustainable development, explaining how the development of its functions should be managed to maximize their synergies and contribution to the intended sustainability values. The study also highlights important avenues for future research, emphasizing the potential enablers of Industry 5.0 development, such as Government 5.0 or Corporate Governance 5.0.","author":[{"dropping-particle":"","family":"Ghobakhloo","given":"Morteza","non-dropping-particle":"","parse-names":false,"suffix":""},{"dropping-particle":"","family":"Iranmanesh","given":"Mohammad","non-dropping-particle":"","parse-names":false,"suffix":""},{"dropping-particle":"","family":"Mubarak","given":"Muhammad Faraz","non-dropping-particle":"","parse-names":false,"suffix":""},{"dropping-particle":"","family":"Mubarik","given":"Mobashar","non-dropping-particle":"","parse-names":false,"suffix":""},{"dropping-particle":"","family":"Rejeb","given":"Abderahman","non-dropping-particle":"","parse-names":false,"suffix":""},{"dropping-particle":"","family":"Nilashi","given":"Mehrbakhsh","non-dropping-particle":"","parse-names":false,"suffix":""}],"container-title":"Sustainable Production and Consumption","id":"ITEM-1","issued":{"date-parts":[["2022"]]},"page":"716-737","publisher":"The Authors","title":"Identifying industry 5.0 contributions to sustainable development: A strategy roadmap for delivering sustainability values","type":"article-journal","volume":"33"},"uris":["http://www.mendeley.com/documents/?uuid=0f384cdc-03ad-4691-aae4-cc342f021cf7"]}],"mendeley":{"formattedCitation":"&lt;sup&gt;15&lt;/sup&gt;","plainTextFormattedCitation":"15","previouslyFormattedCitation":"(Ghobakhloo &lt;i&gt;et al.&lt;/i&gt;, 2022)"},"properties":{"noteIndex":0},"schema":"https://github.com/citation-style-language/schema/raw/master/csl-citation.json"}</w:instrText>
      </w:r>
      <w:r w:rsidRPr="00CB61B9">
        <w:rPr>
          <w:rFonts w:ascii="Times New Roman" w:hAnsi="Times New Roman" w:cs="Times New Roman"/>
          <w:sz w:val="20"/>
          <w:szCs w:val="20"/>
        </w:rPr>
        <w:fldChar w:fldCharType="separate"/>
      </w:r>
      <w:r w:rsidRPr="00CB61B9">
        <w:rPr>
          <w:rFonts w:ascii="Times New Roman" w:hAnsi="Times New Roman" w:cs="Times New Roman"/>
          <w:noProof/>
          <w:sz w:val="20"/>
          <w:szCs w:val="20"/>
          <w:vertAlign w:val="superscript"/>
        </w:rPr>
        <w:t>15</w:t>
      </w:r>
      <w:r w:rsidRPr="00CB61B9">
        <w:rPr>
          <w:rFonts w:ascii="Times New Roman" w:hAnsi="Times New Roman" w:cs="Times New Roman"/>
          <w:sz w:val="20"/>
          <w:szCs w:val="20"/>
        </w:rPr>
        <w:fldChar w:fldCharType="end"/>
      </w:r>
      <w:r w:rsidRPr="00CB61B9">
        <w:rPr>
          <w:rFonts w:ascii="Times New Roman" w:hAnsi="Times New Roman" w:cs="Times New Roman"/>
          <w:sz w:val="20"/>
          <w:szCs w:val="20"/>
        </w:rPr>
        <w:t>.</w:t>
      </w:r>
    </w:p>
    <w:p w14:paraId="485D873E" w14:textId="2931D991" w:rsidR="005B63F0" w:rsidRPr="00CB61B9" w:rsidRDefault="00670115" w:rsidP="00670115">
      <w:pPr>
        <w:pStyle w:val="normaltext"/>
        <w:ind w:firstLine="288"/>
      </w:pPr>
      <w:r w:rsidRPr="00CB61B9">
        <w:t>Leveraging sensors and data analytics, HDTs contribute to creating safer and more ergonomic work environments. Recent research trends, as depicted in Table 1 and Figure 2, underline the growing interest and potential practical applications of Human Digital Twin technology.</w:t>
      </w:r>
    </w:p>
    <w:p w14:paraId="03CAEC62" w14:textId="77777777" w:rsidR="0040327E" w:rsidRDefault="0040327E" w:rsidP="0040327E">
      <w:pPr>
        <w:pStyle w:val="normaltext"/>
        <w:ind w:firstLine="0"/>
        <w:sectPr w:rsidR="0040327E" w:rsidSect="0040327E">
          <w:type w:val="continuous"/>
          <w:pgSz w:w="12240" w:h="15840"/>
          <w:pgMar w:top="810" w:right="1440" w:bottom="1440" w:left="1440" w:header="540" w:footer="2013" w:gutter="0"/>
          <w:cols w:num="2" w:space="708"/>
        </w:sectPr>
      </w:pPr>
    </w:p>
    <w:p w14:paraId="2A8E370D" w14:textId="77777777" w:rsidR="0040327E" w:rsidRDefault="0040327E" w:rsidP="0040327E">
      <w:pPr>
        <w:pStyle w:val="normaltext"/>
        <w:ind w:firstLine="0"/>
      </w:pPr>
    </w:p>
    <w:p w14:paraId="2011A038" w14:textId="77777777" w:rsidR="00670115" w:rsidRDefault="00670115" w:rsidP="0040327E">
      <w:pPr>
        <w:jc w:val="center"/>
        <w:rPr>
          <w:rFonts w:ascii="Times New Roman" w:hAnsi="Times New Roman" w:cs="Times New Roman"/>
        </w:rPr>
      </w:pPr>
      <w:r w:rsidRPr="00C36419">
        <w:rPr>
          <w:rFonts w:ascii="Times New Roman" w:hAnsi="Times New Roman" w:cs="Times New Roman"/>
          <w:b/>
        </w:rPr>
        <w:t>Table 1</w:t>
      </w:r>
      <w:r w:rsidRPr="00C36419">
        <w:rPr>
          <w:rFonts w:ascii="Times New Roman" w:hAnsi="Times New Roman" w:cs="Times New Roman"/>
        </w:rPr>
        <w:t>. Number of Publications based on the keyword</w:t>
      </w:r>
    </w:p>
    <w:p w14:paraId="6C444CE7" w14:textId="77777777" w:rsidR="0040327E" w:rsidRPr="0040327E" w:rsidRDefault="0040327E" w:rsidP="0040327E">
      <w:pPr>
        <w:jc w:val="center"/>
        <w:rPr>
          <w:rFonts w:ascii="Times New Roman" w:hAnsi="Times New Roman" w:cs="Times New Roman"/>
          <w:sz w:val="6"/>
          <w:szCs w:val="6"/>
        </w:rPr>
      </w:pPr>
    </w:p>
    <w:p w14:paraId="5F3C4A2D" w14:textId="77777777" w:rsidR="00670115" w:rsidRPr="00C36419" w:rsidRDefault="00670115" w:rsidP="00670115">
      <w:pPr>
        <w:jc w:val="center"/>
        <w:rPr>
          <w:rFonts w:ascii="Times New Roman" w:hAnsi="Times New Roman" w:cs="Times New Roman"/>
          <w:sz w:val="20"/>
          <w:szCs w:val="20"/>
        </w:rPr>
      </w:pPr>
      <w:r w:rsidRPr="00C36419">
        <w:rPr>
          <w:rFonts w:ascii="Times New Roman" w:hAnsi="Times New Roman" w:cs="Times New Roman"/>
          <w:sz w:val="20"/>
          <w:szCs w:val="20"/>
        </w:rPr>
        <w:t>Number of Publications (Year wise and country wise) (Source: Scopus database)</w:t>
      </w:r>
    </w:p>
    <w:tbl>
      <w:tblPr>
        <w:tblW w:w="7835" w:type="dxa"/>
        <w:jc w:val="center"/>
        <w:tblLook w:val="04A0" w:firstRow="1" w:lastRow="0" w:firstColumn="1" w:lastColumn="0" w:noHBand="0" w:noVBand="1"/>
      </w:tblPr>
      <w:tblGrid>
        <w:gridCol w:w="1300"/>
        <w:gridCol w:w="1300"/>
        <w:gridCol w:w="340"/>
        <w:gridCol w:w="2495"/>
        <w:gridCol w:w="2400"/>
      </w:tblGrid>
      <w:tr w:rsidR="00670115" w:rsidRPr="00C36419" w14:paraId="09050199" w14:textId="77777777" w:rsidTr="0040327E">
        <w:trPr>
          <w:trHeight w:val="320"/>
          <w:jc w:val="center"/>
        </w:trPr>
        <w:tc>
          <w:tcPr>
            <w:tcW w:w="1300" w:type="dxa"/>
            <w:tcBorders>
              <w:top w:val="single" w:sz="4" w:space="0" w:color="auto"/>
              <w:left w:val="nil"/>
              <w:bottom w:val="single" w:sz="4" w:space="0" w:color="auto"/>
              <w:right w:val="nil"/>
            </w:tcBorders>
            <w:shd w:val="clear" w:color="auto" w:fill="auto"/>
            <w:noWrap/>
            <w:vAlign w:val="bottom"/>
            <w:hideMark/>
          </w:tcPr>
          <w:p w14:paraId="26F68547" w14:textId="77777777" w:rsidR="00670115" w:rsidRPr="00C36419" w:rsidRDefault="00670115" w:rsidP="00022C38">
            <w:pPr>
              <w:jc w:val="right"/>
              <w:rPr>
                <w:rFonts w:ascii="Times New Roman" w:hAnsi="Times New Roman" w:cs="Times New Roman"/>
                <w:b/>
                <w:bCs/>
                <w:color w:val="000000"/>
                <w:sz w:val="20"/>
                <w:szCs w:val="20"/>
              </w:rPr>
            </w:pPr>
            <w:r w:rsidRPr="00C36419">
              <w:rPr>
                <w:rFonts w:ascii="Times New Roman" w:hAnsi="Times New Roman" w:cs="Times New Roman"/>
                <w:b/>
                <w:bCs/>
                <w:color w:val="000000"/>
                <w:sz w:val="20"/>
                <w:szCs w:val="20"/>
              </w:rPr>
              <w:t>Year</w:t>
            </w:r>
          </w:p>
        </w:tc>
        <w:tc>
          <w:tcPr>
            <w:tcW w:w="1300" w:type="dxa"/>
            <w:tcBorders>
              <w:top w:val="single" w:sz="4" w:space="0" w:color="auto"/>
              <w:left w:val="nil"/>
              <w:bottom w:val="single" w:sz="4" w:space="0" w:color="auto"/>
              <w:right w:val="nil"/>
            </w:tcBorders>
            <w:shd w:val="clear" w:color="auto" w:fill="auto"/>
            <w:noWrap/>
            <w:vAlign w:val="bottom"/>
            <w:hideMark/>
          </w:tcPr>
          <w:p w14:paraId="5A63C1F8" w14:textId="77777777" w:rsidR="00670115" w:rsidRPr="00C36419" w:rsidRDefault="00670115" w:rsidP="00022C38">
            <w:pPr>
              <w:jc w:val="right"/>
              <w:rPr>
                <w:rFonts w:ascii="Times New Roman" w:hAnsi="Times New Roman" w:cs="Times New Roman"/>
                <w:b/>
                <w:bCs/>
                <w:color w:val="000000"/>
                <w:sz w:val="20"/>
                <w:szCs w:val="20"/>
              </w:rPr>
            </w:pPr>
            <w:r w:rsidRPr="00C36419">
              <w:rPr>
                <w:rFonts w:ascii="Times New Roman" w:hAnsi="Times New Roman" w:cs="Times New Roman"/>
                <w:b/>
                <w:bCs/>
                <w:color w:val="000000"/>
                <w:sz w:val="20"/>
                <w:szCs w:val="20"/>
              </w:rPr>
              <w:t>Documents</w:t>
            </w:r>
          </w:p>
        </w:tc>
        <w:tc>
          <w:tcPr>
            <w:tcW w:w="340" w:type="dxa"/>
            <w:tcBorders>
              <w:top w:val="nil"/>
              <w:left w:val="nil"/>
              <w:bottom w:val="nil"/>
              <w:right w:val="nil"/>
            </w:tcBorders>
            <w:shd w:val="clear" w:color="auto" w:fill="auto"/>
            <w:noWrap/>
            <w:vAlign w:val="bottom"/>
            <w:hideMark/>
          </w:tcPr>
          <w:p w14:paraId="40152461" w14:textId="77777777" w:rsidR="00670115" w:rsidRPr="00C36419" w:rsidRDefault="00670115" w:rsidP="00022C38">
            <w:pPr>
              <w:jc w:val="right"/>
              <w:rPr>
                <w:rFonts w:ascii="Times New Roman" w:hAnsi="Times New Roman" w:cs="Times New Roman"/>
                <w:b/>
                <w:bCs/>
                <w:color w:val="000000"/>
                <w:sz w:val="20"/>
                <w:szCs w:val="20"/>
              </w:rPr>
            </w:pPr>
          </w:p>
        </w:tc>
        <w:tc>
          <w:tcPr>
            <w:tcW w:w="2495" w:type="dxa"/>
            <w:tcBorders>
              <w:top w:val="single" w:sz="4" w:space="0" w:color="auto"/>
              <w:left w:val="nil"/>
              <w:bottom w:val="single" w:sz="4" w:space="0" w:color="auto"/>
              <w:right w:val="nil"/>
            </w:tcBorders>
            <w:shd w:val="clear" w:color="auto" w:fill="auto"/>
            <w:noWrap/>
            <w:vAlign w:val="bottom"/>
            <w:hideMark/>
          </w:tcPr>
          <w:p w14:paraId="06217C8D" w14:textId="77777777" w:rsidR="00670115" w:rsidRPr="00C36419" w:rsidRDefault="00670115" w:rsidP="00022C38">
            <w:pPr>
              <w:rPr>
                <w:rFonts w:ascii="Times New Roman" w:hAnsi="Times New Roman" w:cs="Times New Roman"/>
                <w:b/>
                <w:bCs/>
                <w:color w:val="000000"/>
                <w:sz w:val="20"/>
                <w:szCs w:val="20"/>
              </w:rPr>
            </w:pPr>
            <w:r w:rsidRPr="00C36419">
              <w:rPr>
                <w:rFonts w:ascii="Times New Roman" w:hAnsi="Times New Roman" w:cs="Times New Roman"/>
                <w:b/>
                <w:bCs/>
                <w:color w:val="000000"/>
                <w:sz w:val="20"/>
                <w:szCs w:val="20"/>
              </w:rPr>
              <w:t>COUNTRY/TERRITORY</w:t>
            </w:r>
          </w:p>
        </w:tc>
        <w:tc>
          <w:tcPr>
            <w:tcW w:w="2400" w:type="dxa"/>
            <w:tcBorders>
              <w:top w:val="single" w:sz="4" w:space="0" w:color="auto"/>
              <w:left w:val="nil"/>
              <w:bottom w:val="single" w:sz="4" w:space="0" w:color="auto"/>
              <w:right w:val="nil"/>
            </w:tcBorders>
            <w:shd w:val="clear" w:color="auto" w:fill="auto"/>
            <w:noWrap/>
            <w:vAlign w:val="bottom"/>
            <w:hideMark/>
          </w:tcPr>
          <w:p w14:paraId="4DB3E27F" w14:textId="77777777" w:rsidR="00670115" w:rsidRPr="00C36419" w:rsidRDefault="00670115" w:rsidP="00022C38">
            <w:pPr>
              <w:rPr>
                <w:rFonts w:ascii="Times New Roman" w:hAnsi="Times New Roman" w:cs="Times New Roman"/>
                <w:b/>
                <w:bCs/>
                <w:color w:val="000000"/>
                <w:sz w:val="20"/>
                <w:szCs w:val="20"/>
              </w:rPr>
            </w:pPr>
            <w:r w:rsidRPr="00C36419">
              <w:rPr>
                <w:rFonts w:ascii="Times New Roman" w:hAnsi="Times New Roman" w:cs="Times New Roman"/>
                <w:b/>
                <w:bCs/>
                <w:color w:val="000000"/>
                <w:sz w:val="20"/>
                <w:szCs w:val="20"/>
              </w:rPr>
              <w:t>Number of Documents</w:t>
            </w:r>
          </w:p>
        </w:tc>
      </w:tr>
      <w:tr w:rsidR="00670115" w:rsidRPr="00C36419" w14:paraId="4A010F3E"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201B0DCC"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2010</w:t>
            </w:r>
          </w:p>
        </w:tc>
        <w:tc>
          <w:tcPr>
            <w:tcW w:w="1300" w:type="dxa"/>
            <w:tcBorders>
              <w:top w:val="nil"/>
              <w:left w:val="nil"/>
              <w:bottom w:val="nil"/>
              <w:right w:val="nil"/>
            </w:tcBorders>
            <w:shd w:val="clear" w:color="auto" w:fill="auto"/>
            <w:noWrap/>
            <w:vAlign w:val="bottom"/>
            <w:hideMark/>
          </w:tcPr>
          <w:p w14:paraId="48ECFBF6"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12</w:t>
            </w:r>
          </w:p>
        </w:tc>
        <w:tc>
          <w:tcPr>
            <w:tcW w:w="340" w:type="dxa"/>
            <w:tcBorders>
              <w:top w:val="nil"/>
              <w:left w:val="nil"/>
              <w:bottom w:val="nil"/>
              <w:right w:val="nil"/>
            </w:tcBorders>
            <w:shd w:val="clear" w:color="auto" w:fill="auto"/>
            <w:noWrap/>
            <w:vAlign w:val="bottom"/>
            <w:hideMark/>
          </w:tcPr>
          <w:p w14:paraId="468AF6B1"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5C26B479" w14:textId="77777777" w:rsidR="00670115" w:rsidRPr="00C36419" w:rsidRDefault="00670115" w:rsidP="00022C38">
            <w:pPr>
              <w:rPr>
                <w:rFonts w:ascii="Times New Roman" w:hAnsi="Times New Roman" w:cs="Times New Roman"/>
                <w:color w:val="000000"/>
                <w:sz w:val="20"/>
                <w:szCs w:val="20"/>
              </w:rPr>
            </w:pPr>
            <w:r w:rsidRPr="00C36419">
              <w:rPr>
                <w:rFonts w:ascii="Times New Roman" w:hAnsi="Times New Roman" w:cs="Times New Roman"/>
                <w:color w:val="000000"/>
                <w:sz w:val="20"/>
                <w:szCs w:val="20"/>
              </w:rPr>
              <w:t>Russian Federation</w:t>
            </w:r>
          </w:p>
        </w:tc>
        <w:tc>
          <w:tcPr>
            <w:tcW w:w="2400" w:type="dxa"/>
            <w:tcBorders>
              <w:top w:val="nil"/>
              <w:left w:val="nil"/>
              <w:bottom w:val="nil"/>
              <w:right w:val="nil"/>
            </w:tcBorders>
            <w:shd w:val="clear" w:color="auto" w:fill="auto"/>
            <w:noWrap/>
            <w:vAlign w:val="bottom"/>
            <w:hideMark/>
          </w:tcPr>
          <w:p w14:paraId="53E66D6F"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75</w:t>
            </w:r>
          </w:p>
        </w:tc>
      </w:tr>
      <w:tr w:rsidR="00670115" w:rsidRPr="00C36419" w14:paraId="428AED25"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25B2A826"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2011</w:t>
            </w:r>
          </w:p>
        </w:tc>
        <w:tc>
          <w:tcPr>
            <w:tcW w:w="1300" w:type="dxa"/>
            <w:tcBorders>
              <w:top w:val="nil"/>
              <w:left w:val="nil"/>
              <w:bottom w:val="nil"/>
              <w:right w:val="nil"/>
            </w:tcBorders>
            <w:shd w:val="clear" w:color="auto" w:fill="auto"/>
            <w:noWrap/>
            <w:vAlign w:val="bottom"/>
            <w:hideMark/>
          </w:tcPr>
          <w:p w14:paraId="51E97F7D"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13</w:t>
            </w:r>
          </w:p>
        </w:tc>
        <w:tc>
          <w:tcPr>
            <w:tcW w:w="340" w:type="dxa"/>
            <w:tcBorders>
              <w:top w:val="nil"/>
              <w:left w:val="nil"/>
              <w:bottom w:val="nil"/>
              <w:right w:val="nil"/>
            </w:tcBorders>
            <w:shd w:val="clear" w:color="auto" w:fill="auto"/>
            <w:noWrap/>
            <w:vAlign w:val="bottom"/>
            <w:hideMark/>
          </w:tcPr>
          <w:p w14:paraId="05CCB568"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195805D7" w14:textId="77777777" w:rsidR="00670115" w:rsidRPr="00C36419" w:rsidRDefault="00670115" w:rsidP="00022C38">
            <w:pPr>
              <w:rPr>
                <w:rFonts w:ascii="Times New Roman" w:hAnsi="Times New Roman" w:cs="Times New Roman"/>
                <w:color w:val="000000"/>
                <w:sz w:val="20"/>
                <w:szCs w:val="20"/>
              </w:rPr>
            </w:pPr>
            <w:r w:rsidRPr="00C36419">
              <w:rPr>
                <w:rFonts w:ascii="Times New Roman" w:hAnsi="Times New Roman" w:cs="Times New Roman"/>
                <w:color w:val="000000"/>
                <w:sz w:val="20"/>
                <w:szCs w:val="20"/>
              </w:rPr>
              <w:t>Netherlands</w:t>
            </w:r>
          </w:p>
        </w:tc>
        <w:tc>
          <w:tcPr>
            <w:tcW w:w="2400" w:type="dxa"/>
            <w:tcBorders>
              <w:top w:val="nil"/>
              <w:left w:val="nil"/>
              <w:bottom w:val="nil"/>
              <w:right w:val="nil"/>
            </w:tcBorders>
            <w:shd w:val="clear" w:color="auto" w:fill="auto"/>
            <w:noWrap/>
            <w:vAlign w:val="bottom"/>
            <w:hideMark/>
          </w:tcPr>
          <w:p w14:paraId="60E4BF47"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77</w:t>
            </w:r>
          </w:p>
        </w:tc>
      </w:tr>
      <w:tr w:rsidR="00670115" w:rsidRPr="00C36419" w14:paraId="1899F1DD"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66B882ED"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2012</w:t>
            </w:r>
          </w:p>
        </w:tc>
        <w:tc>
          <w:tcPr>
            <w:tcW w:w="1300" w:type="dxa"/>
            <w:tcBorders>
              <w:top w:val="nil"/>
              <w:left w:val="nil"/>
              <w:bottom w:val="nil"/>
              <w:right w:val="nil"/>
            </w:tcBorders>
            <w:shd w:val="clear" w:color="auto" w:fill="auto"/>
            <w:noWrap/>
            <w:vAlign w:val="bottom"/>
            <w:hideMark/>
          </w:tcPr>
          <w:p w14:paraId="4F8399CF"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10</w:t>
            </w:r>
          </w:p>
        </w:tc>
        <w:tc>
          <w:tcPr>
            <w:tcW w:w="340" w:type="dxa"/>
            <w:tcBorders>
              <w:top w:val="nil"/>
              <w:left w:val="nil"/>
              <w:bottom w:val="nil"/>
              <w:right w:val="nil"/>
            </w:tcBorders>
            <w:shd w:val="clear" w:color="auto" w:fill="auto"/>
            <w:noWrap/>
            <w:vAlign w:val="bottom"/>
            <w:hideMark/>
          </w:tcPr>
          <w:p w14:paraId="06B080A1"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3C435F94" w14:textId="77777777" w:rsidR="00670115" w:rsidRPr="00C36419" w:rsidRDefault="00670115" w:rsidP="00022C38">
            <w:pPr>
              <w:rPr>
                <w:rFonts w:ascii="Times New Roman" w:hAnsi="Times New Roman" w:cs="Times New Roman"/>
                <w:color w:val="000000"/>
                <w:sz w:val="20"/>
                <w:szCs w:val="20"/>
              </w:rPr>
            </w:pPr>
            <w:r w:rsidRPr="00C36419">
              <w:rPr>
                <w:rFonts w:ascii="Times New Roman" w:hAnsi="Times New Roman" w:cs="Times New Roman"/>
                <w:color w:val="000000"/>
                <w:sz w:val="20"/>
                <w:szCs w:val="20"/>
              </w:rPr>
              <w:t>Australia</w:t>
            </w:r>
          </w:p>
        </w:tc>
        <w:tc>
          <w:tcPr>
            <w:tcW w:w="2400" w:type="dxa"/>
            <w:tcBorders>
              <w:top w:val="nil"/>
              <w:left w:val="nil"/>
              <w:bottom w:val="nil"/>
              <w:right w:val="nil"/>
            </w:tcBorders>
            <w:shd w:val="clear" w:color="auto" w:fill="auto"/>
            <w:noWrap/>
            <w:vAlign w:val="bottom"/>
            <w:hideMark/>
          </w:tcPr>
          <w:p w14:paraId="7FB6885A"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78</w:t>
            </w:r>
          </w:p>
        </w:tc>
      </w:tr>
      <w:tr w:rsidR="00670115" w:rsidRPr="00C36419" w14:paraId="7D591D6D"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64E066DA"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2013</w:t>
            </w:r>
          </w:p>
        </w:tc>
        <w:tc>
          <w:tcPr>
            <w:tcW w:w="1300" w:type="dxa"/>
            <w:tcBorders>
              <w:top w:val="nil"/>
              <w:left w:val="nil"/>
              <w:bottom w:val="nil"/>
              <w:right w:val="nil"/>
            </w:tcBorders>
            <w:shd w:val="clear" w:color="auto" w:fill="auto"/>
            <w:noWrap/>
            <w:vAlign w:val="bottom"/>
            <w:hideMark/>
          </w:tcPr>
          <w:p w14:paraId="0FD6A28C"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10</w:t>
            </w:r>
          </w:p>
        </w:tc>
        <w:tc>
          <w:tcPr>
            <w:tcW w:w="340" w:type="dxa"/>
            <w:tcBorders>
              <w:top w:val="nil"/>
              <w:left w:val="nil"/>
              <w:bottom w:val="nil"/>
              <w:right w:val="nil"/>
            </w:tcBorders>
            <w:shd w:val="clear" w:color="auto" w:fill="auto"/>
            <w:noWrap/>
            <w:vAlign w:val="bottom"/>
            <w:hideMark/>
          </w:tcPr>
          <w:p w14:paraId="3826972C"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3B82434F" w14:textId="77777777" w:rsidR="00670115" w:rsidRPr="00C36419" w:rsidRDefault="00670115" w:rsidP="00022C38">
            <w:pPr>
              <w:rPr>
                <w:rFonts w:ascii="Times New Roman" w:hAnsi="Times New Roman" w:cs="Times New Roman"/>
                <w:color w:val="000000"/>
                <w:sz w:val="20"/>
                <w:szCs w:val="20"/>
              </w:rPr>
            </w:pPr>
            <w:r w:rsidRPr="00C36419">
              <w:rPr>
                <w:rFonts w:ascii="Times New Roman" w:hAnsi="Times New Roman" w:cs="Times New Roman"/>
                <w:color w:val="000000"/>
                <w:sz w:val="20"/>
                <w:szCs w:val="20"/>
              </w:rPr>
              <w:t>India</w:t>
            </w:r>
          </w:p>
        </w:tc>
        <w:tc>
          <w:tcPr>
            <w:tcW w:w="2400" w:type="dxa"/>
            <w:tcBorders>
              <w:top w:val="nil"/>
              <w:left w:val="nil"/>
              <w:bottom w:val="nil"/>
              <w:right w:val="nil"/>
            </w:tcBorders>
            <w:shd w:val="clear" w:color="auto" w:fill="auto"/>
            <w:noWrap/>
            <w:vAlign w:val="bottom"/>
            <w:hideMark/>
          </w:tcPr>
          <w:p w14:paraId="0F5CFCC0"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116</w:t>
            </w:r>
          </w:p>
        </w:tc>
      </w:tr>
      <w:tr w:rsidR="00670115" w:rsidRPr="00C36419" w14:paraId="7EB4F42A"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5ECAC9F8"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2014</w:t>
            </w:r>
          </w:p>
        </w:tc>
        <w:tc>
          <w:tcPr>
            <w:tcW w:w="1300" w:type="dxa"/>
            <w:tcBorders>
              <w:top w:val="nil"/>
              <w:left w:val="nil"/>
              <w:bottom w:val="nil"/>
              <w:right w:val="nil"/>
            </w:tcBorders>
            <w:shd w:val="clear" w:color="auto" w:fill="auto"/>
            <w:noWrap/>
            <w:vAlign w:val="bottom"/>
            <w:hideMark/>
          </w:tcPr>
          <w:p w14:paraId="24B3142D"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16</w:t>
            </w:r>
          </w:p>
        </w:tc>
        <w:tc>
          <w:tcPr>
            <w:tcW w:w="340" w:type="dxa"/>
            <w:tcBorders>
              <w:top w:val="nil"/>
              <w:left w:val="nil"/>
              <w:bottom w:val="nil"/>
              <w:right w:val="nil"/>
            </w:tcBorders>
            <w:shd w:val="clear" w:color="auto" w:fill="auto"/>
            <w:noWrap/>
            <w:vAlign w:val="bottom"/>
            <w:hideMark/>
          </w:tcPr>
          <w:p w14:paraId="0519B71A"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46920F20" w14:textId="77777777" w:rsidR="00670115" w:rsidRPr="00C36419" w:rsidRDefault="00670115" w:rsidP="00022C38">
            <w:pPr>
              <w:rPr>
                <w:rFonts w:ascii="Times New Roman" w:hAnsi="Times New Roman" w:cs="Times New Roman"/>
                <w:color w:val="000000"/>
                <w:sz w:val="20"/>
                <w:szCs w:val="20"/>
              </w:rPr>
            </w:pPr>
            <w:r w:rsidRPr="00C36419">
              <w:rPr>
                <w:rFonts w:ascii="Times New Roman" w:hAnsi="Times New Roman" w:cs="Times New Roman"/>
                <w:color w:val="000000"/>
                <w:sz w:val="20"/>
                <w:szCs w:val="20"/>
              </w:rPr>
              <w:t>France</w:t>
            </w:r>
          </w:p>
        </w:tc>
        <w:tc>
          <w:tcPr>
            <w:tcW w:w="2400" w:type="dxa"/>
            <w:tcBorders>
              <w:top w:val="nil"/>
              <w:left w:val="nil"/>
              <w:bottom w:val="nil"/>
              <w:right w:val="nil"/>
            </w:tcBorders>
            <w:shd w:val="clear" w:color="auto" w:fill="auto"/>
            <w:noWrap/>
            <w:vAlign w:val="bottom"/>
            <w:hideMark/>
          </w:tcPr>
          <w:p w14:paraId="6C5B1EAE"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122</w:t>
            </w:r>
          </w:p>
        </w:tc>
      </w:tr>
      <w:tr w:rsidR="00670115" w:rsidRPr="00C36419" w14:paraId="3B24CD28"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7F07F24E"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2015</w:t>
            </w:r>
          </w:p>
        </w:tc>
        <w:tc>
          <w:tcPr>
            <w:tcW w:w="1300" w:type="dxa"/>
            <w:tcBorders>
              <w:top w:val="nil"/>
              <w:left w:val="nil"/>
              <w:bottom w:val="nil"/>
              <w:right w:val="nil"/>
            </w:tcBorders>
            <w:shd w:val="clear" w:color="auto" w:fill="auto"/>
            <w:noWrap/>
            <w:vAlign w:val="bottom"/>
            <w:hideMark/>
          </w:tcPr>
          <w:p w14:paraId="6EE78EB2"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9</w:t>
            </w:r>
          </w:p>
        </w:tc>
        <w:tc>
          <w:tcPr>
            <w:tcW w:w="340" w:type="dxa"/>
            <w:tcBorders>
              <w:top w:val="nil"/>
              <w:left w:val="nil"/>
              <w:bottom w:val="nil"/>
              <w:right w:val="nil"/>
            </w:tcBorders>
            <w:shd w:val="clear" w:color="auto" w:fill="auto"/>
            <w:noWrap/>
            <w:vAlign w:val="bottom"/>
            <w:hideMark/>
          </w:tcPr>
          <w:p w14:paraId="445A4650"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56484A72" w14:textId="77777777" w:rsidR="00670115" w:rsidRPr="00C36419" w:rsidRDefault="00670115" w:rsidP="00022C38">
            <w:pPr>
              <w:rPr>
                <w:rFonts w:ascii="Times New Roman" w:hAnsi="Times New Roman" w:cs="Times New Roman"/>
                <w:color w:val="000000"/>
                <w:sz w:val="20"/>
                <w:szCs w:val="20"/>
              </w:rPr>
            </w:pPr>
            <w:r w:rsidRPr="00C36419">
              <w:rPr>
                <w:rFonts w:ascii="Times New Roman" w:hAnsi="Times New Roman" w:cs="Times New Roman"/>
                <w:color w:val="000000"/>
                <w:sz w:val="20"/>
                <w:szCs w:val="20"/>
              </w:rPr>
              <w:t>Italy</w:t>
            </w:r>
          </w:p>
        </w:tc>
        <w:tc>
          <w:tcPr>
            <w:tcW w:w="2400" w:type="dxa"/>
            <w:tcBorders>
              <w:top w:val="nil"/>
              <w:left w:val="nil"/>
              <w:bottom w:val="nil"/>
              <w:right w:val="nil"/>
            </w:tcBorders>
            <w:shd w:val="clear" w:color="auto" w:fill="auto"/>
            <w:noWrap/>
            <w:vAlign w:val="bottom"/>
            <w:hideMark/>
          </w:tcPr>
          <w:p w14:paraId="2E5CDA05"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191</w:t>
            </w:r>
          </w:p>
        </w:tc>
      </w:tr>
      <w:tr w:rsidR="00670115" w:rsidRPr="00C36419" w14:paraId="23CA6EBE"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0DDF3B1F"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2016</w:t>
            </w:r>
          </w:p>
        </w:tc>
        <w:tc>
          <w:tcPr>
            <w:tcW w:w="1300" w:type="dxa"/>
            <w:tcBorders>
              <w:top w:val="nil"/>
              <w:left w:val="nil"/>
              <w:bottom w:val="nil"/>
              <w:right w:val="nil"/>
            </w:tcBorders>
            <w:shd w:val="clear" w:color="auto" w:fill="auto"/>
            <w:noWrap/>
            <w:vAlign w:val="bottom"/>
            <w:hideMark/>
          </w:tcPr>
          <w:p w14:paraId="47EBC198"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16</w:t>
            </w:r>
          </w:p>
        </w:tc>
        <w:tc>
          <w:tcPr>
            <w:tcW w:w="340" w:type="dxa"/>
            <w:tcBorders>
              <w:top w:val="nil"/>
              <w:left w:val="nil"/>
              <w:bottom w:val="nil"/>
              <w:right w:val="nil"/>
            </w:tcBorders>
            <w:shd w:val="clear" w:color="auto" w:fill="auto"/>
            <w:noWrap/>
            <w:vAlign w:val="bottom"/>
            <w:hideMark/>
          </w:tcPr>
          <w:p w14:paraId="3A6EB9F0"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44DFFE3C" w14:textId="77777777" w:rsidR="00670115" w:rsidRPr="00C36419" w:rsidRDefault="00670115" w:rsidP="00022C38">
            <w:pPr>
              <w:rPr>
                <w:rFonts w:ascii="Times New Roman" w:hAnsi="Times New Roman" w:cs="Times New Roman"/>
                <w:color w:val="000000"/>
                <w:sz w:val="20"/>
                <w:szCs w:val="20"/>
              </w:rPr>
            </w:pPr>
            <w:r w:rsidRPr="00C36419">
              <w:rPr>
                <w:rFonts w:ascii="Times New Roman" w:hAnsi="Times New Roman" w:cs="Times New Roman"/>
                <w:color w:val="000000"/>
                <w:sz w:val="20"/>
                <w:szCs w:val="20"/>
              </w:rPr>
              <w:t>United Kingdom</w:t>
            </w:r>
          </w:p>
        </w:tc>
        <w:tc>
          <w:tcPr>
            <w:tcW w:w="2400" w:type="dxa"/>
            <w:tcBorders>
              <w:top w:val="nil"/>
              <w:left w:val="nil"/>
              <w:bottom w:val="nil"/>
              <w:right w:val="nil"/>
            </w:tcBorders>
            <w:shd w:val="clear" w:color="auto" w:fill="auto"/>
            <w:noWrap/>
            <w:vAlign w:val="bottom"/>
            <w:hideMark/>
          </w:tcPr>
          <w:p w14:paraId="602919AA"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219</w:t>
            </w:r>
          </w:p>
        </w:tc>
      </w:tr>
      <w:tr w:rsidR="00670115" w:rsidRPr="00C36419" w14:paraId="4FB61BDA"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28073CA7"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2017</w:t>
            </w:r>
          </w:p>
        </w:tc>
        <w:tc>
          <w:tcPr>
            <w:tcW w:w="1300" w:type="dxa"/>
            <w:tcBorders>
              <w:top w:val="nil"/>
              <w:left w:val="nil"/>
              <w:bottom w:val="nil"/>
              <w:right w:val="nil"/>
            </w:tcBorders>
            <w:shd w:val="clear" w:color="auto" w:fill="auto"/>
            <w:noWrap/>
            <w:vAlign w:val="bottom"/>
            <w:hideMark/>
          </w:tcPr>
          <w:p w14:paraId="38AE8D0A"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28</w:t>
            </w:r>
          </w:p>
        </w:tc>
        <w:tc>
          <w:tcPr>
            <w:tcW w:w="340" w:type="dxa"/>
            <w:tcBorders>
              <w:top w:val="nil"/>
              <w:left w:val="nil"/>
              <w:bottom w:val="nil"/>
              <w:right w:val="nil"/>
            </w:tcBorders>
            <w:shd w:val="clear" w:color="auto" w:fill="auto"/>
            <w:noWrap/>
            <w:vAlign w:val="bottom"/>
            <w:hideMark/>
          </w:tcPr>
          <w:p w14:paraId="1B657F38"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1FCE3EDE" w14:textId="77777777" w:rsidR="00670115" w:rsidRPr="00C36419" w:rsidRDefault="00670115" w:rsidP="00022C38">
            <w:pPr>
              <w:rPr>
                <w:rFonts w:ascii="Times New Roman" w:hAnsi="Times New Roman" w:cs="Times New Roman"/>
                <w:color w:val="000000"/>
                <w:sz w:val="20"/>
                <w:szCs w:val="20"/>
              </w:rPr>
            </w:pPr>
            <w:r w:rsidRPr="00C36419">
              <w:rPr>
                <w:rFonts w:ascii="Times New Roman" w:hAnsi="Times New Roman" w:cs="Times New Roman"/>
                <w:color w:val="000000"/>
                <w:sz w:val="20"/>
                <w:szCs w:val="20"/>
              </w:rPr>
              <w:t>Germany</w:t>
            </w:r>
          </w:p>
        </w:tc>
        <w:tc>
          <w:tcPr>
            <w:tcW w:w="2400" w:type="dxa"/>
            <w:tcBorders>
              <w:top w:val="nil"/>
              <w:left w:val="nil"/>
              <w:bottom w:val="nil"/>
              <w:right w:val="nil"/>
            </w:tcBorders>
            <w:shd w:val="clear" w:color="auto" w:fill="auto"/>
            <w:noWrap/>
            <w:vAlign w:val="bottom"/>
            <w:hideMark/>
          </w:tcPr>
          <w:p w14:paraId="464E94FA"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277</w:t>
            </w:r>
          </w:p>
        </w:tc>
      </w:tr>
      <w:tr w:rsidR="00670115" w:rsidRPr="00C36419" w14:paraId="74F96B93"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18575CA7"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2018</w:t>
            </w:r>
          </w:p>
        </w:tc>
        <w:tc>
          <w:tcPr>
            <w:tcW w:w="1300" w:type="dxa"/>
            <w:tcBorders>
              <w:top w:val="nil"/>
              <w:left w:val="nil"/>
              <w:bottom w:val="nil"/>
              <w:right w:val="nil"/>
            </w:tcBorders>
            <w:shd w:val="clear" w:color="auto" w:fill="auto"/>
            <w:noWrap/>
            <w:vAlign w:val="bottom"/>
            <w:hideMark/>
          </w:tcPr>
          <w:p w14:paraId="6A8A4011"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51</w:t>
            </w:r>
          </w:p>
        </w:tc>
        <w:tc>
          <w:tcPr>
            <w:tcW w:w="340" w:type="dxa"/>
            <w:tcBorders>
              <w:top w:val="nil"/>
              <w:left w:val="nil"/>
              <w:bottom w:val="nil"/>
              <w:right w:val="nil"/>
            </w:tcBorders>
            <w:shd w:val="clear" w:color="auto" w:fill="auto"/>
            <w:noWrap/>
            <w:vAlign w:val="bottom"/>
            <w:hideMark/>
          </w:tcPr>
          <w:p w14:paraId="54C8BE5E"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343BEF18" w14:textId="77777777" w:rsidR="00670115" w:rsidRPr="00C36419" w:rsidRDefault="00670115" w:rsidP="00022C38">
            <w:pPr>
              <w:rPr>
                <w:rFonts w:ascii="Times New Roman" w:hAnsi="Times New Roman" w:cs="Times New Roman"/>
                <w:color w:val="000000"/>
                <w:sz w:val="20"/>
                <w:szCs w:val="20"/>
              </w:rPr>
            </w:pPr>
            <w:r w:rsidRPr="00C36419">
              <w:rPr>
                <w:rFonts w:ascii="Times New Roman" w:hAnsi="Times New Roman" w:cs="Times New Roman"/>
                <w:color w:val="000000"/>
                <w:sz w:val="20"/>
                <w:szCs w:val="20"/>
              </w:rPr>
              <w:t>United States</w:t>
            </w:r>
          </w:p>
        </w:tc>
        <w:tc>
          <w:tcPr>
            <w:tcW w:w="2400" w:type="dxa"/>
            <w:tcBorders>
              <w:top w:val="nil"/>
              <w:left w:val="nil"/>
              <w:bottom w:val="nil"/>
              <w:right w:val="nil"/>
            </w:tcBorders>
            <w:shd w:val="clear" w:color="auto" w:fill="auto"/>
            <w:noWrap/>
            <w:vAlign w:val="bottom"/>
            <w:hideMark/>
          </w:tcPr>
          <w:p w14:paraId="7A50487A"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398</w:t>
            </w:r>
          </w:p>
        </w:tc>
      </w:tr>
      <w:tr w:rsidR="00670115" w:rsidRPr="00C36419" w14:paraId="14E7756A"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1FA0DEF7"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2019</w:t>
            </w:r>
          </w:p>
        </w:tc>
        <w:tc>
          <w:tcPr>
            <w:tcW w:w="1300" w:type="dxa"/>
            <w:tcBorders>
              <w:top w:val="nil"/>
              <w:left w:val="nil"/>
              <w:bottom w:val="nil"/>
              <w:right w:val="nil"/>
            </w:tcBorders>
            <w:shd w:val="clear" w:color="auto" w:fill="auto"/>
            <w:noWrap/>
            <w:vAlign w:val="bottom"/>
            <w:hideMark/>
          </w:tcPr>
          <w:p w14:paraId="7996673E"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145</w:t>
            </w:r>
          </w:p>
        </w:tc>
        <w:tc>
          <w:tcPr>
            <w:tcW w:w="340" w:type="dxa"/>
            <w:tcBorders>
              <w:top w:val="nil"/>
              <w:left w:val="nil"/>
              <w:bottom w:val="nil"/>
              <w:right w:val="nil"/>
            </w:tcBorders>
            <w:shd w:val="clear" w:color="auto" w:fill="auto"/>
            <w:noWrap/>
            <w:vAlign w:val="bottom"/>
            <w:hideMark/>
          </w:tcPr>
          <w:p w14:paraId="1A03BA99"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single" w:sz="4" w:space="0" w:color="auto"/>
              <w:right w:val="nil"/>
            </w:tcBorders>
            <w:shd w:val="clear" w:color="auto" w:fill="auto"/>
            <w:noWrap/>
            <w:vAlign w:val="bottom"/>
            <w:hideMark/>
          </w:tcPr>
          <w:p w14:paraId="1C1A49D7" w14:textId="77777777" w:rsidR="00670115" w:rsidRPr="00C36419" w:rsidRDefault="00670115" w:rsidP="00022C38">
            <w:pPr>
              <w:rPr>
                <w:rFonts w:ascii="Times New Roman" w:hAnsi="Times New Roman" w:cs="Times New Roman"/>
                <w:color w:val="000000"/>
                <w:sz w:val="20"/>
                <w:szCs w:val="20"/>
              </w:rPr>
            </w:pPr>
            <w:r w:rsidRPr="00C36419">
              <w:rPr>
                <w:rFonts w:ascii="Times New Roman" w:hAnsi="Times New Roman" w:cs="Times New Roman"/>
                <w:color w:val="000000"/>
                <w:sz w:val="20"/>
                <w:szCs w:val="20"/>
              </w:rPr>
              <w:t>China</w:t>
            </w:r>
          </w:p>
        </w:tc>
        <w:tc>
          <w:tcPr>
            <w:tcW w:w="2400" w:type="dxa"/>
            <w:tcBorders>
              <w:top w:val="nil"/>
              <w:left w:val="nil"/>
              <w:bottom w:val="single" w:sz="4" w:space="0" w:color="auto"/>
              <w:right w:val="nil"/>
            </w:tcBorders>
            <w:shd w:val="clear" w:color="auto" w:fill="auto"/>
            <w:noWrap/>
            <w:vAlign w:val="bottom"/>
            <w:hideMark/>
          </w:tcPr>
          <w:p w14:paraId="378F70CF"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409</w:t>
            </w:r>
          </w:p>
        </w:tc>
      </w:tr>
      <w:tr w:rsidR="00670115" w:rsidRPr="00C36419" w14:paraId="35216B66"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0E90308A"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2020</w:t>
            </w:r>
          </w:p>
        </w:tc>
        <w:tc>
          <w:tcPr>
            <w:tcW w:w="1300" w:type="dxa"/>
            <w:tcBorders>
              <w:top w:val="nil"/>
              <w:left w:val="nil"/>
              <w:bottom w:val="nil"/>
              <w:right w:val="nil"/>
            </w:tcBorders>
            <w:shd w:val="clear" w:color="auto" w:fill="auto"/>
            <w:noWrap/>
            <w:vAlign w:val="bottom"/>
            <w:hideMark/>
          </w:tcPr>
          <w:p w14:paraId="4CA2C71E"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238</w:t>
            </w:r>
          </w:p>
        </w:tc>
        <w:tc>
          <w:tcPr>
            <w:tcW w:w="340" w:type="dxa"/>
            <w:tcBorders>
              <w:top w:val="nil"/>
              <w:left w:val="nil"/>
              <w:bottom w:val="nil"/>
              <w:right w:val="nil"/>
            </w:tcBorders>
            <w:shd w:val="clear" w:color="auto" w:fill="auto"/>
            <w:noWrap/>
            <w:vAlign w:val="bottom"/>
            <w:hideMark/>
          </w:tcPr>
          <w:p w14:paraId="1BBDB174"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574D63AA" w14:textId="77777777" w:rsidR="00670115" w:rsidRPr="00C36419" w:rsidRDefault="00670115" w:rsidP="00022C38">
            <w:pPr>
              <w:rPr>
                <w:rFonts w:ascii="Times New Roman" w:hAnsi="Times New Roman" w:cs="Times New Roman"/>
                <w:sz w:val="20"/>
                <w:szCs w:val="20"/>
              </w:rPr>
            </w:pPr>
          </w:p>
        </w:tc>
        <w:tc>
          <w:tcPr>
            <w:tcW w:w="2400" w:type="dxa"/>
            <w:tcBorders>
              <w:top w:val="nil"/>
              <w:left w:val="nil"/>
              <w:bottom w:val="nil"/>
              <w:right w:val="nil"/>
            </w:tcBorders>
            <w:shd w:val="clear" w:color="auto" w:fill="auto"/>
            <w:noWrap/>
            <w:vAlign w:val="bottom"/>
            <w:hideMark/>
          </w:tcPr>
          <w:p w14:paraId="4EF55742" w14:textId="77777777" w:rsidR="00670115" w:rsidRPr="00C36419" w:rsidRDefault="00670115" w:rsidP="00022C38">
            <w:pPr>
              <w:rPr>
                <w:rFonts w:ascii="Times New Roman" w:hAnsi="Times New Roman" w:cs="Times New Roman"/>
                <w:sz w:val="20"/>
                <w:szCs w:val="20"/>
              </w:rPr>
            </w:pPr>
          </w:p>
        </w:tc>
      </w:tr>
      <w:tr w:rsidR="00670115" w:rsidRPr="00C36419" w14:paraId="60EDAB1C"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5E21FB86"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2021</w:t>
            </w:r>
          </w:p>
        </w:tc>
        <w:tc>
          <w:tcPr>
            <w:tcW w:w="1300" w:type="dxa"/>
            <w:tcBorders>
              <w:top w:val="nil"/>
              <w:left w:val="nil"/>
              <w:bottom w:val="nil"/>
              <w:right w:val="nil"/>
            </w:tcBorders>
            <w:shd w:val="clear" w:color="auto" w:fill="auto"/>
            <w:noWrap/>
            <w:vAlign w:val="bottom"/>
            <w:hideMark/>
          </w:tcPr>
          <w:p w14:paraId="58BB2ADB"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420</w:t>
            </w:r>
          </w:p>
        </w:tc>
        <w:tc>
          <w:tcPr>
            <w:tcW w:w="340" w:type="dxa"/>
            <w:tcBorders>
              <w:top w:val="nil"/>
              <w:left w:val="nil"/>
              <w:bottom w:val="nil"/>
              <w:right w:val="nil"/>
            </w:tcBorders>
            <w:shd w:val="clear" w:color="auto" w:fill="auto"/>
            <w:noWrap/>
            <w:vAlign w:val="bottom"/>
            <w:hideMark/>
          </w:tcPr>
          <w:p w14:paraId="1F67F1F8"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71BA8BD6" w14:textId="77777777" w:rsidR="00670115" w:rsidRPr="00C36419" w:rsidRDefault="00670115" w:rsidP="00022C38">
            <w:pPr>
              <w:rPr>
                <w:rFonts w:ascii="Times New Roman" w:hAnsi="Times New Roman" w:cs="Times New Roman"/>
                <w:sz w:val="20"/>
                <w:szCs w:val="20"/>
              </w:rPr>
            </w:pPr>
          </w:p>
        </w:tc>
        <w:tc>
          <w:tcPr>
            <w:tcW w:w="2400" w:type="dxa"/>
            <w:tcBorders>
              <w:top w:val="nil"/>
              <w:left w:val="nil"/>
              <w:bottom w:val="nil"/>
              <w:right w:val="nil"/>
            </w:tcBorders>
            <w:shd w:val="clear" w:color="auto" w:fill="auto"/>
            <w:noWrap/>
            <w:vAlign w:val="bottom"/>
            <w:hideMark/>
          </w:tcPr>
          <w:p w14:paraId="1C937B4B" w14:textId="77777777" w:rsidR="00670115" w:rsidRPr="00C36419" w:rsidRDefault="00670115" w:rsidP="00022C38">
            <w:pPr>
              <w:rPr>
                <w:rFonts w:ascii="Times New Roman" w:hAnsi="Times New Roman" w:cs="Times New Roman"/>
                <w:sz w:val="20"/>
                <w:szCs w:val="20"/>
              </w:rPr>
            </w:pPr>
          </w:p>
        </w:tc>
      </w:tr>
      <w:tr w:rsidR="00670115" w:rsidRPr="00C36419" w14:paraId="303D08F1"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18CA3A39"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2022</w:t>
            </w:r>
          </w:p>
        </w:tc>
        <w:tc>
          <w:tcPr>
            <w:tcW w:w="1300" w:type="dxa"/>
            <w:tcBorders>
              <w:top w:val="nil"/>
              <w:left w:val="nil"/>
              <w:bottom w:val="nil"/>
              <w:right w:val="nil"/>
            </w:tcBorders>
            <w:shd w:val="clear" w:color="auto" w:fill="auto"/>
            <w:noWrap/>
            <w:vAlign w:val="bottom"/>
            <w:hideMark/>
          </w:tcPr>
          <w:p w14:paraId="21286983"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690</w:t>
            </w:r>
          </w:p>
        </w:tc>
        <w:tc>
          <w:tcPr>
            <w:tcW w:w="340" w:type="dxa"/>
            <w:tcBorders>
              <w:top w:val="nil"/>
              <w:left w:val="nil"/>
              <w:bottom w:val="nil"/>
              <w:right w:val="nil"/>
            </w:tcBorders>
            <w:shd w:val="clear" w:color="auto" w:fill="auto"/>
            <w:noWrap/>
            <w:vAlign w:val="bottom"/>
            <w:hideMark/>
          </w:tcPr>
          <w:p w14:paraId="26648109"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78B703D1" w14:textId="77777777" w:rsidR="00670115" w:rsidRPr="00C36419" w:rsidRDefault="00670115" w:rsidP="00022C38">
            <w:pPr>
              <w:rPr>
                <w:rFonts w:ascii="Times New Roman" w:hAnsi="Times New Roman" w:cs="Times New Roman"/>
                <w:sz w:val="20"/>
                <w:szCs w:val="20"/>
              </w:rPr>
            </w:pPr>
          </w:p>
        </w:tc>
        <w:tc>
          <w:tcPr>
            <w:tcW w:w="2400" w:type="dxa"/>
            <w:tcBorders>
              <w:top w:val="nil"/>
              <w:left w:val="nil"/>
              <w:bottom w:val="nil"/>
              <w:right w:val="nil"/>
            </w:tcBorders>
            <w:shd w:val="clear" w:color="auto" w:fill="auto"/>
            <w:noWrap/>
            <w:vAlign w:val="bottom"/>
            <w:hideMark/>
          </w:tcPr>
          <w:p w14:paraId="201A690E" w14:textId="77777777" w:rsidR="00670115" w:rsidRPr="00C36419" w:rsidRDefault="00670115" w:rsidP="00022C38">
            <w:pPr>
              <w:rPr>
                <w:rFonts w:ascii="Times New Roman" w:hAnsi="Times New Roman" w:cs="Times New Roman"/>
                <w:sz w:val="20"/>
                <w:szCs w:val="20"/>
              </w:rPr>
            </w:pPr>
          </w:p>
        </w:tc>
      </w:tr>
      <w:tr w:rsidR="00670115" w:rsidRPr="00C36419" w14:paraId="2725CF80"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308CCAA3"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2023</w:t>
            </w:r>
          </w:p>
        </w:tc>
        <w:tc>
          <w:tcPr>
            <w:tcW w:w="1300" w:type="dxa"/>
            <w:tcBorders>
              <w:top w:val="nil"/>
              <w:left w:val="nil"/>
              <w:bottom w:val="nil"/>
              <w:right w:val="nil"/>
            </w:tcBorders>
            <w:shd w:val="clear" w:color="auto" w:fill="auto"/>
            <w:noWrap/>
            <w:vAlign w:val="bottom"/>
            <w:hideMark/>
          </w:tcPr>
          <w:p w14:paraId="244694D3"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815</w:t>
            </w:r>
          </w:p>
        </w:tc>
        <w:tc>
          <w:tcPr>
            <w:tcW w:w="340" w:type="dxa"/>
            <w:tcBorders>
              <w:top w:val="nil"/>
              <w:left w:val="nil"/>
              <w:bottom w:val="nil"/>
              <w:right w:val="nil"/>
            </w:tcBorders>
            <w:shd w:val="clear" w:color="auto" w:fill="auto"/>
            <w:noWrap/>
            <w:vAlign w:val="bottom"/>
            <w:hideMark/>
          </w:tcPr>
          <w:p w14:paraId="42C832AD"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154CF064" w14:textId="77777777" w:rsidR="00670115" w:rsidRPr="00C36419" w:rsidRDefault="00670115" w:rsidP="00022C38">
            <w:pPr>
              <w:rPr>
                <w:rFonts w:ascii="Times New Roman" w:hAnsi="Times New Roman" w:cs="Times New Roman"/>
                <w:sz w:val="20"/>
                <w:szCs w:val="20"/>
              </w:rPr>
            </w:pPr>
          </w:p>
        </w:tc>
        <w:tc>
          <w:tcPr>
            <w:tcW w:w="2400" w:type="dxa"/>
            <w:tcBorders>
              <w:top w:val="nil"/>
              <w:left w:val="nil"/>
              <w:bottom w:val="nil"/>
              <w:right w:val="nil"/>
            </w:tcBorders>
            <w:shd w:val="clear" w:color="auto" w:fill="auto"/>
            <w:noWrap/>
            <w:vAlign w:val="bottom"/>
            <w:hideMark/>
          </w:tcPr>
          <w:p w14:paraId="43AEE220" w14:textId="77777777" w:rsidR="00670115" w:rsidRPr="00C36419" w:rsidRDefault="00670115" w:rsidP="00022C38">
            <w:pPr>
              <w:rPr>
                <w:rFonts w:ascii="Times New Roman" w:hAnsi="Times New Roman" w:cs="Times New Roman"/>
                <w:sz w:val="20"/>
                <w:szCs w:val="20"/>
              </w:rPr>
            </w:pPr>
          </w:p>
        </w:tc>
      </w:tr>
      <w:tr w:rsidR="00670115" w:rsidRPr="00C36419" w14:paraId="5D8B5C1F" w14:textId="77777777" w:rsidTr="0040327E">
        <w:trPr>
          <w:trHeight w:val="320"/>
          <w:jc w:val="center"/>
        </w:trPr>
        <w:tc>
          <w:tcPr>
            <w:tcW w:w="1300" w:type="dxa"/>
            <w:tcBorders>
              <w:top w:val="nil"/>
              <w:left w:val="nil"/>
              <w:bottom w:val="nil"/>
              <w:right w:val="nil"/>
            </w:tcBorders>
            <w:shd w:val="clear" w:color="auto" w:fill="auto"/>
            <w:noWrap/>
            <w:vAlign w:val="bottom"/>
            <w:hideMark/>
          </w:tcPr>
          <w:p w14:paraId="70962E39"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2024</w:t>
            </w:r>
          </w:p>
        </w:tc>
        <w:tc>
          <w:tcPr>
            <w:tcW w:w="1300" w:type="dxa"/>
            <w:tcBorders>
              <w:top w:val="nil"/>
              <w:left w:val="nil"/>
              <w:bottom w:val="nil"/>
              <w:right w:val="nil"/>
            </w:tcBorders>
            <w:shd w:val="clear" w:color="auto" w:fill="auto"/>
            <w:noWrap/>
            <w:vAlign w:val="bottom"/>
            <w:hideMark/>
          </w:tcPr>
          <w:p w14:paraId="4C7840E9" w14:textId="77777777" w:rsidR="00670115" w:rsidRPr="00C36419" w:rsidRDefault="00670115" w:rsidP="00022C38">
            <w:pPr>
              <w:jc w:val="right"/>
              <w:rPr>
                <w:rFonts w:ascii="Times New Roman" w:hAnsi="Times New Roman" w:cs="Times New Roman"/>
                <w:color w:val="000000"/>
                <w:sz w:val="20"/>
                <w:szCs w:val="20"/>
              </w:rPr>
            </w:pPr>
            <w:r w:rsidRPr="00C36419">
              <w:rPr>
                <w:rFonts w:ascii="Times New Roman" w:hAnsi="Times New Roman" w:cs="Times New Roman"/>
                <w:color w:val="000000"/>
                <w:sz w:val="20"/>
                <w:szCs w:val="20"/>
              </w:rPr>
              <w:t>18</w:t>
            </w:r>
          </w:p>
        </w:tc>
        <w:tc>
          <w:tcPr>
            <w:tcW w:w="340" w:type="dxa"/>
            <w:tcBorders>
              <w:top w:val="nil"/>
              <w:left w:val="nil"/>
              <w:bottom w:val="nil"/>
              <w:right w:val="nil"/>
            </w:tcBorders>
            <w:shd w:val="clear" w:color="auto" w:fill="auto"/>
            <w:noWrap/>
            <w:vAlign w:val="bottom"/>
            <w:hideMark/>
          </w:tcPr>
          <w:p w14:paraId="3C5EFC64" w14:textId="77777777" w:rsidR="00670115" w:rsidRPr="00C36419" w:rsidRDefault="00670115" w:rsidP="00022C38">
            <w:pPr>
              <w:jc w:val="right"/>
              <w:rPr>
                <w:rFonts w:ascii="Times New Roman" w:hAnsi="Times New Roman" w:cs="Times New Roman"/>
                <w:color w:val="000000"/>
                <w:sz w:val="20"/>
                <w:szCs w:val="20"/>
              </w:rPr>
            </w:pPr>
          </w:p>
        </w:tc>
        <w:tc>
          <w:tcPr>
            <w:tcW w:w="2495" w:type="dxa"/>
            <w:tcBorders>
              <w:top w:val="nil"/>
              <w:left w:val="nil"/>
              <w:bottom w:val="nil"/>
              <w:right w:val="nil"/>
            </w:tcBorders>
            <w:shd w:val="clear" w:color="auto" w:fill="auto"/>
            <w:noWrap/>
            <w:vAlign w:val="bottom"/>
            <w:hideMark/>
          </w:tcPr>
          <w:p w14:paraId="230568B0" w14:textId="77777777" w:rsidR="00670115" w:rsidRPr="00C36419" w:rsidRDefault="00670115" w:rsidP="00022C38">
            <w:pPr>
              <w:rPr>
                <w:rFonts w:ascii="Times New Roman" w:hAnsi="Times New Roman" w:cs="Times New Roman"/>
                <w:sz w:val="20"/>
                <w:szCs w:val="20"/>
              </w:rPr>
            </w:pPr>
          </w:p>
        </w:tc>
        <w:tc>
          <w:tcPr>
            <w:tcW w:w="2400" w:type="dxa"/>
            <w:tcBorders>
              <w:top w:val="nil"/>
              <w:left w:val="nil"/>
              <w:bottom w:val="nil"/>
              <w:right w:val="nil"/>
            </w:tcBorders>
            <w:shd w:val="clear" w:color="auto" w:fill="auto"/>
            <w:noWrap/>
            <w:vAlign w:val="bottom"/>
            <w:hideMark/>
          </w:tcPr>
          <w:p w14:paraId="218DF20B" w14:textId="77777777" w:rsidR="00670115" w:rsidRPr="00C36419" w:rsidRDefault="00670115" w:rsidP="00022C38">
            <w:pPr>
              <w:rPr>
                <w:rFonts w:ascii="Times New Roman" w:hAnsi="Times New Roman" w:cs="Times New Roman"/>
                <w:sz w:val="20"/>
                <w:szCs w:val="20"/>
              </w:rPr>
            </w:pPr>
          </w:p>
        </w:tc>
      </w:tr>
      <w:tr w:rsidR="00670115" w:rsidRPr="00C36419" w14:paraId="1CC6E1E1" w14:textId="77777777" w:rsidTr="0040327E">
        <w:trPr>
          <w:trHeight w:val="320"/>
          <w:jc w:val="center"/>
        </w:trPr>
        <w:tc>
          <w:tcPr>
            <w:tcW w:w="1300" w:type="dxa"/>
            <w:tcBorders>
              <w:top w:val="single" w:sz="4" w:space="0" w:color="auto"/>
              <w:left w:val="nil"/>
              <w:bottom w:val="single" w:sz="4" w:space="0" w:color="auto"/>
              <w:right w:val="nil"/>
            </w:tcBorders>
            <w:shd w:val="clear" w:color="auto" w:fill="auto"/>
            <w:noWrap/>
            <w:vAlign w:val="bottom"/>
            <w:hideMark/>
          </w:tcPr>
          <w:p w14:paraId="465A0015" w14:textId="77777777" w:rsidR="00670115" w:rsidRPr="00C36419" w:rsidRDefault="00670115" w:rsidP="00022C38">
            <w:pPr>
              <w:jc w:val="right"/>
              <w:rPr>
                <w:rFonts w:ascii="Times New Roman" w:hAnsi="Times New Roman" w:cs="Times New Roman"/>
                <w:b/>
                <w:bCs/>
                <w:color w:val="000000"/>
                <w:sz w:val="20"/>
                <w:szCs w:val="20"/>
              </w:rPr>
            </w:pPr>
            <w:r w:rsidRPr="00C36419">
              <w:rPr>
                <w:rFonts w:ascii="Times New Roman" w:hAnsi="Times New Roman" w:cs="Times New Roman"/>
                <w:b/>
                <w:bCs/>
                <w:color w:val="000000"/>
                <w:sz w:val="20"/>
                <w:szCs w:val="20"/>
              </w:rPr>
              <w:t>Total</w:t>
            </w:r>
          </w:p>
        </w:tc>
        <w:tc>
          <w:tcPr>
            <w:tcW w:w="1300" w:type="dxa"/>
            <w:tcBorders>
              <w:top w:val="single" w:sz="4" w:space="0" w:color="auto"/>
              <w:left w:val="nil"/>
              <w:bottom w:val="single" w:sz="4" w:space="0" w:color="auto"/>
              <w:right w:val="nil"/>
            </w:tcBorders>
            <w:shd w:val="clear" w:color="auto" w:fill="auto"/>
            <w:noWrap/>
            <w:vAlign w:val="bottom"/>
            <w:hideMark/>
          </w:tcPr>
          <w:p w14:paraId="05C1F1E9" w14:textId="77777777" w:rsidR="00670115" w:rsidRPr="00C36419" w:rsidRDefault="00670115" w:rsidP="00022C38">
            <w:pPr>
              <w:jc w:val="right"/>
              <w:rPr>
                <w:rFonts w:ascii="Times New Roman" w:hAnsi="Times New Roman" w:cs="Times New Roman"/>
                <w:b/>
                <w:bCs/>
                <w:color w:val="000000"/>
                <w:sz w:val="20"/>
                <w:szCs w:val="20"/>
              </w:rPr>
            </w:pPr>
            <w:r w:rsidRPr="00C36419">
              <w:rPr>
                <w:rFonts w:ascii="Times New Roman" w:hAnsi="Times New Roman" w:cs="Times New Roman"/>
                <w:b/>
                <w:bCs/>
                <w:color w:val="000000"/>
                <w:sz w:val="20"/>
                <w:szCs w:val="20"/>
              </w:rPr>
              <w:t>2491</w:t>
            </w:r>
          </w:p>
        </w:tc>
        <w:tc>
          <w:tcPr>
            <w:tcW w:w="340" w:type="dxa"/>
            <w:tcBorders>
              <w:top w:val="nil"/>
              <w:left w:val="nil"/>
              <w:bottom w:val="nil"/>
              <w:right w:val="nil"/>
            </w:tcBorders>
            <w:shd w:val="clear" w:color="auto" w:fill="auto"/>
            <w:noWrap/>
            <w:vAlign w:val="bottom"/>
            <w:hideMark/>
          </w:tcPr>
          <w:p w14:paraId="7C6A27AC" w14:textId="77777777" w:rsidR="00670115" w:rsidRPr="00C36419" w:rsidRDefault="00670115" w:rsidP="00022C38">
            <w:pPr>
              <w:jc w:val="right"/>
              <w:rPr>
                <w:rFonts w:ascii="Times New Roman" w:hAnsi="Times New Roman" w:cs="Times New Roman"/>
                <w:b/>
                <w:bCs/>
                <w:color w:val="000000"/>
                <w:sz w:val="20"/>
                <w:szCs w:val="20"/>
              </w:rPr>
            </w:pPr>
          </w:p>
        </w:tc>
        <w:tc>
          <w:tcPr>
            <w:tcW w:w="2495" w:type="dxa"/>
            <w:tcBorders>
              <w:top w:val="nil"/>
              <w:left w:val="nil"/>
              <w:bottom w:val="nil"/>
              <w:right w:val="nil"/>
            </w:tcBorders>
            <w:shd w:val="clear" w:color="auto" w:fill="auto"/>
            <w:noWrap/>
            <w:vAlign w:val="bottom"/>
            <w:hideMark/>
          </w:tcPr>
          <w:p w14:paraId="0F80DBE3" w14:textId="77777777" w:rsidR="00670115" w:rsidRPr="00C36419" w:rsidRDefault="00670115" w:rsidP="00022C38">
            <w:pPr>
              <w:rPr>
                <w:rFonts w:ascii="Times New Roman" w:hAnsi="Times New Roman" w:cs="Times New Roman"/>
                <w:sz w:val="20"/>
                <w:szCs w:val="20"/>
              </w:rPr>
            </w:pPr>
          </w:p>
        </w:tc>
        <w:tc>
          <w:tcPr>
            <w:tcW w:w="2400" w:type="dxa"/>
            <w:tcBorders>
              <w:top w:val="nil"/>
              <w:left w:val="nil"/>
              <w:bottom w:val="nil"/>
              <w:right w:val="nil"/>
            </w:tcBorders>
            <w:shd w:val="clear" w:color="auto" w:fill="auto"/>
            <w:noWrap/>
            <w:vAlign w:val="bottom"/>
            <w:hideMark/>
          </w:tcPr>
          <w:p w14:paraId="5D80443E" w14:textId="77777777" w:rsidR="00670115" w:rsidRPr="00C36419" w:rsidRDefault="00670115" w:rsidP="00022C38">
            <w:pPr>
              <w:rPr>
                <w:rFonts w:ascii="Times New Roman" w:hAnsi="Times New Roman" w:cs="Times New Roman"/>
                <w:sz w:val="20"/>
                <w:szCs w:val="20"/>
              </w:rPr>
            </w:pPr>
          </w:p>
        </w:tc>
      </w:tr>
    </w:tbl>
    <w:p w14:paraId="4B7E3085" w14:textId="68325B8E" w:rsidR="005B63F0" w:rsidRDefault="0040327E" w:rsidP="0040327E">
      <w:pPr>
        <w:pStyle w:val="normaltext"/>
        <w:tabs>
          <w:tab w:val="left" w:pos="684"/>
        </w:tabs>
        <w:spacing w:before="0" w:after="0"/>
        <w:ind w:firstLine="0"/>
        <w:jc w:val="center"/>
      </w:pPr>
      <w:r w:rsidRPr="00C36419">
        <w:rPr>
          <w:noProof/>
          <w:sz w:val="22"/>
          <w:szCs w:val="22"/>
        </w:rPr>
        <w:lastRenderedPageBreak/>
        <w:drawing>
          <wp:inline distT="0" distB="0" distL="0" distR="0" wp14:anchorId="6EEF50B7" wp14:editId="6DF87F87">
            <wp:extent cx="5160818" cy="279153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0874" cy="2834836"/>
                    </a:xfrm>
                    <a:prstGeom prst="rect">
                      <a:avLst/>
                    </a:prstGeom>
                  </pic:spPr>
                </pic:pic>
              </a:graphicData>
            </a:graphic>
          </wp:inline>
        </w:drawing>
      </w:r>
    </w:p>
    <w:p w14:paraId="24CA667F" w14:textId="77777777" w:rsidR="0040327E" w:rsidRPr="0040327E" w:rsidRDefault="0040327E" w:rsidP="0040327E">
      <w:pPr>
        <w:pStyle w:val="normaltext"/>
        <w:spacing w:before="0" w:after="0"/>
        <w:ind w:firstLine="0"/>
        <w:jc w:val="center"/>
        <w:rPr>
          <w:b/>
          <w:bCs/>
          <w:sz w:val="6"/>
          <w:szCs w:val="6"/>
        </w:rPr>
      </w:pPr>
    </w:p>
    <w:p w14:paraId="017AD2E4" w14:textId="20220997" w:rsidR="00404222" w:rsidRDefault="0040327E" w:rsidP="0040327E">
      <w:pPr>
        <w:pStyle w:val="normaltext"/>
        <w:spacing w:before="0" w:after="0"/>
        <w:ind w:firstLine="0"/>
        <w:jc w:val="center"/>
      </w:pPr>
      <w:r w:rsidRPr="0040327E">
        <w:rPr>
          <w:b/>
          <w:bCs/>
        </w:rPr>
        <w:t>Fig. 2.</w:t>
      </w:r>
      <w:r w:rsidRPr="0040327E">
        <w:t xml:space="preserve"> Phases of the industrial revolution.</w:t>
      </w:r>
      <w:r w:rsidRPr="00C74357">
        <w:rPr>
          <w:vertAlign w:val="superscript"/>
        </w:rPr>
        <w:t>23</w:t>
      </w:r>
    </w:p>
    <w:p w14:paraId="76AB5190" w14:textId="77777777" w:rsidR="00404222" w:rsidRDefault="00404222" w:rsidP="0040327E">
      <w:pPr>
        <w:pStyle w:val="normaltext"/>
        <w:spacing w:before="0" w:after="0"/>
        <w:ind w:firstLine="0"/>
        <w:jc w:val="center"/>
      </w:pPr>
    </w:p>
    <w:p w14:paraId="05D0D86C" w14:textId="77777777" w:rsidR="00404222" w:rsidRDefault="00404222" w:rsidP="0040327E">
      <w:pPr>
        <w:pStyle w:val="normaltext"/>
        <w:spacing w:before="0" w:after="0"/>
        <w:ind w:firstLine="0"/>
        <w:jc w:val="center"/>
        <w:sectPr w:rsidR="00404222" w:rsidSect="005B63F0">
          <w:type w:val="continuous"/>
          <w:pgSz w:w="12240" w:h="15840"/>
          <w:pgMar w:top="810" w:right="1440" w:bottom="1440" w:left="1440" w:header="540" w:footer="2013" w:gutter="0"/>
          <w:cols w:space="708"/>
        </w:sectPr>
      </w:pPr>
    </w:p>
    <w:p w14:paraId="580F7997" w14:textId="3D652CF5" w:rsidR="00AD00F9" w:rsidRPr="0039773B" w:rsidRDefault="00AD00F9" w:rsidP="0039773B">
      <w:pPr>
        <w:pStyle w:val="Heading1"/>
        <w:numPr>
          <w:ilvl w:val="0"/>
          <w:numId w:val="0"/>
        </w:numPr>
        <w:ind w:left="720" w:hanging="720"/>
        <w:jc w:val="both"/>
        <w:rPr>
          <w:b w:val="0"/>
          <w:bCs/>
          <w:i/>
          <w:iCs/>
        </w:rPr>
      </w:pPr>
      <w:r w:rsidRPr="0039773B">
        <w:rPr>
          <w:b w:val="0"/>
          <w:bCs/>
          <w:i/>
          <w:iCs/>
        </w:rPr>
        <w:t>1.2  Problem Statement</w:t>
      </w:r>
    </w:p>
    <w:p w14:paraId="6DDBB45D" w14:textId="11D32822" w:rsidR="00AD00F9" w:rsidRPr="0039773B" w:rsidRDefault="00AD00F9" w:rsidP="0039773B">
      <w:pPr>
        <w:ind w:firstLine="288"/>
        <w:jc w:val="both"/>
        <w:rPr>
          <w:rFonts w:ascii="Times New Roman" w:hAnsi="Times New Roman" w:cs="Times New Roman"/>
          <w:bCs/>
          <w:sz w:val="20"/>
          <w:szCs w:val="20"/>
        </w:rPr>
      </w:pPr>
      <w:r w:rsidRPr="0039773B">
        <w:rPr>
          <w:rFonts w:ascii="Times New Roman" w:hAnsi="Times New Roman" w:cs="Times New Roman"/>
          <w:bCs/>
          <w:sz w:val="20"/>
          <w:szCs w:val="20"/>
        </w:rPr>
        <w:t>Industry 5.0 presents a paradigm shift in manufacturing, but it introduces a new set of challenges that HDT technology aims to address. Traditional manufacturing approaches often overlooked human-centric considerations, environmental and social metrics, and the need for adaptability. Industry 5.0 prioritizes these aspects, emphasizing the integration of human workers, sustainability, and resilience. HDT plays a pivotal role in this transformation by facilitating seamless collaboration between humans and machines, prioritizing human health and safety, and contributing to environmentally sustainable practices. Additionally, HDT addresses challenges related to workforce skill development, privacy, ethical considerations, and the technical integration complexities within the industry 5.0 framework. Through its capabilities in real-time monitoring, decision support, and fostering human-machine collaboration, HDT endeavors to mitigate these challenges, paving the way for a more inclusive, adaptive, and human-centric manufacturing landscape. Based on the above problem statement, following research questions were set:</w:t>
      </w:r>
    </w:p>
    <w:p w14:paraId="69E608F8" w14:textId="77777777" w:rsidR="00AD00F9" w:rsidRPr="0039773B" w:rsidRDefault="00AD00F9" w:rsidP="0039773B">
      <w:pPr>
        <w:jc w:val="both"/>
        <w:rPr>
          <w:rFonts w:ascii="Times New Roman" w:hAnsi="Times New Roman" w:cs="Times New Roman"/>
          <w:bCs/>
          <w:sz w:val="20"/>
          <w:szCs w:val="20"/>
        </w:rPr>
      </w:pPr>
    </w:p>
    <w:p w14:paraId="20A33B1D" w14:textId="77777777" w:rsidR="00AD00F9" w:rsidRPr="0039773B" w:rsidRDefault="00AD00F9" w:rsidP="0039773B">
      <w:pPr>
        <w:pStyle w:val="ListParagraph"/>
        <w:numPr>
          <w:ilvl w:val="0"/>
          <w:numId w:val="46"/>
        </w:numPr>
        <w:jc w:val="both"/>
        <w:rPr>
          <w:rFonts w:ascii="Times New Roman" w:hAnsi="Times New Roman" w:cs="Times New Roman"/>
          <w:bCs/>
          <w:sz w:val="20"/>
          <w:szCs w:val="20"/>
        </w:rPr>
      </w:pPr>
      <w:r w:rsidRPr="0039773B">
        <w:rPr>
          <w:rFonts w:ascii="Times New Roman" w:hAnsi="Times New Roman" w:cs="Times New Roman"/>
          <w:bCs/>
          <w:sz w:val="20"/>
          <w:szCs w:val="20"/>
        </w:rPr>
        <w:t>How does HDT in Industry 5.0 prioritize human well-being and contribute to workforce adaptability and resilience?</w:t>
      </w:r>
    </w:p>
    <w:p w14:paraId="311F8D98" w14:textId="77777777" w:rsidR="00AD00F9" w:rsidRPr="0039773B" w:rsidRDefault="00AD00F9" w:rsidP="0039773B">
      <w:pPr>
        <w:pStyle w:val="ListParagraph"/>
        <w:numPr>
          <w:ilvl w:val="0"/>
          <w:numId w:val="46"/>
        </w:numPr>
        <w:jc w:val="both"/>
        <w:rPr>
          <w:rFonts w:ascii="Times New Roman" w:hAnsi="Times New Roman" w:cs="Times New Roman"/>
          <w:bCs/>
          <w:sz w:val="20"/>
          <w:szCs w:val="20"/>
        </w:rPr>
      </w:pPr>
      <w:r w:rsidRPr="0039773B">
        <w:rPr>
          <w:rFonts w:ascii="Times New Roman" w:hAnsi="Times New Roman" w:cs="Times New Roman"/>
          <w:bCs/>
          <w:sz w:val="20"/>
          <w:szCs w:val="20"/>
        </w:rPr>
        <w:t xml:space="preserve">What are the key technologies enabling HDT, and how do they integrate to optimize </w:t>
      </w:r>
      <w:r w:rsidRPr="0039773B">
        <w:rPr>
          <w:rFonts w:ascii="Times New Roman" w:hAnsi="Times New Roman" w:cs="Times New Roman"/>
          <w:bCs/>
          <w:sz w:val="20"/>
          <w:szCs w:val="20"/>
        </w:rPr>
        <w:t>performance and enhance safety in smart manufacturing?</w:t>
      </w:r>
    </w:p>
    <w:p w14:paraId="2287D3B1" w14:textId="77777777" w:rsidR="00AD00F9" w:rsidRPr="0039773B" w:rsidRDefault="00AD00F9" w:rsidP="0039773B">
      <w:pPr>
        <w:pStyle w:val="ListParagraph"/>
        <w:numPr>
          <w:ilvl w:val="0"/>
          <w:numId w:val="46"/>
        </w:numPr>
        <w:jc w:val="both"/>
        <w:rPr>
          <w:rFonts w:ascii="Times New Roman" w:hAnsi="Times New Roman" w:cs="Times New Roman"/>
          <w:bCs/>
          <w:sz w:val="20"/>
          <w:szCs w:val="20"/>
        </w:rPr>
      </w:pPr>
      <w:r w:rsidRPr="0039773B">
        <w:rPr>
          <w:rFonts w:ascii="Times New Roman" w:hAnsi="Times New Roman" w:cs="Times New Roman"/>
          <w:bCs/>
          <w:sz w:val="20"/>
          <w:szCs w:val="20"/>
        </w:rPr>
        <w:t>What challenges and opportunities arise in implementing HDT in Industry 5.0, particularly in workforce development, privacy, and sustainability, and how do they impact overall performance?</w:t>
      </w:r>
    </w:p>
    <w:p w14:paraId="0F605290" w14:textId="77777777" w:rsidR="00AD00F9" w:rsidRPr="0039773B" w:rsidRDefault="00AD00F9" w:rsidP="0039773B">
      <w:pPr>
        <w:pStyle w:val="normaltext"/>
        <w:spacing w:before="0" w:after="0"/>
        <w:ind w:firstLine="288"/>
        <w:rPr>
          <w:bCs/>
        </w:rPr>
      </w:pPr>
    </w:p>
    <w:p w14:paraId="03F8CF08" w14:textId="77777777" w:rsidR="00AD00F9" w:rsidRDefault="00AD00F9" w:rsidP="0039773B">
      <w:pPr>
        <w:pStyle w:val="normaltext"/>
        <w:spacing w:before="0" w:after="0"/>
        <w:ind w:firstLine="288"/>
        <w:rPr>
          <w:bCs/>
        </w:rPr>
      </w:pPr>
      <w:r w:rsidRPr="0039773B">
        <w:rPr>
          <w:bCs/>
        </w:rPr>
        <w:t xml:space="preserve">This research will be structured into distinct sections to provide a comprehensive exploration of HDT technology in the context of Industry 5.0. The initial section, "Introduction," will set the stage by introducing the background and emphasizing the significance of HDT in addressing evolving challenges within the manufacturing landscape. The second section, "Literature Review," will delve into the foundational principles of Industry 5.0, HDT, and the enabling technologies that form its backbone. Following this, the third section, "Methodology," will outline the approach taken to examine the applications and implications of HDT, emphasizing research methods and data collection techniques. The subsequent section, "Review of extracted research," will present the outcomes of the study, incorporating insights from the literature review and empirical investigations. The fifth section, "Discussion," will provide a thorough analysis of the findings, exploring their implications and potential contributions to the field. Subsequently, the sixth section, titled "Conclusion" will succinctly summarize key discoveries and their significance in the context of Industry 5.0. It will seamlessly transition to proposing </w:t>
      </w:r>
      <w:r w:rsidRPr="0039773B">
        <w:rPr>
          <w:bCs/>
        </w:rPr>
        <w:lastRenderedPageBreak/>
        <w:t>potential areas for future research, ensuring a forward-looking perspective on the evolving role of HDT in smart manufacturing.</w:t>
      </w:r>
    </w:p>
    <w:p w14:paraId="765374F9" w14:textId="77777777" w:rsidR="00B630B3" w:rsidRDefault="00B630B3" w:rsidP="00B630B3">
      <w:pPr>
        <w:pStyle w:val="normaltext"/>
        <w:spacing w:before="0" w:after="0"/>
        <w:ind w:firstLine="0"/>
        <w:rPr>
          <w:bCs/>
        </w:rPr>
      </w:pPr>
    </w:p>
    <w:p w14:paraId="09810325" w14:textId="77777777" w:rsidR="0039773B" w:rsidRPr="0039773B" w:rsidRDefault="0039773B" w:rsidP="0039773B">
      <w:pPr>
        <w:pStyle w:val="normaltext"/>
        <w:spacing w:before="0" w:after="0"/>
        <w:ind w:firstLine="0"/>
        <w:rPr>
          <w:bCs/>
        </w:rPr>
      </w:pPr>
    </w:p>
    <w:p w14:paraId="121B349F" w14:textId="7AC7E3A8" w:rsidR="005B63F0" w:rsidRPr="0039773B" w:rsidRDefault="00AD00F9" w:rsidP="0039773B">
      <w:pPr>
        <w:pStyle w:val="Heading1"/>
        <w:jc w:val="both"/>
      </w:pPr>
      <w:r w:rsidRPr="0039773B">
        <w:t xml:space="preserve">Literature Review: Theoretical Foundation of the research </w:t>
      </w:r>
    </w:p>
    <w:p w14:paraId="45C83C1D" w14:textId="0E706B71" w:rsidR="00404222" w:rsidRPr="0039773B" w:rsidRDefault="00C74357" w:rsidP="00F4209A">
      <w:pPr>
        <w:pStyle w:val="Heading1"/>
        <w:numPr>
          <w:ilvl w:val="0"/>
          <w:numId w:val="0"/>
        </w:numPr>
        <w:ind w:left="450" w:hanging="450"/>
        <w:jc w:val="both"/>
        <w:rPr>
          <w:b w:val="0"/>
          <w:bCs/>
          <w:i/>
          <w:iCs/>
        </w:rPr>
      </w:pPr>
      <w:r w:rsidRPr="0039773B">
        <w:rPr>
          <w:b w:val="0"/>
          <w:bCs/>
          <w:i/>
          <w:iCs/>
        </w:rPr>
        <w:t>2.1  Industry 5.0- principles, characteristics, and implications</w:t>
      </w:r>
    </w:p>
    <w:p w14:paraId="7DDF80EA" w14:textId="7073F5E7" w:rsidR="005B63F0" w:rsidRPr="0039773B" w:rsidRDefault="00C74357" w:rsidP="002738E5">
      <w:pPr>
        <w:pStyle w:val="normaltext"/>
        <w:ind w:firstLine="288"/>
        <w:rPr>
          <w:bCs/>
        </w:rPr>
      </w:pPr>
      <w:r w:rsidRPr="0039773B">
        <w:rPr>
          <w:bCs/>
        </w:rPr>
        <w:t>The concept of Industry 5.0 represents the next evolutionary stage in industrial development, building upon previous revolutions such as Industry 1.0, 2.0, 3.0, and more recently, Industry 4.0. Industry 4.0, characterized by technologies like Big Data, the Internet of Things (IoT), 3D printing, cloud-based computing, and artificial intelligence (AI), has set the stage for Industry 5.0. The distinguishing feature of Industry 5.0 lies in its emphasis on a digitally intelligent society where real and virtual spaces seamlessly coexist, incorporating elements like robots, augmented reality, innovation ecosystems, mind-machine interfaces, and a central focus on people as the driving force of innovation</w:t>
      </w:r>
      <w:r w:rsidRPr="0039773B">
        <w:rPr>
          <w:bCs/>
        </w:rPr>
        <w:fldChar w:fldCharType="begin" w:fldLock="1"/>
      </w:r>
      <w:r w:rsidRPr="0039773B">
        <w:rPr>
          <w:bCs/>
        </w:rPr>
        <w:instrText>ADDIN CSL_CITATION {"citationItems":[{"id":"ITEM-1","itemData":{"author":[{"dropping-particle":"","family":"Nahavandi","given":"Saeid","non-dropping-particle":"","parse-names":false,"suffix":""}],"container-title":"Sustainability (Switzerland)","id":"ITEM-1","issued":{"date-parts":[["2019"]]},"note":"Best Paper","title":"Industry 5 . 0 — A Human-Centric Solution","type":"article-journal"},"uris":["http://www.mendeley.com/documents/?uuid=129ec8d3-5f53-4c80-a407-40886075b37f"]}],"mendeley":{"formattedCitation":"&lt;sup&gt;2&lt;/sup&gt;","plainTextFormattedCitation":"2","previouslyFormattedCitation":"(Nahavandi, 2019)"},"properties":{"noteIndex":0},"schema":"https://github.com/citation-style-language/schema/raw/master/csl-citation.json"}</w:instrText>
      </w:r>
      <w:r w:rsidRPr="0039773B">
        <w:rPr>
          <w:bCs/>
        </w:rPr>
        <w:fldChar w:fldCharType="separate"/>
      </w:r>
      <w:r w:rsidRPr="0039773B">
        <w:rPr>
          <w:bCs/>
          <w:noProof/>
          <w:vertAlign w:val="superscript"/>
        </w:rPr>
        <w:t>2</w:t>
      </w:r>
      <w:r w:rsidRPr="0039773B">
        <w:rPr>
          <w:bCs/>
        </w:rPr>
        <w:fldChar w:fldCharType="end"/>
      </w:r>
      <w:r w:rsidRPr="0039773B">
        <w:rPr>
          <w:bCs/>
        </w:rPr>
        <w:t xml:space="preserve"> . Unlike its predecessor, Industry 5.0 enables a higher level of human-machine interaction, allowing for the customization of goods and services based on individual expression. This shift is attributed to the growing collaboration between humans and machines, fostering a customer- and human-centric approach to product development. As organizations grapple with the challenges posed by Industry 4.0, Industry 5.0 is already on the horizon, promising to eliminate barriers between the physical and virtual worlds. Despite uncertainties about its precise implementation, Industry 5.0 is envisioned as a convergence of human creativity and craftsmanship with the efficiency of robots, ultimately leading to improved human-machine interactions and a transformative revolution in industry</w:t>
      </w:r>
      <w:r w:rsidRPr="0039773B">
        <w:rPr>
          <w:bCs/>
        </w:rPr>
        <w:fldChar w:fldCharType="begin" w:fldLock="1"/>
      </w:r>
      <w:r w:rsidRPr="0039773B">
        <w:rPr>
          <w:bCs/>
        </w:rPr>
        <w:instrText>ADDIN CSL_CITATION {"citationItems":[{"id":"ITEM-1","itemData":{"abstract":"While the most companies are still struggling with the digitalization of their business through the integration of artificial intelligence (AI), Internet of Things (IoT), cloud technologies and further developed technology the next step of Industrial Revolution appears in the nearest future. Industry 5.0 will step into the future daily business due to the velocity of further technological development and changing human process integration. In this context, the paper analyses and evaluate the business impact of the next Industrial Revolution, so call Industry 5.0. Therefore, the actual Industry 4.0 business transformation record of accomplishment as well as weakness and threats are analysed by interviews with experts and business representatives. The first result is the business situation analysis to identify existing gabs with the derivation of opportunities and threats as well as suggestions for the business how to transform best in times of the next Industrial Revolution. Furthermore, the approach of integrate human workers back into the supply chain next to automated processes is debated. This paper underlines the assumption that companies did not recognize, yet the next Industrial Revolution because of the lack of entrepreneurship and transformation capacity related to Industry 4.0. Keywords:","author":[{"dropping-particle":"","family":"Paschek","given":"Daniel","non-dropping-particle":"","parse-names":false,"suffix":""},{"dropping-particle":"","family":"Mocan","given":"Anca","non-dropping-particle":"","parse-names":false,"suffix":""},{"dropping-particle":"","family":"Draghici","given":"Anca","non-dropping-particle":"","parse-names":false,"suffix":""}],"container-title":"Managment Knowledge Learning International Conference","id":"ITEM-1","issued":{"date-parts":[["2019"]]},"page":"125-132","title":"Industry 5 . 0 – The Expected Impact of Next Industrial Revolution","type":"article-journal"},"uris":["http://www.mendeley.com/documents/?uuid=3b53b776-7f8a-4fbd-9b11-b1ad8750d5c8"]}],"mendeley":{"formattedCitation":"&lt;sup&gt;18&lt;/sup&gt;","plainTextFormattedCitation":"18","previouslyFormattedCitation":"(Paschek, Mocan and Draghici, 2019)"},"properties":{"noteIndex":0},"schema":"https://github.com/citation-style-language/schema/raw/master/csl-citation.json"}</w:instrText>
      </w:r>
      <w:r w:rsidRPr="0039773B">
        <w:rPr>
          <w:bCs/>
        </w:rPr>
        <w:fldChar w:fldCharType="separate"/>
      </w:r>
      <w:r w:rsidRPr="0039773B">
        <w:rPr>
          <w:bCs/>
          <w:noProof/>
          <w:vertAlign w:val="superscript"/>
        </w:rPr>
        <w:t>18</w:t>
      </w:r>
      <w:r w:rsidRPr="0039773B">
        <w:rPr>
          <w:bCs/>
        </w:rPr>
        <w:fldChar w:fldCharType="end"/>
      </w:r>
      <w:r w:rsidRPr="0039773B">
        <w:rPr>
          <w:bCs/>
        </w:rPr>
        <w:t>. The exploration of Industry 5.0 involves understanding its key principles, characteristics, and implications for the manufacturing sector and broader industries.</w:t>
      </w:r>
    </w:p>
    <w:p w14:paraId="332F85FB" w14:textId="097672E2" w:rsidR="00C74357" w:rsidRPr="0039773B" w:rsidRDefault="00C74357" w:rsidP="002738E5">
      <w:pPr>
        <w:pStyle w:val="normaltext"/>
        <w:ind w:firstLine="288"/>
        <w:rPr>
          <w:bCs/>
          <w:lang w:val="en-IN"/>
        </w:rPr>
      </w:pPr>
      <w:r w:rsidRPr="0039773B">
        <w:rPr>
          <w:rFonts w:eastAsia="Times New Roman"/>
          <w:bCs/>
          <w:lang w:val="en-IN"/>
        </w:rPr>
        <w:t xml:space="preserve">In the healthcare industry, I5.0's success is attributable to the following factors: educating individuals on technology usage, establishing dependable hardware and infrastructure, and delivering quick internet access </w:t>
      </w:r>
      <w:r w:rsidRPr="0039773B">
        <w:rPr>
          <w:rFonts w:eastAsia="Times New Roman"/>
          <w:bCs/>
          <w:lang w:val="en-IN"/>
        </w:rPr>
        <w:fldChar w:fldCharType="begin" w:fldLock="1"/>
      </w:r>
      <w:r w:rsidRPr="0039773B">
        <w:rPr>
          <w:rFonts w:eastAsia="Times New Roman"/>
          <w:bCs/>
          <w:lang w:val="en-IN"/>
        </w:rPr>
        <w:instrText>ADDIN CSL_CITATION {"citationItems":[{"id":"ITEM-1","itemData":{"DOI":"10.1186/s13677-022-00314-5","ISSN":"2192113X","abstract":"Industry 4.0 has been provided for the last 10 years to benefit the industry and the shortcomings; finally, the time for industry 5.0 has arrived. Smart factories are increasing the business productivity; therefore, industry 4.0 has limitations. In this paper, there is a discussion of the industry 5.0 opportunities as well as limitations and the future research prospects. Industry 5.0 is changing paradigm and brings the resolution since it will decrease emphasis on the technology and assume that the potential for progress is based on collaboration among the humans and machines. The industrial revolution is improving customer satisfaction by utilizing personalized products. In modern business with the paid technological developments, industry 5.0 is required for gaining competitive advantages as well as economic growth for the factory. The paper is aimed to analyze the potential applications of industry 5.0. At first, there is a discussion of the definitions of industry 5.0 and advanced technologies required in this industry revolution. There is also discussion of the applications enabled in industry 5.0 like healthcare, supply chain, production in manufacturing, cloud manufacturing, etc. The technologies discussed in this paper are big data analytics, Internet of Things, collaborative robots, Blockchain, digital twins and future 6G systems. The study also included difficulties and issues examined in this paper head to comprehend the issues caused by organizations among the robots and people in the assembly line.","author":[{"dropping-particle":"","family":"Adel","given":"Amr","non-dropping-particle":"","parse-names":false,"suffix":""}],"container-title":"Journal of Cloud Computing","id":"ITEM-1","issue":"1","issued":{"date-parts":[["2022"]]},"title":"Future of industry 5.0 in society: human-centric solutions, challenges and prospective research areas","type":"article","volume":"11"},"uris":["http://www.mendeley.com/documents/?uuid=2827399a-e9d8-310e-9022-55010caa1b82"]}],"mendeley":{"formattedCitation":"&lt;sup&gt;19&lt;/sup&gt;","plainTextFormattedCitation":"19","previouslyFormattedCitation":"(Adel, 2022)"},"properties":{"noteIndex":0},"schema":"https://github.com/citation-style-language/schema/raw/master/csl-citation.json"}</w:instrText>
      </w:r>
      <w:r w:rsidRPr="0039773B">
        <w:rPr>
          <w:rFonts w:eastAsia="Times New Roman"/>
          <w:bCs/>
          <w:lang w:val="en-IN"/>
        </w:rPr>
        <w:fldChar w:fldCharType="separate"/>
      </w:r>
      <w:r w:rsidRPr="0039773B">
        <w:rPr>
          <w:rFonts w:eastAsia="Times New Roman"/>
          <w:bCs/>
          <w:noProof/>
          <w:vertAlign w:val="superscript"/>
          <w:lang w:val="en-IN"/>
        </w:rPr>
        <w:t>19</w:t>
      </w:r>
      <w:r w:rsidRPr="0039773B">
        <w:rPr>
          <w:rFonts w:eastAsia="Times New Roman"/>
          <w:bCs/>
          <w:lang w:val="en-IN"/>
        </w:rPr>
        <w:fldChar w:fldCharType="end"/>
      </w:r>
      <w:r w:rsidRPr="0039773B">
        <w:rPr>
          <w:rFonts w:eastAsia="Times New Roman"/>
          <w:bCs/>
          <w:lang w:val="en-IN"/>
        </w:rPr>
        <w:t xml:space="preserve">. The establishment of advanced telemedicine services and continuous health monitoring systems requires the inclusion of these components. These enable direct digital </w:t>
      </w:r>
      <w:r w:rsidRPr="0039773B">
        <w:rPr>
          <w:rFonts w:eastAsia="Times New Roman"/>
          <w:bCs/>
          <w:lang w:val="en-IN"/>
        </w:rPr>
        <w:t xml:space="preserve">communication between physicians and patients, irrespective of geographical location, and facilitate access to specialized healthcare, particularly in remote regions </w:t>
      </w:r>
      <w:r w:rsidRPr="0039773B">
        <w:rPr>
          <w:rFonts w:eastAsia="Times New Roman"/>
          <w:bCs/>
          <w:lang w:val="en-IN"/>
        </w:rPr>
        <w:fldChar w:fldCharType="begin" w:fldLock="1"/>
      </w:r>
      <w:r w:rsidRPr="0039773B">
        <w:rPr>
          <w:rFonts w:eastAsia="Times New Roman"/>
          <w:bCs/>
          <w:lang w:val="en-IN"/>
        </w:rPr>
        <w:instrText>ADDIN CSL_CITATION {"citationItems":[{"id":"ITEM-1","itemData":{"author":[{"dropping-particle":"","family":"Basulo-ribeiro","given":"Juliana","non-dropping-particle":"","parse-names":false,"suffix":""}],"id":"ITEM-1","issued":{"date-parts":[["2024"]]},"title":"The Future of Healthcare with Industry 5 . 0 : Preliminary Interview-Based Qualitative Analysis","type":"article-journal"},"uris":["http://www.mendeley.com/documents/?uuid=74479d4b-d9d1-48e3-b35d-e29b8ae0e90e"]}],"mendeley":{"formattedCitation":"&lt;sup&gt;20&lt;/sup&gt;","plainTextFormattedCitation":"20","previouslyFormattedCitation":"(Basulo-ribeiro, 2024)"},"properties":{"noteIndex":0},"schema":"https://github.com/citation-style-language/schema/raw/master/csl-citation.json"}</w:instrText>
      </w:r>
      <w:r w:rsidRPr="0039773B">
        <w:rPr>
          <w:rFonts w:eastAsia="Times New Roman"/>
          <w:bCs/>
          <w:lang w:val="en-IN"/>
        </w:rPr>
        <w:fldChar w:fldCharType="separate"/>
      </w:r>
      <w:r w:rsidRPr="0039773B">
        <w:rPr>
          <w:rFonts w:eastAsia="Times New Roman"/>
          <w:bCs/>
          <w:noProof/>
          <w:vertAlign w:val="superscript"/>
          <w:lang w:val="en-IN"/>
        </w:rPr>
        <w:t>20</w:t>
      </w:r>
      <w:r w:rsidRPr="0039773B">
        <w:rPr>
          <w:rFonts w:eastAsia="Times New Roman"/>
          <w:bCs/>
          <w:lang w:val="en-IN"/>
        </w:rPr>
        <w:fldChar w:fldCharType="end"/>
      </w:r>
      <w:r w:rsidRPr="0039773B">
        <w:rPr>
          <w:rFonts w:eastAsia="Times New Roman"/>
          <w:bCs/>
          <w:lang w:val="en-IN"/>
        </w:rPr>
        <w:t xml:space="preserve">. Radiologists can benefit from computer-assisted diagnosis (CAD) and robotic surgery when deciphering the meaning of medical images. These technologies reduce the need for interventional procedures and improve patient outcomes </w:t>
      </w:r>
      <w:r w:rsidRPr="0039773B">
        <w:rPr>
          <w:rFonts w:eastAsia="Times New Roman"/>
          <w:bCs/>
          <w:lang w:val="en-IN"/>
        </w:rPr>
        <w:fldChar w:fldCharType="begin" w:fldLock="1"/>
      </w:r>
      <w:r w:rsidRPr="0039773B">
        <w:rPr>
          <w:rFonts w:eastAsia="Times New Roman"/>
          <w:bCs/>
          <w:lang w:val="en-IN"/>
        </w:rPr>
        <w:instrText>ADDIN CSL_CITATION {"citationItems":[{"id":"ITEM-1","itemData":{"DOI":"10.1049/pbpo129e_ch12","ISBN":"9781785617669","abstract":"As the preceding chapters have shown - the ocean energy technologies we are looking at today are all at very different points in their development pathways. Some technologies - notably offshore wind - are now commercial and evolving rapidly (albeit with some level of public subsidy), whilst others are still making their way out of their land-based laboratories and into the sea. What they all have in common is that each and every technology must make a journey through the technology readiness levels until we reach the Eureka moment of ‘it works’. For some technologists, this is the ultimate goal - to show simply that it can be done. This journey will involve a continual development and must address the actual practicalities of a myriad of elements including installation, reliability, operability, fatigue and mean time to fail of everything from components to systems to people. For ocean energy technologies, this will ultimately involve significant test and development in the real sea environment - at specialist facilities such as European Marine Energy Centre (EMEC) - where developers can discover the weak points in their design and then resolve them.","author":[{"dropping-particle":"","family":"Kermode","given":"Neil","non-dropping-particle":"","parse-names":false,"suffix":""}],"container-title":"Renewable Energy from the Oceans","id":"ITEM-1","issued":{"date-parts":[["2019"]]},"page":"425-445","title":"Challenges and future research","type":"article-journal"},"uris":["http://www.mendeley.com/documents/?uuid=a41ab584-6d00-4e33-bf70-ff3d84900949"]}],"mendeley":{"formattedCitation":"&lt;sup&gt;21&lt;/sup&gt;","plainTextFormattedCitation":"21","previouslyFormattedCitation":"(Kermode, 2019)"},"properties":{"noteIndex":0},"schema":"https://github.com/citation-style-language/schema/raw/master/csl-citation.json"}</w:instrText>
      </w:r>
      <w:r w:rsidRPr="0039773B">
        <w:rPr>
          <w:rFonts w:eastAsia="Times New Roman"/>
          <w:bCs/>
          <w:lang w:val="en-IN"/>
        </w:rPr>
        <w:fldChar w:fldCharType="separate"/>
      </w:r>
      <w:r w:rsidRPr="0039773B">
        <w:rPr>
          <w:rFonts w:eastAsia="Times New Roman"/>
          <w:bCs/>
          <w:noProof/>
          <w:vertAlign w:val="superscript"/>
          <w:lang w:val="en-IN"/>
        </w:rPr>
        <w:t>21</w:t>
      </w:r>
      <w:r w:rsidRPr="0039773B">
        <w:rPr>
          <w:rFonts w:eastAsia="Times New Roman"/>
          <w:bCs/>
          <w:lang w:val="en-IN"/>
        </w:rPr>
        <w:fldChar w:fldCharType="end"/>
      </w:r>
      <w:r w:rsidRPr="0039773B">
        <w:rPr>
          <w:rFonts w:eastAsia="Times New Roman"/>
          <w:bCs/>
          <w:lang w:val="en-IN"/>
        </w:rPr>
        <w:t>. Using technologies such as telemedicine, artificial intelligence, and robotic surgery, human-machine collaboration in healthcare aims to improve the efficacy and precision of treatment. This association reduces resource consumption and enhances patient outcomes through the implementation of more precise procedures. I5.0 will enable collaborative robots, or "</w:t>
      </w:r>
      <w:proofErr w:type="spellStart"/>
      <w:r w:rsidRPr="0039773B">
        <w:rPr>
          <w:rFonts w:eastAsia="Times New Roman"/>
          <w:bCs/>
          <w:lang w:val="en-IN"/>
        </w:rPr>
        <w:t>cobots</w:t>
      </w:r>
      <w:proofErr w:type="spellEnd"/>
      <w:r w:rsidRPr="0039773B">
        <w:rPr>
          <w:rFonts w:eastAsia="Times New Roman"/>
          <w:bCs/>
          <w:lang w:val="en-IN"/>
        </w:rPr>
        <w:t xml:space="preserve">," to comprehend and collaborate effectively with humans. This collaboration will significantly improve the efficiency and utility of production processes </w:t>
      </w:r>
      <w:r w:rsidRPr="0039773B">
        <w:rPr>
          <w:rFonts w:eastAsia="Times New Roman"/>
          <w:bCs/>
          <w:lang w:val="en-IN"/>
        </w:rPr>
        <w:fldChar w:fldCharType="begin" w:fldLock="1"/>
      </w:r>
      <w:r w:rsidRPr="0039773B">
        <w:rPr>
          <w:rFonts w:eastAsia="Times New Roman"/>
          <w:bCs/>
          <w:lang w:val="en-IN"/>
        </w:rPr>
        <w:instrText>ADDIN CSL_CITATION {"citationItems":[{"id":"ITEM-1","itemData":{"author":[{"dropping-particle":"","family":"Nahavandi","given":"Saeid","non-dropping-particle":"","parse-names":false,"suffix":""}],"container-title":"Sustainability (Switzerland)","id":"ITEM-1","issued":{"date-parts":[["2019"]]},"note":"Best Paper","title":"Industry 5 . 0 — A Human-Centric Solution","type":"article-journal"},"uris":["http://www.mendeley.com/documents/?uuid=129ec8d3-5f53-4c80-a407-40886075b37f"]},{"id":"ITEM-2","itemData":{"DOI":"10.3390/app13116854","ISSN":"20763417","abstract":"Featured Application: This paper presents a new, fifth industrial revolution (Industry 5.0)-inspired paradigm for educating and training Australian healthcare professionals and students in the field of digital health. By leveraging Industry 5.0-enabling technologies, such as artificial intelligence, machine learning, blockchain, big data analytics, etc., we can cultivate students to be job-ready for the future of work by providing them with hands-on experience in advanced healthcare technologies. Ultimately, this new training and education paradigm in digital health can help bridge the gap between training and the world of work and prepare students to deliver a more efficient, effective, and sustainable healthcare system. Digital transformation, characterised by advanced digitalisation, blockchain, the Internet of Things, artificial intelligence, machine learning technologies, and robotics, has played a key role in revolutionising various industries, especially the healthcare sector. The adoption of and transition (from traditional) to new technology will bring challenges, opportunities, and disruptions to existing healthcare systems. According to the European Union, we must pursue both digital and green transitions to achieve sustainable, human-centric, and resilient industries to achieve a world of prosperity for all. The study aims to present a novel approach to education and training in the digital health field that is inspired by the fifth industrial revolution paradigm. The paper highlights the role of training and education interventions that are required to support digital health in the future so that students can develop the capacity to recognise and exploit the potential of new technologies. This article will briefly discuss the challenges and opportunities related to healthcare systems in the era of digital transformation and beyond. Then, we look at the enabling technologies from an Industry 5.0 perspective that supports digital health. Finally, we present a new teaching and learning paradigm and strategies that embed Industry 5.0 technologies in academic curricula so that students can develop their capacities to embrace a digital future and minimise the disruption that will inevitably accompany it. By incorporating Industry 5.0 principles into digital health education, we believe students can gain a deeper understanding of the industry and develop skills that will enable them to deliver a more efficient, effective, and sustainable healthcar…","author":[{"dropping-particle":"","family":"Pang","given":"Toh Yen","non-dropping-particle":"","parse-names":false,"suffix":""},{"dropping-particle":"","family":"Lee","given":"Tsz Kwan","non-dropping-particle":"","parse-names":false,"suffix":""},{"dropping-particle":"","family":"Murshed","given":"Manzur","non-dropping-particle":"","parse-names":false,"suffix":""}],"container-title":"Applied Sciences (Switzerland)","id":"ITEM-2","issue":"11","issued":{"date-parts":[["2023"]]},"title":"Towards a New Paradigm for Digital Health Training and Education in Australia: Exploring the Implication of the Fifth Industrial Revolution","type":"article-journal","volume":"13"},"uris":["http://www.mendeley.com/documents/?uuid=a6707fa8-fd2c-3d71-99a7-b1594cabaceb"]}],"mendeley":{"formattedCitation":"&lt;sup&gt;2,22&lt;/sup&gt;","plainTextFormattedCitation":"2,22","previouslyFormattedCitation":"(Nahavandi, 2019; Pang, Lee and Murshed, 2023)"},"properties":{"noteIndex":0},"schema":"https://github.com/citation-style-language/schema/raw/master/csl-citation.json"}</w:instrText>
      </w:r>
      <w:r w:rsidRPr="0039773B">
        <w:rPr>
          <w:rFonts w:eastAsia="Times New Roman"/>
          <w:bCs/>
          <w:lang w:val="en-IN"/>
        </w:rPr>
        <w:fldChar w:fldCharType="separate"/>
      </w:r>
      <w:r w:rsidRPr="0039773B">
        <w:rPr>
          <w:rFonts w:eastAsia="Times New Roman"/>
          <w:bCs/>
          <w:noProof/>
          <w:vertAlign w:val="superscript"/>
          <w:lang w:val="en-IN"/>
        </w:rPr>
        <w:t>2,22</w:t>
      </w:r>
      <w:r w:rsidRPr="0039773B">
        <w:rPr>
          <w:rFonts w:eastAsia="Times New Roman"/>
          <w:bCs/>
          <w:lang w:val="en-IN"/>
        </w:rPr>
        <w:fldChar w:fldCharType="end"/>
      </w:r>
      <w:r w:rsidRPr="0039773B">
        <w:rPr>
          <w:rFonts w:eastAsia="Times New Roman"/>
          <w:bCs/>
          <w:lang w:val="en-IN"/>
        </w:rPr>
        <w:t>.</w:t>
      </w:r>
      <w:r w:rsidRPr="0039773B">
        <w:rPr>
          <w:bCs/>
        </w:rPr>
        <w:t xml:space="preserve"> As adopted by </w:t>
      </w:r>
      <w:r w:rsidRPr="0039773B">
        <w:rPr>
          <w:bCs/>
        </w:rPr>
        <w:fldChar w:fldCharType="begin" w:fldLock="1"/>
      </w:r>
      <w:r w:rsidRPr="0039773B">
        <w:rPr>
          <w:bCs/>
        </w:rPr>
        <w:instrText>ADDIN CSL_CITATION {"citationItems":[{"id":"ITEM-1","itemData":{"DOI":"10.5772/intechopen.72304","abstract":"Abstract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Petrillo","given":"Antonella","non-dropping-particle":"","parse-names":false,"suffix":""},{"dropping-particle":"De","family":"Felice","given":"Fabio","non-dropping-particle":"","parse-names":false,"suffix":""},{"dropping-particle":"","family":"Cioffi","given":"Raffaele","non-dropping-particle":"","parse-names":false,"suffix":""},{"dropping-particle":"","family":"Zomparelli","given":"Federico","non-dropping-particle":"","parse-names":false,"suffix":""}],"container-title":"Digital Transformation in Smart Manufacturing","id":"ITEM-1","issued":{"date-parts":[["2018"]]},"title":"Fourth Industrial Revolution: Current Practices, Challenges, and Opportunities","type":"article-journal"},"uris":["http://www.mendeley.com/documents/?uuid=16363b95-9ace-4ed6-b163-2c932c5c64b5"]}],"mendeley":{"formattedCitation":"&lt;sup&gt;23&lt;/sup&gt;","plainTextFormattedCitation":"23","previouslyFormattedCitation":"(Petrillo &lt;i&gt;et al.&lt;/i&gt;, 2018)"},"properties":{"noteIndex":0},"schema":"https://github.com/citation-style-language/schema/raw/master/csl-citation.json"}</w:instrText>
      </w:r>
      <w:r w:rsidRPr="0039773B">
        <w:rPr>
          <w:bCs/>
        </w:rPr>
        <w:fldChar w:fldCharType="separate"/>
      </w:r>
      <w:r w:rsidRPr="0039773B">
        <w:rPr>
          <w:bCs/>
          <w:noProof/>
          <w:vertAlign w:val="superscript"/>
        </w:rPr>
        <w:t>23</w:t>
      </w:r>
      <w:r w:rsidRPr="0039773B">
        <w:rPr>
          <w:bCs/>
        </w:rPr>
        <w:fldChar w:fldCharType="end"/>
      </w:r>
      <w:r w:rsidRPr="0039773B">
        <w:rPr>
          <w:bCs/>
        </w:rPr>
        <w:t>, Figure 2 summarizes industrial revolutions and their characteristics.</w:t>
      </w:r>
    </w:p>
    <w:p w14:paraId="67ADA99F" w14:textId="3AE3439B" w:rsidR="00534078" w:rsidRPr="0039773B" w:rsidRDefault="0039773B" w:rsidP="00F4209A">
      <w:pPr>
        <w:pStyle w:val="Heading1"/>
        <w:numPr>
          <w:ilvl w:val="0"/>
          <w:numId w:val="0"/>
        </w:numPr>
        <w:ind w:left="360" w:hanging="360"/>
        <w:jc w:val="both"/>
        <w:rPr>
          <w:b w:val="0"/>
          <w:bCs/>
          <w:i/>
          <w:iCs/>
        </w:rPr>
      </w:pPr>
      <w:r w:rsidRPr="0039773B">
        <w:rPr>
          <w:b w:val="0"/>
          <w:bCs/>
          <w:i/>
          <w:iCs/>
        </w:rPr>
        <w:t>2.2 Human-Digital Twin – definition, roles, and</w:t>
      </w:r>
      <w:r w:rsidR="00F4209A">
        <w:rPr>
          <w:b w:val="0"/>
          <w:bCs/>
          <w:i/>
          <w:iCs/>
        </w:rPr>
        <w:t xml:space="preserve"> </w:t>
      </w:r>
      <w:r w:rsidRPr="0039773B">
        <w:rPr>
          <w:b w:val="0"/>
          <w:bCs/>
          <w:i/>
          <w:iCs/>
        </w:rPr>
        <w:t>integration of human aspect</w:t>
      </w:r>
    </w:p>
    <w:p w14:paraId="3DD58D0D" w14:textId="77777777" w:rsidR="0039773B" w:rsidRDefault="0039773B" w:rsidP="002738E5">
      <w:pPr>
        <w:pStyle w:val="normaltext"/>
        <w:ind w:firstLine="288"/>
        <w:rPr>
          <w:bCs/>
        </w:rPr>
        <w:sectPr w:rsidR="0039773B" w:rsidSect="0039773B">
          <w:type w:val="continuous"/>
          <w:pgSz w:w="12240" w:h="15840"/>
          <w:pgMar w:top="810" w:right="1440" w:bottom="1440" w:left="1440" w:header="540" w:footer="2013" w:gutter="0"/>
          <w:cols w:num="2" w:space="708"/>
        </w:sectPr>
      </w:pPr>
      <w:r w:rsidRPr="0039773B">
        <w:rPr>
          <w:bCs/>
        </w:rPr>
        <w:t xml:space="preserve">Human Digital Twin emerges as a pivotal concept in the realm of Industry 5.0, acting as a dynamic and human-centric system that facilitates bidirectional communication between the physical and electronic realms </w:t>
      </w:r>
      <w:r w:rsidRPr="0039773B">
        <w:rPr>
          <w:bCs/>
        </w:rPr>
        <w:fldChar w:fldCharType="begin" w:fldLock="1"/>
      </w:r>
      <w:r w:rsidRPr="0039773B">
        <w:rPr>
          <w:bCs/>
        </w:rPr>
        <w:instrText>ADDIN CSL_CITATION {"citationItems":[{"id":"ITEM-1","itemData":{"DOI":"10.3390/APP10124182","ISSN":"20763417","abstract":"Although manufacturing companies are currently situated at a transition point in what has been called Industry 4.0, a new revolutionary wave-Industry 5.0-is emerging as an 'Age of Augmentation' when the human and machine reconcile and work in perfect symbiosis with one another. Recent years have indeed assisted in drawing attention to the human-centric design of Cyber-Physical Production Systems (CPPS) and to the genesis of the 'Operator 4.0', two novel concepts that raise significant ethical questions regarding the impact of technology on workers and society at large. This paper argues that a value-oriented and ethical technology engineering in Industry 5.0 is an urgent and sensitive topic as demonstrated by a survey administered to industry leaders from different companies. The Value Sensitive Design (VSD) approach is proposed as a principled framework to illustrate how technologies enabling human-machine symbiosis in the Factory of the Future can be designed to embody elicited human values and to illustrate actionable steps that engineers and designers can take in their design projects. Use cases based on real solutions and prototypes discuss how a design-for-values approach aids in the investigation and mitigation of ethical issues emerging from the implementation of technological solutions and, hence, support the migration to a symbiotic Factory of the Future.","author":[{"dropping-particle":"","family":"Longo","given":"Francesco","non-dropping-particle":"","parse-names":false,"suffix":""},{"dropping-particle":"","family":"Padovano","given":"Antonio","non-dropping-particle":"","parse-names":false,"suffix":""},{"dropping-particle":"","family":"Umbrello","given":"Steven","non-dropping-particle":"","parse-names":false,"suffix":""}],"container-title":"Applied Sciences (Switzerland)","id":"ITEM-1","issue":"12","issued":{"date-parts":[["2020"]]},"page":"1-25","title":"Value-oriented and ethical technology engineering in industry 5.0: A human-centric perspective for the design of the factory of the future","type":"article-journal","volume":"10"},"uris":["http://www.mendeley.com/documents/?uuid=0ec256fd-2579-4285-87d2-edebbcec3471"]},{"id":"ITEM-2","itemData":{"ISBN":"9781119711148","author":[{"dropping-particle":"","family":"Sheikh","given":"Riyaz","non-dropping-particle":"","parse-names":false,"suffix":""},{"dropping-particle":"","family":"Goje","given":"Nitin","non-dropping-particle":"","parse-names":false,"suffix":""}],"chapter-number":"Role of Bi","container-title":"Internet of Things in Business Transformation","id":"ITEM-2","issued":{"date-parts":[["2021"]]},"publisher":"Wiley Online Library","title":"Role of Big Data Analytics in Business Transformation","type":"chapter"},"uris":["http://www.mendeley.com/documents/?uuid=f73b88da-594e-4e8f-8450-e0442c4311ab"]}],"mendeley":{"formattedCitation":"&lt;sup&gt;24,25&lt;/sup&gt;","plainTextFormattedCitation":"24,25","previouslyFormattedCitation":"(Longo, Padovano and Umbrello, 2020; Sheikh and Goje, 2021)"},"properties":{"noteIndex":0},"schema":"https://github.com/citation-style-language/schema/raw/master/csl-citation.json"}</w:instrText>
      </w:r>
      <w:r w:rsidRPr="0039773B">
        <w:rPr>
          <w:bCs/>
        </w:rPr>
        <w:fldChar w:fldCharType="separate"/>
      </w:r>
      <w:r w:rsidRPr="0039773B">
        <w:rPr>
          <w:bCs/>
          <w:noProof/>
          <w:vertAlign w:val="superscript"/>
        </w:rPr>
        <w:t>24,25</w:t>
      </w:r>
      <w:r w:rsidRPr="0039773B">
        <w:rPr>
          <w:bCs/>
        </w:rPr>
        <w:fldChar w:fldCharType="end"/>
      </w:r>
      <w:r w:rsidRPr="0039773B">
        <w:rPr>
          <w:bCs/>
        </w:rPr>
        <w:t xml:space="preserve">. Originating from the digital twin concept, credited to Michael Grieves, HDT extends beyond the replication of physical entities by integrating intelligent interpretation, analysis, and visualization of industrial work floors </w:t>
      </w:r>
      <w:r w:rsidRPr="0039773B">
        <w:rPr>
          <w:bCs/>
        </w:rPr>
        <w:fldChar w:fldCharType="begin" w:fldLock="1"/>
      </w:r>
      <w:r w:rsidRPr="0039773B">
        <w:rPr>
          <w:bCs/>
        </w:rPr>
        <w:instrText>ADDIN CSL_CITATION {"citationItems":[{"id":"ITEM-1","itemData":{"abstract":"This paper introduces the concept of a “Digital Twin” as a virtual representation of what has been produced. Compare a Digital Twin to its engineering design to better understand what was produced versus what was designed, tightening the loop between design and execution.","author":[{"dropping-particle":"","family":"Grieves","given":"Michael","non-dropping-particle":"","parse-names":false,"suffix":""}],"container-title":"White Paper","id":"ITEM-1","issue":"March","issued":{"date-parts":[["2014"]]},"title":"Digital Twin : Manufacturing Excellence through Virtual Factory Replication","type":"article-journal"},"uris":["http://www.mendeley.com/documents/?uuid=7fa68671-2b4c-3360-abe4-a505202faf05"]}],"mendeley":{"formattedCitation":"&lt;sup&gt;26&lt;/sup&gt;","plainTextFormattedCitation":"26","previouslyFormattedCitation":"(Grieves, 2014)"},"properties":{"noteIndex":0},"schema":"https://github.com/citation-style-language/schema/raw/master/csl-citation.json"}</w:instrText>
      </w:r>
      <w:r w:rsidRPr="0039773B">
        <w:rPr>
          <w:bCs/>
        </w:rPr>
        <w:fldChar w:fldCharType="separate"/>
      </w:r>
      <w:r w:rsidRPr="0039773B">
        <w:rPr>
          <w:bCs/>
          <w:noProof/>
          <w:vertAlign w:val="superscript"/>
        </w:rPr>
        <w:t>26</w:t>
      </w:r>
      <w:r w:rsidRPr="0039773B">
        <w:rPr>
          <w:bCs/>
        </w:rPr>
        <w:fldChar w:fldCharType="end"/>
      </w:r>
      <w:r w:rsidRPr="0039773B">
        <w:rPr>
          <w:bCs/>
        </w:rPr>
        <w:t xml:space="preserve">. Unlike traditional DT, which focuses on intangible physical entities, HDT center on the development of virtual human replicas encompassing intrinsic and extrinsic attributes, including personality, cognition, sensibilities, and capabilities </w:t>
      </w:r>
      <w:r w:rsidRPr="0039773B">
        <w:rPr>
          <w:bCs/>
        </w:rPr>
        <w:fldChar w:fldCharType="begin" w:fldLock="1"/>
      </w:r>
      <w:r w:rsidRPr="0039773B">
        <w:rPr>
          <w:bCs/>
        </w:rPr>
        <w:instrText>ADDIN CSL_CITATION {"citationItems":[{"id":"ITEM-1","itemData":{"DOI":"10.1115/1.4054270","ISSN":"15309827","abstract":"Digital twin (DT) emerges as a key concept of the Industry 4.0 paradigm and beyond. However, the current literature lacks focus on humans and human activities as a part of complex system DTs. Acknowledging human aspects in DTs can enhance work performance, well-being, motivation, and personal development of professionals. This study examines emerging requirements for human digital twins (HDTs) in three use cases of industry–academia collaboration on complex systems. The results draw together the overall design problem and four design objectives for HDTs. We propose to combine the machine and human-related aspects of DTs and highlight the need for virtual-to-virtual interoperability between HDTs and machines alike. Furthermore, we outline differences between humans and machines regarding digital twinning by addressing human activities and knowledge-based behavior on systems. Design of HDTs requires understanding of individual professional characteristics, such as skills and information preferences, together with twinning between the physical and digital machine entities and interactions between the human and machine DTs. As the field moves toward including humans as a part of the DT concept, incorporating HDTs in complex systems emerges as an increasingly significant issue.","author":[{"dropping-particle":"","family":"Bomström","given":"Henri","non-dropping-particle":"","parse-names":false,"suffix":""},{"dropping-particle":"","family":"Annanperä","given":"Elina","non-dropping-particle":"","parse-names":false,"suffix":""},{"dropping-particle":"","family":"Kelanti","given":"Markus","non-dropping-particle":"","parse-names":false,"suffix":""},{"dropping-particle":"","family":"Xu","given":"Yueqiang","non-dropping-particle":"","parse-names":false,"suffix":""},{"dropping-particle":"","family":"Mäkelä","given":"Satu Marja","non-dropping-particle":"","parse-names":false,"suffix":""},{"dropping-particle":"","family":"Immonen","given":"Milla","non-dropping-particle":"","parse-names":false,"suffix":""},{"dropping-particle":"","family":"Siirtola","given":"Pekka","non-dropping-particle":"","parse-names":false,"suffix":""},{"dropping-particle":"","family":"Teern","given":"Anna","non-dropping-particle":"","parse-names":false,"suffix":""},{"dropping-particle":"","family":"Liukkunen","given":"Kari","non-dropping-particle":"","parse-names":false,"suffix":""},{"dropping-particle":"","family":"Päivärinta","given":"Tero","non-dropping-particle":"","parse-names":false,"suffix":""}],"container-title":"Journal of Computing and Information Science in Engineering","id":"ITEM-1","issue":"5","issued":{"date-parts":[["2022"]]},"title":"Digital Twins about Humans—Design Objectives from Three Projects","type":"article-journal","volume":"22"},"uris":["http://www.mendeley.com/documents/?uuid=d386223e-975f-3e79-b88a-3197b727684e"]}],"mendeley":{"formattedCitation":"&lt;sup&gt;27&lt;/sup&gt;","plainTextFormattedCitation":"27","previouslyFormattedCitation":"(Bomström &lt;i&gt;et al.&lt;/i&gt;, 2022)"},"properties":{"noteIndex":0},"schema":"https://github.com/citation-style-language/schema/raw/master/csl-citation.json"}</w:instrText>
      </w:r>
      <w:r w:rsidRPr="0039773B">
        <w:rPr>
          <w:bCs/>
        </w:rPr>
        <w:fldChar w:fldCharType="separate"/>
      </w:r>
      <w:r w:rsidRPr="0039773B">
        <w:rPr>
          <w:bCs/>
          <w:noProof/>
          <w:vertAlign w:val="superscript"/>
        </w:rPr>
        <w:t>27</w:t>
      </w:r>
      <w:r w:rsidRPr="0039773B">
        <w:rPr>
          <w:bCs/>
        </w:rPr>
        <w:fldChar w:fldCharType="end"/>
      </w:r>
      <w:r w:rsidRPr="0039773B">
        <w:rPr>
          <w:bCs/>
        </w:rPr>
        <w:t xml:space="preserve">. The literature review underscores that HDT not only enables more profound insights into industrial processes but also fosters a </w:t>
      </w:r>
      <w:proofErr w:type="spellStart"/>
      <w:r w:rsidRPr="0039773B">
        <w:rPr>
          <w:bCs/>
        </w:rPr>
        <w:t>sociomorphic</w:t>
      </w:r>
      <w:proofErr w:type="spellEnd"/>
      <w:r w:rsidRPr="0039773B">
        <w:rPr>
          <w:bCs/>
        </w:rPr>
        <w:t xml:space="preserve"> multi-agent system, allowing seamless connections and interactions among agents for group task completion and optimization. As depicted in Figure 4, Wang et al. </w:t>
      </w:r>
      <w:r w:rsidRPr="0039773B">
        <w:rPr>
          <w:bCs/>
        </w:rPr>
        <w:fldChar w:fldCharType="begin" w:fldLock="1"/>
      </w:r>
      <w:r w:rsidRPr="0039773B">
        <w:rPr>
          <w:bCs/>
        </w:rPr>
        <w:instrText>ADDIN CSL_CITATION {"citationItems":[{"id":"ITEM-1","itemData":{"DOI":"10.1016/j.rcim.2023.102626","ISSN":"07365845","abstract":"Human-centricity, a core value of Industry 5.0, places humans in the center of production. It leads to the prioritization of human needs, spanning from health and safety to self-actualization and personal growth. The concept of the Human Digital Twin (HDT) is proposed as a critical method to realize human-centricity in smart manufacturing systems towards Industry 5.0. HDTs are digital representations of humans, aiming to change the practice of human-system integration by coupling humans’ characteristics directly to the system design and its performance. In-depth analysis, critical insights, and application guidelines of HDT are essential to realize the concept of Industry 5.0 in practice and evolve the smart manufacturing paradigm in modern factories. However, the investigation on the development of HDT to evolve humans’ roles and develop humans to their full potential is limited to date. Recent studies are rarely geared towards designing a standardized framework and architecture of HDT for diverse real-world applications. Thus, this work aims to close this research gap by carrying out a comprehensive survey on HDT in the context of Industry 5.0, summarizing the ongoing evolution, and proposing a proper connotation of HDT, before discussing the conceptual framework and system architecture of HDT and analyzing enabling technologies and industrial applications. This work provides guidance on possible avenues as well as challenges for the further development of HDT and its related concepts, allowing humans to reach their potential and accommodating their diverse needs in the futuristic smart manufacturing systems shaped by Industry 5.0.","author":[{"dropping-particle":"","family":"Wang","given":"Baicun","non-dropping-particle":"","parse-names":false,"suffix":""},{"dropping-particle":"","family":"Zhou","given":"Huiying","non-dropping-particle":"","parse-names":false,"suffix":""},{"dropping-particle":"","family":"Li","given":"Xingyu","non-dropping-particle":"","parse-names":false,"suffix":""},{"dropping-particle":"","family":"Yang","given":"Geng","non-dropping-particle":"","parse-names":false,"suffix":""},{"dropping-particle":"","family":"Zheng","given":"Pai","non-dropping-particle":"","parse-names":false,"suffix":""},{"dropping-particle":"","family":"Song","given":"Ci","non-dropping-particle":"","parse-names":false,"suffix":""},{"dropping-particle":"","family":"Yuan","given":"Yixiu","non-dropping-particle":"","parse-names":false,"suffix":""},{"dropping-particle":"","family":"Wuest","given":"Thorsten","non-dropping-particle":"","parse-names":false,"suffix":""},{"dropping-particle":"","family":"Yang","given":"Huayong","non-dropping-particle":"","parse-names":false,"suffix":""},{"dropping-particle":"","family":"Wang","given":"Lihui","non-dropping-particle":"","parse-names":false,"suffix":""}],"container-title":"Robotics and Computer-Integrated Manufacturing","id":"ITEM-1","issue":"April 2023","issued":{"date-parts":[["2024"]]},"note":"Good paper for the chapter\nArchitecture\nComponents\nkey tech enablers\nuse cases\nchallenges","page":"102626","publisher":"Elsevier Ltd","title":"Human Digital Twin in the context of Industry 5.0","type":"article-journal","volume":"85"},"uris":["http://www.mendeley.com/documents/?uuid=3ba4b266-f089-4833-8b37-7e29a92393fc"]}],"mendeley":{"formattedCitation":"&lt;sup&gt;28&lt;/sup&gt;","plainTextFormattedCitation":"28","previouslyFormattedCitation":"(Wang &lt;i&gt;et al.&lt;/i&gt;, 2024)"},"properties":{"noteIndex":0},"schema":"https://github.com/citation-style-language/schema/raw/master/csl-citation.json"}</w:instrText>
      </w:r>
      <w:r w:rsidRPr="0039773B">
        <w:rPr>
          <w:bCs/>
        </w:rPr>
        <w:fldChar w:fldCharType="separate"/>
      </w:r>
      <w:r w:rsidRPr="0039773B">
        <w:rPr>
          <w:bCs/>
          <w:noProof/>
          <w:vertAlign w:val="superscript"/>
        </w:rPr>
        <w:t>28</w:t>
      </w:r>
      <w:r w:rsidRPr="0039773B">
        <w:rPr>
          <w:bCs/>
        </w:rPr>
        <w:fldChar w:fldCharType="end"/>
      </w:r>
      <w:r w:rsidRPr="0039773B">
        <w:rPr>
          <w:bCs/>
        </w:rPr>
        <w:t xml:space="preserve"> proposed a three-dimensional conceptual framework for HDT that center on the human entity (HE), the virtual entity (VE), and the interactive system (IS). The model prioritized improving human welfare, roles, requirements, capabilities, and rights, emphasizing human beings. The body of literature places significant importance on integrating human and digital twins as a fundamental principle for capitalizing on the capabilities of HDT within the context of Industry 5.0.</w:t>
      </w:r>
    </w:p>
    <w:p w14:paraId="5A588D8D" w14:textId="5C864495" w:rsidR="0039773B" w:rsidRPr="0039773B" w:rsidRDefault="00B630B3" w:rsidP="00B630B3">
      <w:pPr>
        <w:pStyle w:val="normaltext"/>
        <w:ind w:firstLine="0"/>
        <w:jc w:val="center"/>
        <w:rPr>
          <w:bCs/>
        </w:rPr>
      </w:pPr>
      <w:r w:rsidRPr="00C36419">
        <w:rPr>
          <w:noProof/>
          <w:sz w:val="22"/>
          <w:szCs w:val="22"/>
        </w:rPr>
        <w:lastRenderedPageBreak/>
        <w:drawing>
          <wp:inline distT="0" distB="0" distL="0" distR="0" wp14:anchorId="2601FEBE" wp14:editId="4FB380D8">
            <wp:extent cx="6019800" cy="4869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jpg"/>
                    <pic:cNvPicPr/>
                  </pic:nvPicPr>
                  <pic:blipFill>
                    <a:blip r:embed="rId18">
                      <a:extLst>
                        <a:ext uri="{28A0092B-C50C-407E-A947-70E740481C1C}">
                          <a14:useLocalDpi xmlns:a14="http://schemas.microsoft.com/office/drawing/2010/main" val="0"/>
                        </a:ext>
                      </a:extLst>
                    </a:blip>
                    <a:stretch>
                      <a:fillRect/>
                    </a:stretch>
                  </pic:blipFill>
                  <pic:spPr>
                    <a:xfrm>
                      <a:off x="0" y="0"/>
                      <a:ext cx="6019800" cy="4869180"/>
                    </a:xfrm>
                    <a:prstGeom prst="rect">
                      <a:avLst/>
                    </a:prstGeom>
                  </pic:spPr>
                </pic:pic>
              </a:graphicData>
            </a:graphic>
          </wp:inline>
        </w:drawing>
      </w:r>
    </w:p>
    <w:p w14:paraId="7F24EDDF" w14:textId="77777777" w:rsidR="00B630B3" w:rsidRDefault="00B630B3" w:rsidP="00B630B3">
      <w:pPr>
        <w:pStyle w:val="normaltext"/>
        <w:ind w:firstLine="0"/>
        <w:jc w:val="center"/>
      </w:pPr>
      <w:r w:rsidRPr="00B630B3">
        <w:rPr>
          <w:b/>
        </w:rPr>
        <w:t xml:space="preserve">Fig. 3. </w:t>
      </w:r>
      <w:r w:rsidRPr="00B630B3">
        <w:t xml:space="preserve">Theoretical framework of HDT( source: derived from </w:t>
      </w:r>
      <w:r w:rsidRPr="00B630B3">
        <w:fldChar w:fldCharType="begin" w:fldLock="1"/>
      </w:r>
      <w:r w:rsidRPr="00B630B3">
        <w:instrText>ADDIN CSL_CITATION {"citationItems":[{"id":"ITEM-1","itemData":{"DOI":"10.1016/j.rcim.2023.102626","ISSN":"07365845","abstract":"Human-centricity, a core value of Industry 5.0, places humans in the center of production. It leads to the prioritization of human needs, spanning from health and safety to self-actualization and personal growth. The concept of the Human Digital Twin (HDT) is proposed as a critical method to realize human-centricity in smart manufacturing systems towards Industry 5.0. HDTs are digital representations of humans, aiming to change the practice of human-system integration by coupling humans’ characteristics directly to the system design and its performance. In-depth analysis, critical insights, and application guidelines of HDT are essential to realize the concept of Industry 5.0 in practice and evolve the smart manufacturing paradigm in modern factories. However, the investigation on the development of HDT to evolve humans’ roles and develop humans to their full potential is limited to date. Recent studies are rarely geared towards designing a standardized framework and architecture of HDT for diverse real-world applications. Thus, this work aims to close this research gap by carrying out a comprehensive survey on HDT in the context of Industry 5.0, summarizing the ongoing evolution, and proposing a proper connotation of HDT, before discussing the conceptual framework and system architecture of HDT and analyzing enabling technologies and industrial applications. This work provides guidance on possible avenues as well as challenges for the further development of HDT and its related concepts, allowing humans to reach their potential and accommodating their diverse needs in the futuristic smart manufacturing systems shaped by Industry 5.0.","author":[{"dropping-particle":"","family":"Wang","given":"Baicun","non-dropping-particle":"","parse-names":false,"suffix":""},{"dropping-particle":"","family":"Zhou","given":"Huiying","non-dropping-particle":"","parse-names":false,"suffix":""},{"dropping-particle":"","family":"Li","given":"Xingyu","non-dropping-particle":"","parse-names":false,"suffix":""},{"dropping-particle":"","family":"Yang","given":"Geng","non-dropping-particle":"","parse-names":false,"suffix":""},{"dropping-particle":"","family":"Zheng","given":"Pai","non-dropping-particle":"","parse-names":false,"suffix":""},{"dropping-particle":"","family":"Song","given":"Ci","non-dropping-particle":"","parse-names":false,"suffix":""},{"dropping-particle":"","family":"Yuan","given":"Yixiu","non-dropping-particle":"","parse-names":false,"suffix":""},{"dropping-particle":"","family":"Wuest","given":"Thorsten","non-dropping-particle":"","parse-names":false,"suffix":""},{"dropping-particle":"","family":"Yang","given":"Huayong","non-dropping-particle":"","parse-names":false,"suffix":""},{"dropping-particle":"","family":"Wang","given":"Lihui","non-dropping-particle":"","parse-names":false,"suffix":""}],"container-title":"Robotics and Computer-Integrated Manufacturing","id":"ITEM-1","issue":"April 2023","issued":{"date-parts":[["2024"]]},"note":"Good paper for the chapter\nArchitecture\nComponents\nkey tech enablers\nuse cases\nchallenges","page":"102626","publisher":"Elsevier Ltd","title":"Human Digital Twin in the context of Industry 5.0","type":"article-journal","volume":"85"},"uris":["http://www.mendeley.com/documents/?uuid=3ba4b266-f089-4833-8b37-7e29a92393fc"]}],"mendeley":{"formattedCitation":"&lt;sup&gt;28&lt;/sup&gt;","plainTextFormattedCitation":"28","previouslyFormattedCitation":"(Wang &lt;i&gt;et al.&lt;/i&gt;, 2024)"},"properties":{"noteIndex":0},"schema":"https://github.com/citation-style-language/schema/raw/master/csl-citation.json"}</w:instrText>
      </w:r>
      <w:r w:rsidRPr="00B630B3">
        <w:fldChar w:fldCharType="separate"/>
      </w:r>
      <w:r w:rsidRPr="00B630B3">
        <w:rPr>
          <w:noProof/>
          <w:vertAlign w:val="superscript"/>
        </w:rPr>
        <w:t>28</w:t>
      </w:r>
      <w:r w:rsidRPr="00B630B3">
        <w:fldChar w:fldCharType="end"/>
      </w:r>
      <w:r w:rsidRPr="00B630B3">
        <w:t>)</w:t>
      </w:r>
    </w:p>
    <w:p w14:paraId="205B160B" w14:textId="77777777" w:rsidR="008D1534" w:rsidRPr="00CB61B9" w:rsidRDefault="008D1534" w:rsidP="00B630B3">
      <w:pPr>
        <w:pStyle w:val="normaltext"/>
        <w:ind w:firstLine="0"/>
        <w:jc w:val="center"/>
        <w:rPr>
          <w:sz w:val="56"/>
          <w:szCs w:val="56"/>
        </w:rPr>
      </w:pPr>
    </w:p>
    <w:p w14:paraId="2E94181E" w14:textId="77777777" w:rsidR="00F4209A" w:rsidRDefault="00F4209A" w:rsidP="00B630B3">
      <w:pPr>
        <w:pStyle w:val="normaltext"/>
        <w:ind w:firstLine="0"/>
        <w:jc w:val="center"/>
      </w:pPr>
    </w:p>
    <w:p w14:paraId="7ECB0875" w14:textId="77777777" w:rsidR="00DE374C" w:rsidRDefault="00DE374C" w:rsidP="00B630B3">
      <w:pPr>
        <w:pStyle w:val="normaltext"/>
        <w:ind w:firstLine="0"/>
        <w:jc w:val="center"/>
        <w:sectPr w:rsidR="00DE374C" w:rsidSect="005B63F0">
          <w:type w:val="continuous"/>
          <w:pgSz w:w="12240" w:h="15840"/>
          <w:pgMar w:top="810" w:right="1440" w:bottom="1440" w:left="1440" w:header="540" w:footer="2013" w:gutter="0"/>
          <w:cols w:space="708"/>
        </w:sectPr>
      </w:pPr>
    </w:p>
    <w:p w14:paraId="697486BD" w14:textId="7B79ECB1" w:rsidR="00B630B3" w:rsidRPr="00CB61B9" w:rsidRDefault="00B630B3" w:rsidP="00B630B3">
      <w:pPr>
        <w:pStyle w:val="Heading1"/>
      </w:pPr>
      <w:r w:rsidRPr="00CB61B9">
        <w:t>Research Methodology</w:t>
      </w:r>
    </w:p>
    <w:p w14:paraId="5669B34F" w14:textId="5094504A" w:rsidR="00F4209A" w:rsidRPr="00CB61B9" w:rsidRDefault="00B630B3" w:rsidP="00B630B3">
      <w:pPr>
        <w:pStyle w:val="normaltext"/>
        <w:ind w:firstLine="0"/>
        <w:sectPr w:rsidR="00F4209A" w:rsidRPr="00CB61B9" w:rsidSect="00F4209A">
          <w:type w:val="continuous"/>
          <w:pgSz w:w="12240" w:h="15840"/>
          <w:pgMar w:top="810" w:right="1440" w:bottom="1440" w:left="1440" w:header="540" w:footer="2013" w:gutter="0"/>
          <w:cols w:num="2" w:space="708"/>
        </w:sectPr>
      </w:pPr>
      <w:r w:rsidRPr="00CB61B9">
        <w:t xml:space="preserve">The study undertakes an extensive literature review, evaluating and screening pertinent research studies for relevance and duplication after exporting them into a digital library as shown in figure 4. The research articles considered for this study were exported from </w:t>
      </w:r>
      <w:r w:rsidRPr="00CB61B9">
        <w:t>Scopus, Saudi Digital Library (SDL), and Google Scholar and published between 2010 and 2024. These databases were chosen because they offer the most comprehensive coverage of published research papers, the most recent full-text peer-reviewed articles, and sophisticated search capabilities</w:t>
      </w:r>
      <w:r w:rsidR="00D8743E" w:rsidRPr="00CB61B9">
        <w:t>.</w:t>
      </w:r>
    </w:p>
    <w:p w14:paraId="4C40E3B5" w14:textId="4FFE5663" w:rsidR="00F4209A" w:rsidRDefault="00F4209A" w:rsidP="00B630B3">
      <w:pPr>
        <w:pStyle w:val="normaltext"/>
        <w:ind w:firstLine="0"/>
        <w:rPr>
          <w:sz w:val="22"/>
          <w:szCs w:val="22"/>
        </w:rPr>
      </w:pPr>
    </w:p>
    <w:p w14:paraId="0CE8B4B8" w14:textId="77777777" w:rsidR="00F4209A" w:rsidRPr="00CB61B9" w:rsidRDefault="00F4209A" w:rsidP="00B630B3">
      <w:pPr>
        <w:pStyle w:val="normaltext"/>
        <w:ind w:firstLine="0"/>
      </w:pPr>
    </w:p>
    <w:p w14:paraId="358A22F0" w14:textId="77777777" w:rsidR="00F4209A" w:rsidRPr="00CB61B9" w:rsidRDefault="00F4209A" w:rsidP="00F4209A">
      <w:pPr>
        <w:pStyle w:val="normaltext"/>
        <w:ind w:firstLine="0"/>
        <w:sectPr w:rsidR="00F4209A" w:rsidRPr="00CB61B9" w:rsidSect="00F4209A">
          <w:type w:val="continuous"/>
          <w:pgSz w:w="12240" w:h="15840"/>
          <w:pgMar w:top="810" w:right="1440" w:bottom="1440" w:left="1440" w:header="540" w:footer="2013" w:gutter="0"/>
          <w:cols w:space="708"/>
        </w:sectPr>
      </w:pPr>
    </w:p>
    <w:p w14:paraId="0F6B0EB5" w14:textId="77777777" w:rsidR="00F4209A" w:rsidRPr="00CB61B9" w:rsidRDefault="00B630B3" w:rsidP="00CB61B9">
      <w:pPr>
        <w:pStyle w:val="normaltext"/>
        <w:ind w:firstLine="288"/>
        <w:sectPr w:rsidR="00F4209A" w:rsidRPr="00CB61B9" w:rsidSect="00F4209A">
          <w:type w:val="continuous"/>
          <w:pgSz w:w="12240" w:h="15840"/>
          <w:pgMar w:top="810" w:right="1440" w:bottom="1440" w:left="1440" w:header="540" w:footer="2013" w:gutter="0"/>
          <w:cols w:num="2" w:space="708"/>
        </w:sectPr>
      </w:pPr>
      <w:r w:rsidRPr="00CB61B9">
        <w:lastRenderedPageBreak/>
        <w:t xml:space="preserve">("Human Digital Twin" OR "Digital Twin") AND ("Human-Centric" OR "Human </w:t>
      </w:r>
      <w:proofErr w:type="spellStart"/>
      <w:r w:rsidRPr="00CB61B9">
        <w:t>Centred</w:t>
      </w:r>
      <w:proofErr w:type="spellEnd"/>
      <w:r w:rsidRPr="00CB61B9">
        <w:t xml:space="preserve">" OR "Human Robot Collaboration" OR "Human Robot Interaction" OR "Human Machine Interaction" OR "Industry 5.0" OR "Industry 4.0" ) are the keywords utilized to conduct a keywords-based search approach. The number of citations in the publications was considered while choosing the key papers, and some of the highly referenced articles in our review (Table 2) are used as seed papers. The first step of this search method </w:t>
      </w:r>
      <w:r w:rsidRPr="00CB61B9">
        <w:t>involves screening by</w:t>
      </w:r>
      <w:r w:rsidR="00F4209A" w:rsidRPr="00CB61B9">
        <w:t xml:space="preserve"> </w:t>
      </w:r>
      <w:r w:rsidRPr="00CB61B9">
        <w:t>looking through the abstracts of 768 research publications. After being developed with Mendeley software and imported into the digital library, pertinent papers are further evaluated for redundancy and duplicates. We only choose studies in which the human component of DTs is a significant factor in the investigation. Lastly, this evaluation includes the last literature volume, which contains 143 recent publications from 2017 to 2024.</w:t>
      </w:r>
    </w:p>
    <w:p w14:paraId="7BEE37B0" w14:textId="77777777" w:rsidR="00F4209A" w:rsidRDefault="00F4209A" w:rsidP="00F4209A">
      <w:pPr>
        <w:pStyle w:val="normaltext"/>
        <w:ind w:firstLine="0"/>
        <w:jc w:val="center"/>
        <w:rPr>
          <w:sz w:val="22"/>
          <w:szCs w:val="22"/>
        </w:rPr>
      </w:pPr>
    </w:p>
    <w:p w14:paraId="212522AB" w14:textId="78ABE0D8" w:rsidR="00F4209A" w:rsidRDefault="00F4209A" w:rsidP="00457C00">
      <w:pPr>
        <w:pStyle w:val="normaltext"/>
        <w:spacing w:before="0" w:after="0"/>
        <w:ind w:firstLine="0"/>
        <w:jc w:val="center"/>
        <w:rPr>
          <w:sz w:val="22"/>
          <w:szCs w:val="22"/>
        </w:rPr>
      </w:pPr>
      <w:r w:rsidRPr="00457C00">
        <w:rPr>
          <w:noProof/>
        </w:rPr>
        <w:drawing>
          <wp:inline distT="0" distB="0" distL="0" distR="0" wp14:anchorId="74DDAD36" wp14:editId="54758CEB">
            <wp:extent cx="3611880" cy="3200400"/>
            <wp:effectExtent l="38100" t="19050" r="26670" b="38100"/>
            <wp:docPr id="182949052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8FE825C" w14:textId="77777777" w:rsidR="00457C00" w:rsidRPr="00457C00" w:rsidRDefault="00457C00" w:rsidP="00457C00">
      <w:pPr>
        <w:pStyle w:val="normaltext"/>
        <w:spacing w:before="0" w:after="0"/>
        <w:ind w:firstLine="0"/>
        <w:jc w:val="center"/>
        <w:rPr>
          <w:b/>
          <w:sz w:val="6"/>
          <w:szCs w:val="6"/>
        </w:rPr>
      </w:pPr>
    </w:p>
    <w:p w14:paraId="38A6C0B0" w14:textId="4F7CFCE3" w:rsidR="00457C00" w:rsidRPr="00457C00" w:rsidRDefault="00457C00" w:rsidP="00457C00">
      <w:pPr>
        <w:pStyle w:val="normaltext"/>
        <w:spacing w:before="0" w:after="0"/>
        <w:ind w:firstLine="0"/>
        <w:jc w:val="center"/>
      </w:pPr>
      <w:r w:rsidRPr="00457C00">
        <w:rPr>
          <w:b/>
        </w:rPr>
        <w:t>Fig. 4.</w:t>
      </w:r>
      <w:r w:rsidRPr="00457C00">
        <w:t xml:space="preserve"> Results of systematic review using the PRISMA flow diagram (derived from </w:t>
      </w:r>
      <w:r w:rsidRPr="00457C00">
        <w:fldChar w:fldCharType="begin" w:fldLock="1"/>
      </w:r>
      <w:r w:rsidRPr="00457C00">
        <w:instrText>ADDIN CSL_CITATION {"citationItems":[{"id":"ITEM-1","itemData":{"DOI":"10.1371/journal.pmed.1000100","ISBN":"2006062298","ISSN":"15491277","PMID":"19621070","abstract":"Systematic reviews and meta-analyses are essential to summarize evidence relating to efficacy and safety of health care interventions accurately and reliably. The clarity and transparency of these reports, however, is not optimal. Poor reporting of systematic reviews diminishes their value to clinicians, policy makers, and other users. Since the development of the QUOROM (QUality Of Reporting Of Meta-analysis) Statement - a reporting guideline published in 1999 - there have been several conceptual, methodological, and practical advances regarding the conduct and reporting of systematic reviews and meta-analyses. Also, reviews of published systematic reviews have found that key information about these studies is often poorly reported. Realizing these issues, an international group that included experienced authors and methodologists developed PRISMA (Preferred Reporting Items for Systematic reviews and Meta-Analyses) as an evolution of the original QUOROM guideline for systematic reviews and meta-analyses of evaluations of health care interventions. The PRISMA Statement consists of a 27-item checklist and a four-phase flow diagram. The checklist includes items deemed essential for transparent reporting of a systematic review. In this Explanation and Elaboration document, we explain the meaning and rationale for each checklist item. For each item, we include an example of good reporting and, where possible, references to relevant empirical studies and methodological literature. The PRISMA Statement, this document, and the associated Web site (http://www. prisma-statement.org/) should be helpful resources to improve reporting of systematic reviews and metaanalyses. © 2009 Liberati et al.","author":[{"dropping-particle":"","family":"Liberati","given":"Alessandro","non-dropping-particle":"","parse-names":false,"suffix":""},{"dropping-particle":"","family":"Altman","given":"Douglas G.","non-dropping-particle":"","parse-names":false,"suffix":""},{"dropping-particle":"","family":"Tetzlaff","given":"Jennifer","non-dropping-particle":"","parse-names":false,"suffix":""},{"dropping-particle":"","family":"Mulrow","given":"Cynthia","non-dropping-particle":"","parse-names":false,"suffix":""},{"dropping-particle":"","family":"Gøtzsche","given":"Peter C.","non-dropping-particle":"","parse-names":false,"suffix":""},{"dropping-particle":"","family":"Ioannidis","given":"John P.A.","non-dropping-particle":"","parse-names":false,"suffix":""},{"dropping-particle":"","family":"Clarke","given":"Mike","non-dropping-particle":"","parse-names":false,"suffix":""},{"dropping-particle":"","family":"Devereaux","given":"P. J.","non-dropping-particle":"","parse-names":false,"suffix":""},{"dropping-particle":"","family":"Kleijnen","given":"Jos","non-dropping-particle":"","parse-names":false,"suffix":""},{"dropping-particle":"","family":"Moher","given":"David","non-dropping-particle":"","parse-names":false,"suffix":""}],"container-title":"PLoS Medicine","id":"ITEM-1","issue":"7","issued":{"date-parts":[["2009"]]},"title":"The PRISMA statement for reporting systematic reviews and meta-analyses of studies that evaluate health care interventions: Explanation and elaboration","type":"article-journal","volume":"6"},"uris":["http://www.mendeley.com/documents/?uuid=a8c043e1-436c-48dd-8536-92bf6077eab7"]}],"mendeley":{"formattedCitation":"&lt;sup&gt;29&lt;/sup&gt;","plainTextFormattedCitation":"29","previouslyFormattedCitation":"(Liberati &lt;i&gt;et al.&lt;/i&gt;, 2009)"},"properties":{"noteIndex":0},"schema":"https://github.com/citation-style-language/schema/raw/master/csl-citation.json"}</w:instrText>
      </w:r>
      <w:r w:rsidRPr="00457C00">
        <w:fldChar w:fldCharType="separate"/>
      </w:r>
      <w:r w:rsidRPr="00457C00">
        <w:rPr>
          <w:noProof/>
          <w:vertAlign w:val="superscript"/>
        </w:rPr>
        <w:t>29</w:t>
      </w:r>
      <w:r w:rsidRPr="00457C00">
        <w:fldChar w:fldCharType="end"/>
      </w:r>
      <w:r w:rsidRPr="00457C00">
        <w:t>)</w:t>
      </w:r>
    </w:p>
    <w:p w14:paraId="068942BA" w14:textId="77777777" w:rsidR="00F4209A" w:rsidRDefault="00F4209A" w:rsidP="00F4209A">
      <w:pPr>
        <w:pStyle w:val="normaltext"/>
        <w:ind w:firstLine="0"/>
        <w:rPr>
          <w:sz w:val="22"/>
          <w:szCs w:val="22"/>
        </w:rPr>
      </w:pPr>
    </w:p>
    <w:p w14:paraId="31C6F1EF" w14:textId="77777777" w:rsidR="00F4209A" w:rsidRDefault="00F4209A" w:rsidP="00F4209A">
      <w:pPr>
        <w:pStyle w:val="normaltext"/>
        <w:ind w:firstLine="0"/>
        <w:rPr>
          <w:sz w:val="22"/>
          <w:szCs w:val="22"/>
        </w:rPr>
      </w:pPr>
    </w:p>
    <w:p w14:paraId="755932A8" w14:textId="77777777" w:rsidR="00F4209A" w:rsidRDefault="00F4209A" w:rsidP="00F4209A">
      <w:pPr>
        <w:pStyle w:val="normaltext"/>
        <w:ind w:firstLine="0"/>
        <w:rPr>
          <w:sz w:val="22"/>
          <w:szCs w:val="22"/>
        </w:rPr>
      </w:pPr>
    </w:p>
    <w:p w14:paraId="6C01FCA6" w14:textId="77777777" w:rsidR="00F4209A" w:rsidRDefault="00F4209A" w:rsidP="00F4209A">
      <w:pPr>
        <w:pStyle w:val="normaltext"/>
        <w:ind w:firstLine="0"/>
        <w:rPr>
          <w:sz w:val="22"/>
          <w:szCs w:val="22"/>
        </w:rPr>
      </w:pPr>
    </w:p>
    <w:p w14:paraId="5B343D38" w14:textId="77777777" w:rsidR="00F4209A" w:rsidRDefault="00F4209A" w:rsidP="00F4209A">
      <w:pPr>
        <w:pStyle w:val="normaltext"/>
        <w:ind w:firstLine="0"/>
        <w:rPr>
          <w:sz w:val="22"/>
          <w:szCs w:val="22"/>
        </w:rPr>
      </w:pPr>
    </w:p>
    <w:p w14:paraId="48C23F29" w14:textId="58A93788" w:rsidR="00F4209A" w:rsidRDefault="00F4209A" w:rsidP="00F4209A">
      <w:pPr>
        <w:pStyle w:val="normaltext"/>
        <w:ind w:firstLine="0"/>
        <w:rPr>
          <w:sz w:val="22"/>
          <w:szCs w:val="22"/>
        </w:rPr>
        <w:sectPr w:rsidR="00F4209A" w:rsidSect="00F4209A">
          <w:type w:val="continuous"/>
          <w:pgSz w:w="12240" w:h="15840"/>
          <w:pgMar w:top="810" w:right="1440" w:bottom="1440" w:left="1440" w:header="540" w:footer="2013" w:gutter="0"/>
          <w:cols w:space="708"/>
        </w:sectPr>
      </w:pPr>
    </w:p>
    <w:p w14:paraId="50A0E837" w14:textId="4FB415CA" w:rsidR="0039773B" w:rsidRPr="00B630B3" w:rsidRDefault="0039773B" w:rsidP="00B630B3">
      <w:pPr>
        <w:pStyle w:val="normaltext"/>
        <w:ind w:firstLine="0"/>
        <w:rPr>
          <w:lang w:val="en-IN"/>
        </w:rPr>
      </w:pPr>
    </w:p>
    <w:p w14:paraId="4AB4D294" w14:textId="77777777" w:rsidR="00B630B3" w:rsidRDefault="00B630B3" w:rsidP="00F83621">
      <w:pPr>
        <w:pStyle w:val="normaltext"/>
        <w:ind w:firstLine="0"/>
        <w:sectPr w:rsidR="00B630B3" w:rsidSect="008D1534">
          <w:type w:val="continuous"/>
          <w:pgSz w:w="12240" w:h="15840"/>
          <w:pgMar w:top="810" w:right="1440" w:bottom="1440" w:left="1440" w:header="540" w:footer="2013" w:gutter="0"/>
          <w:cols w:num="2" w:space="708"/>
        </w:sectPr>
      </w:pPr>
    </w:p>
    <w:p w14:paraId="4B9B7A32" w14:textId="77777777" w:rsidR="00740FE7" w:rsidRDefault="00740FE7" w:rsidP="00884515">
      <w:pPr>
        <w:jc w:val="center"/>
        <w:rPr>
          <w:rFonts w:ascii="Times New Roman" w:hAnsi="Times New Roman" w:cs="Times New Roman"/>
          <w:sz w:val="20"/>
          <w:szCs w:val="20"/>
        </w:rPr>
      </w:pPr>
      <w:bookmarkStart w:id="1" w:name="_Hlk170087847"/>
      <w:r w:rsidRPr="00C36419">
        <w:rPr>
          <w:rFonts w:ascii="Times New Roman" w:hAnsi="Times New Roman" w:cs="Times New Roman"/>
          <w:b/>
          <w:sz w:val="20"/>
          <w:szCs w:val="20"/>
        </w:rPr>
        <w:lastRenderedPageBreak/>
        <w:t>Table 2:</w:t>
      </w:r>
      <w:r w:rsidRPr="00C36419">
        <w:rPr>
          <w:rFonts w:ascii="Times New Roman" w:hAnsi="Times New Roman" w:cs="Times New Roman"/>
          <w:sz w:val="20"/>
          <w:szCs w:val="20"/>
        </w:rPr>
        <w:t xml:space="preserve"> Top 10 most cited articles based on the result ( Source: Scopus database)</w:t>
      </w:r>
    </w:p>
    <w:p w14:paraId="418CD2DE" w14:textId="77777777" w:rsidR="00884515" w:rsidRPr="00884515" w:rsidRDefault="00884515" w:rsidP="00884515">
      <w:pPr>
        <w:jc w:val="center"/>
        <w:rPr>
          <w:rFonts w:ascii="Times New Roman" w:hAnsi="Times New Roman" w:cs="Times New Roman"/>
          <w:sz w:val="10"/>
          <w:szCs w:val="10"/>
        </w:rPr>
      </w:pPr>
    </w:p>
    <w:tbl>
      <w:tblPr>
        <w:tblW w:w="14290" w:type="dxa"/>
        <w:jc w:val="center"/>
        <w:tblLook w:val="04A0" w:firstRow="1" w:lastRow="0" w:firstColumn="1" w:lastColumn="0" w:noHBand="0" w:noVBand="1"/>
      </w:tblPr>
      <w:tblGrid>
        <w:gridCol w:w="1260"/>
        <w:gridCol w:w="3184"/>
        <w:gridCol w:w="4445"/>
        <w:gridCol w:w="1481"/>
        <w:gridCol w:w="2439"/>
        <w:gridCol w:w="1481"/>
      </w:tblGrid>
      <w:tr w:rsidR="00740FE7" w:rsidRPr="00C36419" w14:paraId="475698A6" w14:textId="77777777" w:rsidTr="002738E5">
        <w:trPr>
          <w:trHeight w:val="150"/>
          <w:jc w:val="center"/>
        </w:trPr>
        <w:tc>
          <w:tcPr>
            <w:tcW w:w="1260" w:type="dxa"/>
            <w:tcBorders>
              <w:top w:val="single" w:sz="8" w:space="0" w:color="auto"/>
              <w:left w:val="nil"/>
              <w:bottom w:val="single" w:sz="8" w:space="0" w:color="auto"/>
              <w:right w:val="nil"/>
            </w:tcBorders>
            <w:shd w:val="clear" w:color="auto" w:fill="auto"/>
            <w:noWrap/>
            <w:vAlign w:val="center"/>
            <w:hideMark/>
          </w:tcPr>
          <w:p w14:paraId="26ABBC96" w14:textId="77777777" w:rsidR="00740FE7" w:rsidRPr="00C36419" w:rsidRDefault="00740FE7" w:rsidP="00022C38">
            <w:pPr>
              <w:jc w:val="center"/>
              <w:rPr>
                <w:rFonts w:ascii="Times New Roman" w:eastAsia="Times New Roman" w:hAnsi="Times New Roman" w:cs="Times New Roman"/>
                <w:b/>
                <w:bCs/>
                <w:color w:val="000000"/>
                <w:sz w:val="20"/>
                <w:szCs w:val="20"/>
                <w:lang w:val="en-IN"/>
              </w:rPr>
            </w:pPr>
            <w:proofErr w:type="spellStart"/>
            <w:r w:rsidRPr="00C36419">
              <w:rPr>
                <w:rFonts w:ascii="Times New Roman" w:eastAsia="Times New Roman" w:hAnsi="Times New Roman" w:cs="Times New Roman"/>
                <w:b/>
                <w:bCs/>
                <w:color w:val="000000"/>
                <w:sz w:val="20"/>
                <w:szCs w:val="20"/>
                <w:lang w:val="en-IN"/>
              </w:rPr>
              <w:t>Sr.No</w:t>
            </w:r>
            <w:proofErr w:type="spellEnd"/>
            <w:r w:rsidRPr="00C36419">
              <w:rPr>
                <w:rFonts w:ascii="Times New Roman" w:eastAsia="Times New Roman" w:hAnsi="Times New Roman" w:cs="Times New Roman"/>
                <w:b/>
                <w:bCs/>
                <w:color w:val="000000"/>
                <w:sz w:val="20"/>
                <w:szCs w:val="20"/>
                <w:lang w:val="en-IN"/>
              </w:rPr>
              <w:t>.</w:t>
            </w:r>
          </w:p>
        </w:tc>
        <w:tc>
          <w:tcPr>
            <w:tcW w:w="3184" w:type="dxa"/>
            <w:tcBorders>
              <w:top w:val="single" w:sz="8" w:space="0" w:color="auto"/>
              <w:left w:val="nil"/>
              <w:bottom w:val="single" w:sz="8" w:space="0" w:color="auto"/>
              <w:right w:val="nil"/>
            </w:tcBorders>
            <w:shd w:val="clear" w:color="auto" w:fill="auto"/>
            <w:vAlign w:val="center"/>
            <w:hideMark/>
          </w:tcPr>
          <w:p w14:paraId="256E99F7" w14:textId="77777777" w:rsidR="00740FE7" w:rsidRPr="00C36419" w:rsidRDefault="00740FE7" w:rsidP="00022C38">
            <w:pPr>
              <w:rPr>
                <w:rFonts w:ascii="Times New Roman" w:eastAsia="Times New Roman" w:hAnsi="Times New Roman" w:cs="Times New Roman"/>
                <w:b/>
                <w:bCs/>
                <w:color w:val="000000"/>
                <w:sz w:val="20"/>
                <w:szCs w:val="20"/>
                <w:lang w:val="en-IN"/>
              </w:rPr>
            </w:pPr>
            <w:r w:rsidRPr="00C36419">
              <w:rPr>
                <w:rFonts w:ascii="Times New Roman" w:eastAsia="Times New Roman" w:hAnsi="Times New Roman" w:cs="Times New Roman"/>
                <w:b/>
                <w:bCs/>
                <w:color w:val="000000"/>
                <w:sz w:val="20"/>
                <w:szCs w:val="20"/>
                <w:lang w:val="en-IN"/>
              </w:rPr>
              <w:t>Authors</w:t>
            </w:r>
          </w:p>
        </w:tc>
        <w:tc>
          <w:tcPr>
            <w:tcW w:w="4445" w:type="dxa"/>
            <w:tcBorders>
              <w:top w:val="single" w:sz="8" w:space="0" w:color="auto"/>
              <w:left w:val="nil"/>
              <w:bottom w:val="single" w:sz="8" w:space="0" w:color="auto"/>
              <w:right w:val="nil"/>
            </w:tcBorders>
            <w:shd w:val="clear" w:color="auto" w:fill="auto"/>
            <w:vAlign w:val="center"/>
            <w:hideMark/>
          </w:tcPr>
          <w:p w14:paraId="1F15598C" w14:textId="77777777" w:rsidR="00740FE7" w:rsidRPr="00C36419" w:rsidRDefault="00740FE7" w:rsidP="00022C38">
            <w:pPr>
              <w:rPr>
                <w:rFonts w:ascii="Times New Roman" w:eastAsia="Times New Roman" w:hAnsi="Times New Roman" w:cs="Times New Roman"/>
                <w:b/>
                <w:bCs/>
                <w:color w:val="000000"/>
                <w:sz w:val="20"/>
                <w:szCs w:val="20"/>
                <w:lang w:val="en-IN"/>
              </w:rPr>
            </w:pPr>
            <w:r w:rsidRPr="00C36419">
              <w:rPr>
                <w:rFonts w:ascii="Times New Roman" w:eastAsia="Times New Roman" w:hAnsi="Times New Roman" w:cs="Times New Roman"/>
                <w:b/>
                <w:bCs/>
                <w:color w:val="000000"/>
                <w:sz w:val="20"/>
                <w:szCs w:val="20"/>
                <w:lang w:val="en-IN"/>
              </w:rPr>
              <w:t>Title</w:t>
            </w:r>
          </w:p>
        </w:tc>
        <w:tc>
          <w:tcPr>
            <w:tcW w:w="1481" w:type="dxa"/>
            <w:tcBorders>
              <w:top w:val="single" w:sz="8" w:space="0" w:color="auto"/>
              <w:left w:val="nil"/>
              <w:bottom w:val="single" w:sz="8" w:space="0" w:color="auto"/>
              <w:right w:val="nil"/>
            </w:tcBorders>
            <w:shd w:val="clear" w:color="auto" w:fill="auto"/>
            <w:noWrap/>
            <w:vAlign w:val="center"/>
            <w:hideMark/>
          </w:tcPr>
          <w:p w14:paraId="111907E9" w14:textId="77777777" w:rsidR="00740FE7" w:rsidRPr="00C36419" w:rsidRDefault="00740FE7" w:rsidP="00022C38">
            <w:pPr>
              <w:jc w:val="center"/>
              <w:rPr>
                <w:rFonts w:ascii="Times New Roman" w:eastAsia="Times New Roman" w:hAnsi="Times New Roman" w:cs="Times New Roman"/>
                <w:b/>
                <w:bCs/>
                <w:color w:val="000000"/>
                <w:sz w:val="20"/>
                <w:szCs w:val="20"/>
                <w:lang w:val="en-IN"/>
              </w:rPr>
            </w:pPr>
            <w:r w:rsidRPr="00C36419">
              <w:rPr>
                <w:rFonts w:ascii="Times New Roman" w:eastAsia="Times New Roman" w:hAnsi="Times New Roman" w:cs="Times New Roman"/>
                <w:b/>
                <w:bCs/>
                <w:color w:val="000000"/>
                <w:sz w:val="20"/>
                <w:szCs w:val="20"/>
                <w:lang w:val="en-IN"/>
              </w:rPr>
              <w:t>Year</w:t>
            </w:r>
          </w:p>
        </w:tc>
        <w:tc>
          <w:tcPr>
            <w:tcW w:w="2439" w:type="dxa"/>
            <w:tcBorders>
              <w:top w:val="single" w:sz="8" w:space="0" w:color="auto"/>
              <w:left w:val="nil"/>
              <w:bottom w:val="single" w:sz="8" w:space="0" w:color="auto"/>
              <w:right w:val="nil"/>
            </w:tcBorders>
            <w:shd w:val="clear" w:color="auto" w:fill="auto"/>
            <w:vAlign w:val="center"/>
            <w:hideMark/>
          </w:tcPr>
          <w:p w14:paraId="08512407" w14:textId="77777777" w:rsidR="00740FE7" w:rsidRPr="00C36419" w:rsidRDefault="00740FE7" w:rsidP="00022C38">
            <w:pPr>
              <w:rPr>
                <w:rFonts w:ascii="Times New Roman" w:eastAsia="Times New Roman" w:hAnsi="Times New Roman" w:cs="Times New Roman"/>
                <w:b/>
                <w:bCs/>
                <w:color w:val="000000"/>
                <w:sz w:val="20"/>
                <w:szCs w:val="20"/>
                <w:lang w:val="en-IN"/>
              </w:rPr>
            </w:pPr>
            <w:r w:rsidRPr="00C36419">
              <w:rPr>
                <w:rFonts w:ascii="Times New Roman" w:eastAsia="Times New Roman" w:hAnsi="Times New Roman" w:cs="Times New Roman"/>
                <w:b/>
                <w:bCs/>
                <w:color w:val="000000"/>
                <w:sz w:val="20"/>
                <w:szCs w:val="20"/>
                <w:lang w:val="en-IN"/>
              </w:rPr>
              <w:t>Source title</w:t>
            </w:r>
          </w:p>
        </w:tc>
        <w:tc>
          <w:tcPr>
            <w:tcW w:w="1481" w:type="dxa"/>
            <w:tcBorders>
              <w:top w:val="single" w:sz="8" w:space="0" w:color="auto"/>
              <w:left w:val="nil"/>
              <w:bottom w:val="single" w:sz="8" w:space="0" w:color="auto"/>
              <w:right w:val="nil"/>
            </w:tcBorders>
            <w:shd w:val="clear" w:color="auto" w:fill="auto"/>
            <w:noWrap/>
            <w:vAlign w:val="center"/>
            <w:hideMark/>
          </w:tcPr>
          <w:p w14:paraId="2BDFE4BB" w14:textId="77777777" w:rsidR="00740FE7" w:rsidRPr="00C36419" w:rsidRDefault="00740FE7" w:rsidP="00022C38">
            <w:pPr>
              <w:jc w:val="center"/>
              <w:rPr>
                <w:rFonts w:ascii="Times New Roman" w:eastAsia="Times New Roman" w:hAnsi="Times New Roman" w:cs="Times New Roman"/>
                <w:b/>
                <w:bCs/>
                <w:color w:val="000000"/>
                <w:sz w:val="20"/>
                <w:szCs w:val="20"/>
                <w:lang w:val="en-IN"/>
              </w:rPr>
            </w:pPr>
            <w:r w:rsidRPr="00C36419">
              <w:rPr>
                <w:rFonts w:ascii="Times New Roman" w:eastAsia="Times New Roman" w:hAnsi="Times New Roman" w:cs="Times New Roman"/>
                <w:b/>
                <w:bCs/>
                <w:color w:val="000000"/>
                <w:sz w:val="20"/>
                <w:szCs w:val="20"/>
                <w:lang w:val="en-IN"/>
              </w:rPr>
              <w:t>Cited by</w:t>
            </w:r>
          </w:p>
        </w:tc>
      </w:tr>
      <w:tr w:rsidR="00740FE7" w:rsidRPr="00C36419" w14:paraId="70F520E3" w14:textId="77777777" w:rsidTr="002738E5">
        <w:trPr>
          <w:trHeight w:val="265"/>
          <w:jc w:val="center"/>
        </w:trPr>
        <w:tc>
          <w:tcPr>
            <w:tcW w:w="1260" w:type="dxa"/>
            <w:tcBorders>
              <w:top w:val="nil"/>
              <w:left w:val="nil"/>
              <w:bottom w:val="nil"/>
              <w:right w:val="nil"/>
            </w:tcBorders>
            <w:shd w:val="clear" w:color="auto" w:fill="auto"/>
            <w:noWrap/>
            <w:vAlign w:val="center"/>
            <w:hideMark/>
          </w:tcPr>
          <w:p w14:paraId="602AF36A"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1</w:t>
            </w:r>
          </w:p>
        </w:tc>
        <w:tc>
          <w:tcPr>
            <w:tcW w:w="3184" w:type="dxa"/>
            <w:tcBorders>
              <w:top w:val="nil"/>
              <w:left w:val="nil"/>
              <w:bottom w:val="nil"/>
              <w:right w:val="nil"/>
            </w:tcBorders>
            <w:shd w:val="clear" w:color="auto" w:fill="auto"/>
            <w:vAlign w:val="center"/>
            <w:hideMark/>
          </w:tcPr>
          <w:p w14:paraId="6AC924EA"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Negri E.; Fumagalli L.; Macchi M.</w:t>
            </w:r>
          </w:p>
        </w:tc>
        <w:tc>
          <w:tcPr>
            <w:tcW w:w="4445" w:type="dxa"/>
            <w:tcBorders>
              <w:top w:val="nil"/>
              <w:left w:val="nil"/>
              <w:bottom w:val="nil"/>
              <w:right w:val="nil"/>
            </w:tcBorders>
            <w:shd w:val="clear" w:color="auto" w:fill="auto"/>
            <w:vAlign w:val="center"/>
            <w:hideMark/>
          </w:tcPr>
          <w:p w14:paraId="419A0511"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A Review of the Roles of Digital Twin in CPS-based Production Systems</w:t>
            </w:r>
          </w:p>
        </w:tc>
        <w:tc>
          <w:tcPr>
            <w:tcW w:w="1481" w:type="dxa"/>
            <w:tcBorders>
              <w:top w:val="nil"/>
              <w:left w:val="nil"/>
              <w:bottom w:val="nil"/>
              <w:right w:val="nil"/>
            </w:tcBorders>
            <w:shd w:val="clear" w:color="auto" w:fill="auto"/>
            <w:noWrap/>
            <w:vAlign w:val="center"/>
            <w:hideMark/>
          </w:tcPr>
          <w:p w14:paraId="4CC131EB"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2017</w:t>
            </w:r>
          </w:p>
        </w:tc>
        <w:tc>
          <w:tcPr>
            <w:tcW w:w="2439" w:type="dxa"/>
            <w:tcBorders>
              <w:top w:val="nil"/>
              <w:left w:val="nil"/>
              <w:bottom w:val="nil"/>
              <w:right w:val="nil"/>
            </w:tcBorders>
            <w:shd w:val="clear" w:color="auto" w:fill="auto"/>
            <w:vAlign w:val="center"/>
            <w:hideMark/>
          </w:tcPr>
          <w:p w14:paraId="2AA4EEEC"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Procedia Manufacturing</w:t>
            </w:r>
          </w:p>
        </w:tc>
        <w:tc>
          <w:tcPr>
            <w:tcW w:w="1481" w:type="dxa"/>
            <w:tcBorders>
              <w:top w:val="nil"/>
              <w:left w:val="nil"/>
              <w:bottom w:val="nil"/>
              <w:right w:val="nil"/>
            </w:tcBorders>
            <w:shd w:val="clear" w:color="auto" w:fill="auto"/>
            <w:noWrap/>
            <w:vAlign w:val="center"/>
            <w:hideMark/>
          </w:tcPr>
          <w:p w14:paraId="146E9274"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1005</w:t>
            </w:r>
          </w:p>
        </w:tc>
      </w:tr>
      <w:tr w:rsidR="00740FE7" w:rsidRPr="00C36419" w14:paraId="2AD6E660" w14:textId="77777777" w:rsidTr="002738E5">
        <w:trPr>
          <w:trHeight w:val="397"/>
          <w:jc w:val="center"/>
        </w:trPr>
        <w:tc>
          <w:tcPr>
            <w:tcW w:w="1260" w:type="dxa"/>
            <w:tcBorders>
              <w:top w:val="nil"/>
              <w:left w:val="nil"/>
              <w:bottom w:val="nil"/>
              <w:right w:val="nil"/>
            </w:tcBorders>
            <w:shd w:val="clear" w:color="auto" w:fill="auto"/>
            <w:noWrap/>
            <w:vAlign w:val="center"/>
            <w:hideMark/>
          </w:tcPr>
          <w:p w14:paraId="06FB9FE0"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w:t>
            </w:r>
          </w:p>
        </w:tc>
        <w:tc>
          <w:tcPr>
            <w:tcW w:w="3184" w:type="dxa"/>
            <w:tcBorders>
              <w:top w:val="nil"/>
              <w:left w:val="nil"/>
              <w:bottom w:val="nil"/>
              <w:right w:val="nil"/>
            </w:tcBorders>
            <w:shd w:val="clear" w:color="auto" w:fill="auto"/>
            <w:vAlign w:val="center"/>
            <w:hideMark/>
          </w:tcPr>
          <w:p w14:paraId="7E310E24"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Qi Q.; Tao F.</w:t>
            </w:r>
          </w:p>
        </w:tc>
        <w:tc>
          <w:tcPr>
            <w:tcW w:w="4445" w:type="dxa"/>
            <w:tcBorders>
              <w:top w:val="nil"/>
              <w:left w:val="nil"/>
              <w:bottom w:val="nil"/>
              <w:right w:val="nil"/>
            </w:tcBorders>
            <w:shd w:val="clear" w:color="auto" w:fill="auto"/>
            <w:vAlign w:val="center"/>
            <w:hideMark/>
          </w:tcPr>
          <w:p w14:paraId="3AF87D01"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Digital Twin and Big Data Towards Smart Manufacturing and Industry 4.0: 360 Degree Comparison</w:t>
            </w:r>
          </w:p>
        </w:tc>
        <w:tc>
          <w:tcPr>
            <w:tcW w:w="1481" w:type="dxa"/>
            <w:tcBorders>
              <w:top w:val="nil"/>
              <w:left w:val="nil"/>
              <w:bottom w:val="nil"/>
              <w:right w:val="nil"/>
            </w:tcBorders>
            <w:shd w:val="clear" w:color="auto" w:fill="auto"/>
            <w:noWrap/>
            <w:vAlign w:val="center"/>
            <w:hideMark/>
          </w:tcPr>
          <w:p w14:paraId="69E06800"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2018</w:t>
            </w:r>
          </w:p>
        </w:tc>
        <w:tc>
          <w:tcPr>
            <w:tcW w:w="2439" w:type="dxa"/>
            <w:tcBorders>
              <w:top w:val="nil"/>
              <w:left w:val="nil"/>
              <w:bottom w:val="nil"/>
              <w:right w:val="nil"/>
            </w:tcBorders>
            <w:shd w:val="clear" w:color="auto" w:fill="auto"/>
            <w:vAlign w:val="center"/>
            <w:hideMark/>
          </w:tcPr>
          <w:p w14:paraId="6102C3A1"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IEEE Access</w:t>
            </w:r>
          </w:p>
        </w:tc>
        <w:tc>
          <w:tcPr>
            <w:tcW w:w="1481" w:type="dxa"/>
            <w:tcBorders>
              <w:top w:val="nil"/>
              <w:left w:val="nil"/>
              <w:bottom w:val="nil"/>
              <w:right w:val="nil"/>
            </w:tcBorders>
            <w:shd w:val="clear" w:color="auto" w:fill="auto"/>
            <w:noWrap/>
            <w:vAlign w:val="center"/>
            <w:hideMark/>
          </w:tcPr>
          <w:p w14:paraId="4217EC74"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954</w:t>
            </w:r>
          </w:p>
        </w:tc>
      </w:tr>
      <w:tr w:rsidR="00740FE7" w:rsidRPr="00C36419" w14:paraId="7D353D10" w14:textId="77777777" w:rsidTr="002738E5">
        <w:trPr>
          <w:trHeight w:val="265"/>
          <w:jc w:val="center"/>
        </w:trPr>
        <w:tc>
          <w:tcPr>
            <w:tcW w:w="1260" w:type="dxa"/>
            <w:tcBorders>
              <w:top w:val="nil"/>
              <w:left w:val="nil"/>
              <w:bottom w:val="nil"/>
              <w:right w:val="nil"/>
            </w:tcBorders>
            <w:shd w:val="clear" w:color="auto" w:fill="auto"/>
            <w:noWrap/>
            <w:vAlign w:val="center"/>
            <w:hideMark/>
          </w:tcPr>
          <w:p w14:paraId="1150A840"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3</w:t>
            </w:r>
          </w:p>
        </w:tc>
        <w:tc>
          <w:tcPr>
            <w:tcW w:w="3184" w:type="dxa"/>
            <w:tcBorders>
              <w:top w:val="nil"/>
              <w:left w:val="nil"/>
              <w:bottom w:val="nil"/>
              <w:right w:val="nil"/>
            </w:tcBorders>
            <w:shd w:val="clear" w:color="auto" w:fill="auto"/>
            <w:vAlign w:val="center"/>
            <w:hideMark/>
          </w:tcPr>
          <w:p w14:paraId="5E535BA4"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Fuller A.; Fan Z.; Day C.; Barlow C.</w:t>
            </w:r>
          </w:p>
        </w:tc>
        <w:tc>
          <w:tcPr>
            <w:tcW w:w="4445" w:type="dxa"/>
            <w:tcBorders>
              <w:top w:val="nil"/>
              <w:left w:val="nil"/>
              <w:bottom w:val="nil"/>
              <w:right w:val="nil"/>
            </w:tcBorders>
            <w:shd w:val="clear" w:color="auto" w:fill="auto"/>
            <w:vAlign w:val="center"/>
            <w:hideMark/>
          </w:tcPr>
          <w:p w14:paraId="3EEF8BDA"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Digital Twin: Enabling Technologies, Challenges and Open Research</w:t>
            </w:r>
          </w:p>
        </w:tc>
        <w:tc>
          <w:tcPr>
            <w:tcW w:w="1481" w:type="dxa"/>
            <w:tcBorders>
              <w:top w:val="nil"/>
              <w:left w:val="nil"/>
              <w:bottom w:val="nil"/>
              <w:right w:val="nil"/>
            </w:tcBorders>
            <w:shd w:val="clear" w:color="auto" w:fill="auto"/>
            <w:noWrap/>
            <w:vAlign w:val="center"/>
            <w:hideMark/>
          </w:tcPr>
          <w:p w14:paraId="06D50BE8"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2020</w:t>
            </w:r>
          </w:p>
        </w:tc>
        <w:tc>
          <w:tcPr>
            <w:tcW w:w="2439" w:type="dxa"/>
            <w:tcBorders>
              <w:top w:val="nil"/>
              <w:left w:val="nil"/>
              <w:bottom w:val="nil"/>
              <w:right w:val="nil"/>
            </w:tcBorders>
            <w:shd w:val="clear" w:color="auto" w:fill="auto"/>
            <w:vAlign w:val="center"/>
            <w:hideMark/>
          </w:tcPr>
          <w:p w14:paraId="3636715D"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IEEE Access</w:t>
            </w:r>
          </w:p>
        </w:tc>
        <w:tc>
          <w:tcPr>
            <w:tcW w:w="1481" w:type="dxa"/>
            <w:tcBorders>
              <w:top w:val="nil"/>
              <w:left w:val="nil"/>
              <w:bottom w:val="nil"/>
              <w:right w:val="nil"/>
            </w:tcBorders>
            <w:shd w:val="clear" w:color="auto" w:fill="auto"/>
            <w:noWrap/>
            <w:vAlign w:val="center"/>
            <w:hideMark/>
          </w:tcPr>
          <w:p w14:paraId="61A7CB75"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862</w:t>
            </w:r>
          </w:p>
        </w:tc>
      </w:tr>
      <w:tr w:rsidR="00740FE7" w:rsidRPr="00C36419" w14:paraId="4BDED68B" w14:textId="77777777" w:rsidTr="002738E5">
        <w:trPr>
          <w:trHeight w:val="265"/>
          <w:jc w:val="center"/>
        </w:trPr>
        <w:tc>
          <w:tcPr>
            <w:tcW w:w="1260" w:type="dxa"/>
            <w:tcBorders>
              <w:top w:val="nil"/>
              <w:left w:val="nil"/>
              <w:bottom w:val="nil"/>
              <w:right w:val="nil"/>
            </w:tcBorders>
            <w:shd w:val="clear" w:color="auto" w:fill="auto"/>
            <w:noWrap/>
            <w:vAlign w:val="center"/>
            <w:hideMark/>
          </w:tcPr>
          <w:p w14:paraId="7E748EC9"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4</w:t>
            </w:r>
          </w:p>
        </w:tc>
        <w:tc>
          <w:tcPr>
            <w:tcW w:w="3184" w:type="dxa"/>
            <w:tcBorders>
              <w:top w:val="nil"/>
              <w:left w:val="nil"/>
              <w:bottom w:val="nil"/>
              <w:right w:val="nil"/>
            </w:tcBorders>
            <w:shd w:val="clear" w:color="auto" w:fill="auto"/>
            <w:vAlign w:val="center"/>
            <w:hideMark/>
          </w:tcPr>
          <w:p w14:paraId="5896BE83"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Tao F.; Zhang M.</w:t>
            </w:r>
          </w:p>
        </w:tc>
        <w:tc>
          <w:tcPr>
            <w:tcW w:w="4445" w:type="dxa"/>
            <w:tcBorders>
              <w:top w:val="nil"/>
              <w:left w:val="nil"/>
              <w:bottom w:val="nil"/>
              <w:right w:val="nil"/>
            </w:tcBorders>
            <w:shd w:val="clear" w:color="auto" w:fill="auto"/>
            <w:vAlign w:val="center"/>
            <w:hideMark/>
          </w:tcPr>
          <w:p w14:paraId="2A178D6B"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 xml:space="preserve">Digital Twin </w:t>
            </w:r>
            <w:proofErr w:type="gramStart"/>
            <w:r w:rsidRPr="00C36419">
              <w:rPr>
                <w:rFonts w:ascii="Times New Roman" w:eastAsia="Times New Roman" w:hAnsi="Times New Roman" w:cs="Times New Roman"/>
                <w:color w:val="000000"/>
                <w:sz w:val="20"/>
                <w:szCs w:val="20"/>
                <w:lang w:val="en-IN"/>
              </w:rPr>
              <w:t>Shop-Floor</w:t>
            </w:r>
            <w:proofErr w:type="gramEnd"/>
            <w:r w:rsidRPr="00C36419">
              <w:rPr>
                <w:rFonts w:ascii="Times New Roman" w:eastAsia="Times New Roman" w:hAnsi="Times New Roman" w:cs="Times New Roman"/>
                <w:color w:val="000000"/>
                <w:sz w:val="20"/>
                <w:szCs w:val="20"/>
                <w:lang w:val="en-IN"/>
              </w:rPr>
              <w:t>: A New Shop-Floor Paradigm Towards Smart Manufacturing</w:t>
            </w:r>
          </w:p>
        </w:tc>
        <w:tc>
          <w:tcPr>
            <w:tcW w:w="1481" w:type="dxa"/>
            <w:tcBorders>
              <w:top w:val="nil"/>
              <w:left w:val="nil"/>
              <w:bottom w:val="nil"/>
              <w:right w:val="nil"/>
            </w:tcBorders>
            <w:shd w:val="clear" w:color="auto" w:fill="auto"/>
            <w:noWrap/>
            <w:vAlign w:val="center"/>
            <w:hideMark/>
          </w:tcPr>
          <w:p w14:paraId="649915F0"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2017</w:t>
            </w:r>
          </w:p>
        </w:tc>
        <w:tc>
          <w:tcPr>
            <w:tcW w:w="2439" w:type="dxa"/>
            <w:tcBorders>
              <w:top w:val="nil"/>
              <w:left w:val="nil"/>
              <w:bottom w:val="nil"/>
              <w:right w:val="nil"/>
            </w:tcBorders>
            <w:shd w:val="clear" w:color="auto" w:fill="auto"/>
            <w:vAlign w:val="center"/>
            <w:hideMark/>
          </w:tcPr>
          <w:p w14:paraId="5FEB90BF"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IEEE Access</w:t>
            </w:r>
          </w:p>
        </w:tc>
        <w:tc>
          <w:tcPr>
            <w:tcW w:w="1481" w:type="dxa"/>
            <w:tcBorders>
              <w:top w:val="nil"/>
              <w:left w:val="nil"/>
              <w:bottom w:val="nil"/>
              <w:right w:val="nil"/>
            </w:tcBorders>
            <w:shd w:val="clear" w:color="auto" w:fill="auto"/>
            <w:noWrap/>
            <w:vAlign w:val="center"/>
            <w:hideMark/>
          </w:tcPr>
          <w:p w14:paraId="6B1CD330"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853</w:t>
            </w:r>
          </w:p>
        </w:tc>
      </w:tr>
      <w:tr w:rsidR="00740FE7" w:rsidRPr="00C36419" w14:paraId="3370652B" w14:textId="77777777" w:rsidTr="002738E5">
        <w:trPr>
          <w:trHeight w:val="397"/>
          <w:jc w:val="center"/>
        </w:trPr>
        <w:tc>
          <w:tcPr>
            <w:tcW w:w="1260" w:type="dxa"/>
            <w:tcBorders>
              <w:top w:val="nil"/>
              <w:left w:val="nil"/>
              <w:bottom w:val="nil"/>
              <w:right w:val="nil"/>
            </w:tcBorders>
            <w:shd w:val="clear" w:color="auto" w:fill="auto"/>
            <w:noWrap/>
            <w:vAlign w:val="center"/>
            <w:hideMark/>
          </w:tcPr>
          <w:p w14:paraId="3ED960F2"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5</w:t>
            </w:r>
          </w:p>
        </w:tc>
        <w:tc>
          <w:tcPr>
            <w:tcW w:w="3184" w:type="dxa"/>
            <w:tcBorders>
              <w:top w:val="nil"/>
              <w:left w:val="nil"/>
              <w:bottom w:val="nil"/>
              <w:right w:val="nil"/>
            </w:tcBorders>
            <w:shd w:val="clear" w:color="auto" w:fill="auto"/>
            <w:vAlign w:val="center"/>
            <w:hideMark/>
          </w:tcPr>
          <w:p w14:paraId="34690493"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Lu Y.; Liu C.; Wang K.I.-K.; Huang H.; Xu X.</w:t>
            </w:r>
          </w:p>
        </w:tc>
        <w:tc>
          <w:tcPr>
            <w:tcW w:w="4445" w:type="dxa"/>
            <w:tcBorders>
              <w:top w:val="nil"/>
              <w:left w:val="nil"/>
              <w:bottom w:val="nil"/>
              <w:right w:val="nil"/>
            </w:tcBorders>
            <w:shd w:val="clear" w:color="auto" w:fill="auto"/>
            <w:vAlign w:val="center"/>
            <w:hideMark/>
          </w:tcPr>
          <w:p w14:paraId="3BE13B04"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Digital Twin-driven smart manufacturing: Connotation, reference model, applications and research issues</w:t>
            </w:r>
          </w:p>
        </w:tc>
        <w:tc>
          <w:tcPr>
            <w:tcW w:w="1481" w:type="dxa"/>
            <w:tcBorders>
              <w:top w:val="nil"/>
              <w:left w:val="nil"/>
              <w:bottom w:val="nil"/>
              <w:right w:val="nil"/>
            </w:tcBorders>
            <w:shd w:val="clear" w:color="auto" w:fill="auto"/>
            <w:noWrap/>
            <w:vAlign w:val="center"/>
            <w:hideMark/>
          </w:tcPr>
          <w:p w14:paraId="4AA1EA76"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2020</w:t>
            </w:r>
          </w:p>
        </w:tc>
        <w:tc>
          <w:tcPr>
            <w:tcW w:w="2439" w:type="dxa"/>
            <w:tcBorders>
              <w:top w:val="nil"/>
              <w:left w:val="nil"/>
              <w:bottom w:val="nil"/>
              <w:right w:val="nil"/>
            </w:tcBorders>
            <w:shd w:val="clear" w:color="auto" w:fill="auto"/>
            <w:vAlign w:val="center"/>
            <w:hideMark/>
          </w:tcPr>
          <w:p w14:paraId="40AC7AD2"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Robotics and Computer-Integrated Manufacturing</w:t>
            </w:r>
          </w:p>
        </w:tc>
        <w:tc>
          <w:tcPr>
            <w:tcW w:w="1481" w:type="dxa"/>
            <w:tcBorders>
              <w:top w:val="nil"/>
              <w:left w:val="nil"/>
              <w:bottom w:val="nil"/>
              <w:right w:val="nil"/>
            </w:tcBorders>
            <w:shd w:val="clear" w:color="auto" w:fill="auto"/>
            <w:noWrap/>
            <w:vAlign w:val="center"/>
            <w:hideMark/>
          </w:tcPr>
          <w:p w14:paraId="33F0AED8"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759</w:t>
            </w:r>
          </w:p>
        </w:tc>
      </w:tr>
      <w:tr w:rsidR="00740FE7" w:rsidRPr="00C36419" w14:paraId="53DC09A3" w14:textId="77777777" w:rsidTr="002738E5">
        <w:trPr>
          <w:trHeight w:val="265"/>
          <w:jc w:val="center"/>
        </w:trPr>
        <w:tc>
          <w:tcPr>
            <w:tcW w:w="1260" w:type="dxa"/>
            <w:tcBorders>
              <w:top w:val="nil"/>
              <w:left w:val="nil"/>
              <w:bottom w:val="nil"/>
              <w:right w:val="nil"/>
            </w:tcBorders>
            <w:shd w:val="clear" w:color="auto" w:fill="auto"/>
            <w:noWrap/>
            <w:vAlign w:val="center"/>
            <w:hideMark/>
          </w:tcPr>
          <w:p w14:paraId="79E5EE25"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6</w:t>
            </w:r>
          </w:p>
        </w:tc>
        <w:tc>
          <w:tcPr>
            <w:tcW w:w="3184" w:type="dxa"/>
            <w:tcBorders>
              <w:top w:val="nil"/>
              <w:left w:val="nil"/>
              <w:bottom w:val="nil"/>
              <w:right w:val="nil"/>
            </w:tcBorders>
            <w:shd w:val="clear" w:color="auto" w:fill="auto"/>
            <w:vAlign w:val="center"/>
            <w:hideMark/>
          </w:tcPr>
          <w:p w14:paraId="04EE053F"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 xml:space="preserve">Uhlemann T.H.-J.; Lehmann C.; </w:t>
            </w:r>
            <w:proofErr w:type="spellStart"/>
            <w:r w:rsidRPr="00C36419">
              <w:rPr>
                <w:rFonts w:ascii="Times New Roman" w:eastAsia="Times New Roman" w:hAnsi="Times New Roman" w:cs="Times New Roman"/>
                <w:color w:val="000000"/>
                <w:sz w:val="20"/>
                <w:szCs w:val="20"/>
                <w:lang w:val="en-IN"/>
              </w:rPr>
              <w:t>Steinhilper</w:t>
            </w:r>
            <w:proofErr w:type="spellEnd"/>
            <w:r w:rsidRPr="00C36419">
              <w:rPr>
                <w:rFonts w:ascii="Times New Roman" w:eastAsia="Times New Roman" w:hAnsi="Times New Roman" w:cs="Times New Roman"/>
                <w:color w:val="000000"/>
                <w:sz w:val="20"/>
                <w:szCs w:val="20"/>
                <w:lang w:val="en-IN"/>
              </w:rPr>
              <w:t xml:space="preserve"> R.</w:t>
            </w:r>
          </w:p>
        </w:tc>
        <w:tc>
          <w:tcPr>
            <w:tcW w:w="4445" w:type="dxa"/>
            <w:tcBorders>
              <w:top w:val="nil"/>
              <w:left w:val="nil"/>
              <w:bottom w:val="nil"/>
              <w:right w:val="nil"/>
            </w:tcBorders>
            <w:shd w:val="clear" w:color="auto" w:fill="auto"/>
            <w:vAlign w:val="center"/>
            <w:hideMark/>
          </w:tcPr>
          <w:p w14:paraId="3A4BE27B"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The Digital Twin: Realizing the Cyber-Physical Production System for Industry 4.0</w:t>
            </w:r>
          </w:p>
        </w:tc>
        <w:tc>
          <w:tcPr>
            <w:tcW w:w="1481" w:type="dxa"/>
            <w:tcBorders>
              <w:top w:val="nil"/>
              <w:left w:val="nil"/>
              <w:bottom w:val="nil"/>
              <w:right w:val="nil"/>
            </w:tcBorders>
            <w:shd w:val="clear" w:color="auto" w:fill="auto"/>
            <w:noWrap/>
            <w:vAlign w:val="center"/>
            <w:hideMark/>
          </w:tcPr>
          <w:p w14:paraId="0C3C630D"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2017</w:t>
            </w:r>
          </w:p>
        </w:tc>
        <w:tc>
          <w:tcPr>
            <w:tcW w:w="2439" w:type="dxa"/>
            <w:tcBorders>
              <w:top w:val="nil"/>
              <w:left w:val="nil"/>
              <w:bottom w:val="nil"/>
              <w:right w:val="nil"/>
            </w:tcBorders>
            <w:shd w:val="clear" w:color="auto" w:fill="auto"/>
            <w:vAlign w:val="center"/>
            <w:hideMark/>
          </w:tcPr>
          <w:p w14:paraId="03B09F73"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Procedia CIRP</w:t>
            </w:r>
          </w:p>
        </w:tc>
        <w:tc>
          <w:tcPr>
            <w:tcW w:w="1481" w:type="dxa"/>
            <w:tcBorders>
              <w:top w:val="nil"/>
              <w:left w:val="nil"/>
              <w:bottom w:val="nil"/>
              <w:right w:val="nil"/>
            </w:tcBorders>
            <w:shd w:val="clear" w:color="auto" w:fill="auto"/>
            <w:noWrap/>
            <w:vAlign w:val="center"/>
            <w:hideMark/>
          </w:tcPr>
          <w:p w14:paraId="29E1BB52"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699</w:t>
            </w:r>
          </w:p>
        </w:tc>
      </w:tr>
      <w:tr w:rsidR="00740FE7" w:rsidRPr="00C36419" w14:paraId="76F99E1C" w14:textId="77777777" w:rsidTr="002738E5">
        <w:trPr>
          <w:trHeight w:val="397"/>
          <w:jc w:val="center"/>
        </w:trPr>
        <w:tc>
          <w:tcPr>
            <w:tcW w:w="1260" w:type="dxa"/>
            <w:tcBorders>
              <w:top w:val="nil"/>
              <w:left w:val="nil"/>
              <w:bottom w:val="nil"/>
              <w:right w:val="nil"/>
            </w:tcBorders>
            <w:shd w:val="clear" w:color="auto" w:fill="auto"/>
            <w:noWrap/>
            <w:vAlign w:val="center"/>
            <w:hideMark/>
          </w:tcPr>
          <w:p w14:paraId="3B6A8BAE"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7</w:t>
            </w:r>
          </w:p>
        </w:tc>
        <w:tc>
          <w:tcPr>
            <w:tcW w:w="3184" w:type="dxa"/>
            <w:tcBorders>
              <w:top w:val="nil"/>
              <w:left w:val="nil"/>
              <w:bottom w:val="nil"/>
              <w:right w:val="nil"/>
            </w:tcBorders>
            <w:shd w:val="clear" w:color="auto" w:fill="auto"/>
            <w:vAlign w:val="center"/>
            <w:hideMark/>
          </w:tcPr>
          <w:p w14:paraId="017D6769"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Tao F.; Qi Q.; Wang L.; Nee A.Y.C.</w:t>
            </w:r>
          </w:p>
        </w:tc>
        <w:tc>
          <w:tcPr>
            <w:tcW w:w="4445" w:type="dxa"/>
            <w:tcBorders>
              <w:top w:val="nil"/>
              <w:left w:val="nil"/>
              <w:bottom w:val="nil"/>
              <w:right w:val="nil"/>
            </w:tcBorders>
            <w:shd w:val="clear" w:color="auto" w:fill="auto"/>
            <w:vAlign w:val="center"/>
            <w:hideMark/>
          </w:tcPr>
          <w:p w14:paraId="42F4C86A"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Digital Twins and Cyber–Physical Systems toward Smart Manufacturing and Industry 4.0: Correlation and Comparison</w:t>
            </w:r>
          </w:p>
        </w:tc>
        <w:tc>
          <w:tcPr>
            <w:tcW w:w="1481" w:type="dxa"/>
            <w:tcBorders>
              <w:top w:val="nil"/>
              <w:left w:val="nil"/>
              <w:bottom w:val="nil"/>
              <w:right w:val="nil"/>
            </w:tcBorders>
            <w:shd w:val="clear" w:color="auto" w:fill="auto"/>
            <w:noWrap/>
            <w:vAlign w:val="center"/>
            <w:hideMark/>
          </w:tcPr>
          <w:p w14:paraId="43B956DC"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2019</w:t>
            </w:r>
          </w:p>
        </w:tc>
        <w:tc>
          <w:tcPr>
            <w:tcW w:w="2439" w:type="dxa"/>
            <w:tcBorders>
              <w:top w:val="nil"/>
              <w:left w:val="nil"/>
              <w:bottom w:val="nil"/>
              <w:right w:val="nil"/>
            </w:tcBorders>
            <w:shd w:val="clear" w:color="auto" w:fill="auto"/>
            <w:vAlign w:val="center"/>
            <w:hideMark/>
          </w:tcPr>
          <w:p w14:paraId="38461EBF"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Engineering</w:t>
            </w:r>
          </w:p>
        </w:tc>
        <w:tc>
          <w:tcPr>
            <w:tcW w:w="1481" w:type="dxa"/>
            <w:tcBorders>
              <w:top w:val="nil"/>
              <w:left w:val="nil"/>
              <w:bottom w:val="nil"/>
              <w:right w:val="nil"/>
            </w:tcBorders>
            <w:shd w:val="clear" w:color="auto" w:fill="auto"/>
            <w:noWrap/>
            <w:vAlign w:val="center"/>
            <w:hideMark/>
          </w:tcPr>
          <w:p w14:paraId="751663A5"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647</w:t>
            </w:r>
          </w:p>
        </w:tc>
      </w:tr>
      <w:tr w:rsidR="00740FE7" w:rsidRPr="00C36419" w14:paraId="73839108" w14:textId="77777777" w:rsidTr="002738E5">
        <w:trPr>
          <w:trHeight w:val="530"/>
          <w:jc w:val="center"/>
        </w:trPr>
        <w:tc>
          <w:tcPr>
            <w:tcW w:w="1260" w:type="dxa"/>
            <w:tcBorders>
              <w:top w:val="nil"/>
              <w:left w:val="nil"/>
              <w:bottom w:val="nil"/>
              <w:right w:val="nil"/>
            </w:tcBorders>
            <w:shd w:val="clear" w:color="auto" w:fill="auto"/>
            <w:noWrap/>
            <w:vAlign w:val="center"/>
            <w:hideMark/>
          </w:tcPr>
          <w:p w14:paraId="61338B09"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8</w:t>
            </w:r>
          </w:p>
        </w:tc>
        <w:tc>
          <w:tcPr>
            <w:tcW w:w="3184" w:type="dxa"/>
            <w:tcBorders>
              <w:top w:val="nil"/>
              <w:left w:val="nil"/>
              <w:bottom w:val="nil"/>
              <w:right w:val="nil"/>
            </w:tcBorders>
            <w:shd w:val="clear" w:color="auto" w:fill="auto"/>
            <w:vAlign w:val="center"/>
            <w:hideMark/>
          </w:tcPr>
          <w:p w14:paraId="1169C3A5" w14:textId="77777777" w:rsidR="00740FE7" w:rsidRPr="00C36419" w:rsidRDefault="00740FE7" w:rsidP="00022C38">
            <w:pPr>
              <w:rPr>
                <w:rFonts w:ascii="Times New Roman" w:eastAsia="Times New Roman" w:hAnsi="Times New Roman" w:cs="Times New Roman"/>
                <w:color w:val="000000"/>
                <w:sz w:val="20"/>
                <w:szCs w:val="20"/>
                <w:lang w:val="en-IN"/>
              </w:rPr>
            </w:pPr>
            <w:proofErr w:type="spellStart"/>
            <w:r w:rsidRPr="00C36419">
              <w:rPr>
                <w:rFonts w:ascii="Times New Roman" w:eastAsia="Times New Roman" w:hAnsi="Times New Roman" w:cs="Times New Roman"/>
                <w:color w:val="000000"/>
                <w:sz w:val="20"/>
                <w:szCs w:val="20"/>
                <w:lang w:val="en-IN"/>
              </w:rPr>
              <w:t>Maddikunta</w:t>
            </w:r>
            <w:proofErr w:type="spellEnd"/>
            <w:r w:rsidRPr="00C36419">
              <w:rPr>
                <w:rFonts w:ascii="Times New Roman" w:eastAsia="Times New Roman" w:hAnsi="Times New Roman" w:cs="Times New Roman"/>
                <w:color w:val="000000"/>
                <w:sz w:val="20"/>
                <w:szCs w:val="20"/>
                <w:lang w:val="en-IN"/>
              </w:rPr>
              <w:t xml:space="preserve"> P.K.R.; Pham Q.-V.; B P.; Deepa N.; Dev K.; </w:t>
            </w:r>
            <w:proofErr w:type="spellStart"/>
            <w:r w:rsidRPr="00C36419">
              <w:rPr>
                <w:rFonts w:ascii="Times New Roman" w:eastAsia="Times New Roman" w:hAnsi="Times New Roman" w:cs="Times New Roman"/>
                <w:color w:val="000000"/>
                <w:sz w:val="20"/>
                <w:szCs w:val="20"/>
                <w:lang w:val="en-IN"/>
              </w:rPr>
              <w:t>Gadekallu</w:t>
            </w:r>
            <w:proofErr w:type="spellEnd"/>
            <w:r w:rsidRPr="00C36419">
              <w:rPr>
                <w:rFonts w:ascii="Times New Roman" w:eastAsia="Times New Roman" w:hAnsi="Times New Roman" w:cs="Times New Roman"/>
                <w:color w:val="000000"/>
                <w:sz w:val="20"/>
                <w:szCs w:val="20"/>
                <w:lang w:val="en-IN"/>
              </w:rPr>
              <w:t xml:space="preserve"> T.R.; Ruby R.; Liyanage M.</w:t>
            </w:r>
          </w:p>
        </w:tc>
        <w:tc>
          <w:tcPr>
            <w:tcW w:w="4445" w:type="dxa"/>
            <w:tcBorders>
              <w:top w:val="nil"/>
              <w:left w:val="nil"/>
              <w:bottom w:val="nil"/>
              <w:right w:val="nil"/>
            </w:tcBorders>
            <w:shd w:val="clear" w:color="auto" w:fill="auto"/>
            <w:vAlign w:val="center"/>
            <w:hideMark/>
          </w:tcPr>
          <w:p w14:paraId="21834F95"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Industry 5.0: A survey on enabling technologies and potential applications</w:t>
            </w:r>
          </w:p>
        </w:tc>
        <w:tc>
          <w:tcPr>
            <w:tcW w:w="1481" w:type="dxa"/>
            <w:tcBorders>
              <w:top w:val="nil"/>
              <w:left w:val="nil"/>
              <w:bottom w:val="nil"/>
              <w:right w:val="nil"/>
            </w:tcBorders>
            <w:shd w:val="clear" w:color="auto" w:fill="auto"/>
            <w:noWrap/>
            <w:vAlign w:val="center"/>
            <w:hideMark/>
          </w:tcPr>
          <w:p w14:paraId="4590DB46"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2022</w:t>
            </w:r>
          </w:p>
        </w:tc>
        <w:tc>
          <w:tcPr>
            <w:tcW w:w="2439" w:type="dxa"/>
            <w:tcBorders>
              <w:top w:val="nil"/>
              <w:left w:val="nil"/>
              <w:bottom w:val="nil"/>
              <w:right w:val="nil"/>
            </w:tcBorders>
            <w:shd w:val="clear" w:color="auto" w:fill="auto"/>
            <w:vAlign w:val="center"/>
            <w:hideMark/>
          </w:tcPr>
          <w:p w14:paraId="6138E598"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Journal of Industrial Information Integration</w:t>
            </w:r>
          </w:p>
        </w:tc>
        <w:tc>
          <w:tcPr>
            <w:tcW w:w="1481" w:type="dxa"/>
            <w:tcBorders>
              <w:top w:val="nil"/>
              <w:left w:val="nil"/>
              <w:bottom w:val="nil"/>
              <w:right w:val="nil"/>
            </w:tcBorders>
            <w:shd w:val="clear" w:color="auto" w:fill="auto"/>
            <w:noWrap/>
            <w:vAlign w:val="center"/>
            <w:hideMark/>
          </w:tcPr>
          <w:p w14:paraId="5ECCD7E7"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553</w:t>
            </w:r>
          </w:p>
        </w:tc>
      </w:tr>
      <w:tr w:rsidR="00740FE7" w:rsidRPr="00C36419" w14:paraId="6B02CF11" w14:textId="77777777" w:rsidTr="002738E5">
        <w:trPr>
          <w:trHeight w:val="397"/>
          <w:jc w:val="center"/>
        </w:trPr>
        <w:tc>
          <w:tcPr>
            <w:tcW w:w="1260" w:type="dxa"/>
            <w:tcBorders>
              <w:top w:val="nil"/>
              <w:left w:val="nil"/>
              <w:bottom w:val="nil"/>
              <w:right w:val="nil"/>
            </w:tcBorders>
            <w:shd w:val="clear" w:color="auto" w:fill="auto"/>
            <w:noWrap/>
            <w:vAlign w:val="center"/>
            <w:hideMark/>
          </w:tcPr>
          <w:p w14:paraId="195FD120"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9</w:t>
            </w:r>
          </w:p>
        </w:tc>
        <w:tc>
          <w:tcPr>
            <w:tcW w:w="3184" w:type="dxa"/>
            <w:tcBorders>
              <w:top w:val="nil"/>
              <w:left w:val="nil"/>
              <w:bottom w:val="nil"/>
              <w:right w:val="nil"/>
            </w:tcBorders>
            <w:shd w:val="clear" w:color="auto" w:fill="auto"/>
            <w:vAlign w:val="center"/>
            <w:hideMark/>
          </w:tcPr>
          <w:p w14:paraId="0BE67DCA"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 xml:space="preserve">Ivanov D.; </w:t>
            </w:r>
            <w:proofErr w:type="spellStart"/>
            <w:r w:rsidRPr="00C36419">
              <w:rPr>
                <w:rFonts w:ascii="Times New Roman" w:eastAsia="Times New Roman" w:hAnsi="Times New Roman" w:cs="Times New Roman"/>
                <w:color w:val="000000"/>
                <w:sz w:val="20"/>
                <w:szCs w:val="20"/>
                <w:lang w:val="en-IN"/>
              </w:rPr>
              <w:t>Dolgui</w:t>
            </w:r>
            <w:proofErr w:type="spellEnd"/>
            <w:r w:rsidRPr="00C36419">
              <w:rPr>
                <w:rFonts w:ascii="Times New Roman" w:eastAsia="Times New Roman" w:hAnsi="Times New Roman" w:cs="Times New Roman"/>
                <w:color w:val="000000"/>
                <w:sz w:val="20"/>
                <w:szCs w:val="20"/>
                <w:lang w:val="en-IN"/>
              </w:rPr>
              <w:t xml:space="preserve"> A.</w:t>
            </w:r>
          </w:p>
        </w:tc>
        <w:tc>
          <w:tcPr>
            <w:tcW w:w="4445" w:type="dxa"/>
            <w:tcBorders>
              <w:top w:val="nil"/>
              <w:left w:val="nil"/>
              <w:bottom w:val="nil"/>
              <w:right w:val="nil"/>
            </w:tcBorders>
            <w:shd w:val="clear" w:color="auto" w:fill="auto"/>
            <w:vAlign w:val="center"/>
            <w:hideMark/>
          </w:tcPr>
          <w:p w14:paraId="24745499"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A digital supply chain twin for managing the disruption risks and resilience in the era of Industry 4.0</w:t>
            </w:r>
          </w:p>
        </w:tc>
        <w:tc>
          <w:tcPr>
            <w:tcW w:w="1481" w:type="dxa"/>
            <w:tcBorders>
              <w:top w:val="nil"/>
              <w:left w:val="nil"/>
              <w:bottom w:val="nil"/>
              <w:right w:val="nil"/>
            </w:tcBorders>
            <w:shd w:val="clear" w:color="auto" w:fill="auto"/>
            <w:noWrap/>
            <w:vAlign w:val="center"/>
            <w:hideMark/>
          </w:tcPr>
          <w:p w14:paraId="1DDE3D7D"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2021</w:t>
            </w:r>
          </w:p>
        </w:tc>
        <w:tc>
          <w:tcPr>
            <w:tcW w:w="2439" w:type="dxa"/>
            <w:tcBorders>
              <w:top w:val="nil"/>
              <w:left w:val="nil"/>
              <w:bottom w:val="nil"/>
              <w:right w:val="nil"/>
            </w:tcBorders>
            <w:shd w:val="clear" w:color="auto" w:fill="auto"/>
            <w:vAlign w:val="center"/>
            <w:hideMark/>
          </w:tcPr>
          <w:p w14:paraId="71E997F5"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Production Planning and Control</w:t>
            </w:r>
          </w:p>
        </w:tc>
        <w:tc>
          <w:tcPr>
            <w:tcW w:w="1481" w:type="dxa"/>
            <w:tcBorders>
              <w:top w:val="nil"/>
              <w:left w:val="nil"/>
              <w:bottom w:val="nil"/>
              <w:right w:val="nil"/>
            </w:tcBorders>
            <w:shd w:val="clear" w:color="auto" w:fill="auto"/>
            <w:noWrap/>
            <w:vAlign w:val="center"/>
            <w:hideMark/>
          </w:tcPr>
          <w:p w14:paraId="29779102"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498</w:t>
            </w:r>
          </w:p>
        </w:tc>
      </w:tr>
      <w:tr w:rsidR="00740FE7" w:rsidRPr="00C36419" w14:paraId="7B1545B9" w14:textId="77777777" w:rsidTr="002738E5">
        <w:trPr>
          <w:trHeight w:val="274"/>
          <w:jc w:val="center"/>
        </w:trPr>
        <w:tc>
          <w:tcPr>
            <w:tcW w:w="1260" w:type="dxa"/>
            <w:tcBorders>
              <w:top w:val="nil"/>
              <w:left w:val="nil"/>
              <w:bottom w:val="single" w:sz="8" w:space="0" w:color="auto"/>
              <w:right w:val="nil"/>
            </w:tcBorders>
            <w:shd w:val="clear" w:color="auto" w:fill="auto"/>
            <w:noWrap/>
            <w:vAlign w:val="center"/>
            <w:hideMark/>
          </w:tcPr>
          <w:p w14:paraId="65CEBB1B"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10</w:t>
            </w:r>
          </w:p>
        </w:tc>
        <w:tc>
          <w:tcPr>
            <w:tcW w:w="3184" w:type="dxa"/>
            <w:tcBorders>
              <w:top w:val="nil"/>
              <w:left w:val="nil"/>
              <w:bottom w:val="single" w:sz="8" w:space="0" w:color="auto"/>
              <w:right w:val="nil"/>
            </w:tcBorders>
            <w:shd w:val="clear" w:color="auto" w:fill="auto"/>
            <w:vAlign w:val="center"/>
            <w:hideMark/>
          </w:tcPr>
          <w:p w14:paraId="46ECE56E"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Cimino C.; Negri E.; Fumagalli L.</w:t>
            </w:r>
          </w:p>
        </w:tc>
        <w:tc>
          <w:tcPr>
            <w:tcW w:w="4445" w:type="dxa"/>
            <w:tcBorders>
              <w:top w:val="nil"/>
              <w:left w:val="nil"/>
              <w:bottom w:val="single" w:sz="8" w:space="0" w:color="auto"/>
              <w:right w:val="nil"/>
            </w:tcBorders>
            <w:shd w:val="clear" w:color="auto" w:fill="auto"/>
            <w:vAlign w:val="center"/>
            <w:hideMark/>
          </w:tcPr>
          <w:p w14:paraId="092A9903"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Review of digital twin applications in manufacturing</w:t>
            </w:r>
          </w:p>
        </w:tc>
        <w:tc>
          <w:tcPr>
            <w:tcW w:w="1481" w:type="dxa"/>
            <w:tcBorders>
              <w:top w:val="nil"/>
              <w:left w:val="nil"/>
              <w:bottom w:val="single" w:sz="8" w:space="0" w:color="auto"/>
              <w:right w:val="nil"/>
            </w:tcBorders>
            <w:shd w:val="clear" w:color="auto" w:fill="auto"/>
            <w:noWrap/>
            <w:vAlign w:val="center"/>
            <w:hideMark/>
          </w:tcPr>
          <w:p w14:paraId="423CB8B8"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2019</w:t>
            </w:r>
          </w:p>
        </w:tc>
        <w:tc>
          <w:tcPr>
            <w:tcW w:w="2439" w:type="dxa"/>
            <w:tcBorders>
              <w:top w:val="nil"/>
              <w:left w:val="nil"/>
              <w:bottom w:val="single" w:sz="8" w:space="0" w:color="auto"/>
              <w:right w:val="nil"/>
            </w:tcBorders>
            <w:shd w:val="clear" w:color="auto" w:fill="auto"/>
            <w:vAlign w:val="center"/>
            <w:hideMark/>
          </w:tcPr>
          <w:p w14:paraId="2E874043" w14:textId="77777777" w:rsidR="00740FE7" w:rsidRPr="00C36419" w:rsidRDefault="00740FE7" w:rsidP="00022C38">
            <w:pP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Computers in Industry</w:t>
            </w:r>
          </w:p>
        </w:tc>
        <w:tc>
          <w:tcPr>
            <w:tcW w:w="1481" w:type="dxa"/>
            <w:tcBorders>
              <w:top w:val="nil"/>
              <w:left w:val="nil"/>
              <w:bottom w:val="single" w:sz="8" w:space="0" w:color="auto"/>
              <w:right w:val="nil"/>
            </w:tcBorders>
            <w:shd w:val="clear" w:color="auto" w:fill="auto"/>
            <w:noWrap/>
            <w:vAlign w:val="center"/>
            <w:hideMark/>
          </w:tcPr>
          <w:p w14:paraId="15B926E1" w14:textId="77777777" w:rsidR="00740FE7" w:rsidRPr="00C36419" w:rsidRDefault="00740FE7" w:rsidP="00022C38">
            <w:pPr>
              <w:jc w:val="center"/>
              <w:rPr>
                <w:rFonts w:ascii="Times New Roman" w:eastAsia="Times New Roman" w:hAnsi="Times New Roman" w:cs="Times New Roman"/>
                <w:color w:val="000000"/>
                <w:sz w:val="20"/>
                <w:szCs w:val="20"/>
                <w:lang w:val="en-IN"/>
              </w:rPr>
            </w:pPr>
            <w:r w:rsidRPr="00C36419">
              <w:rPr>
                <w:rFonts w:ascii="Times New Roman" w:eastAsia="Times New Roman" w:hAnsi="Times New Roman" w:cs="Times New Roman"/>
                <w:color w:val="000000"/>
                <w:sz w:val="20"/>
                <w:szCs w:val="20"/>
                <w:lang w:val="en-IN"/>
              </w:rPr>
              <w:t>431</w:t>
            </w:r>
          </w:p>
        </w:tc>
      </w:tr>
    </w:tbl>
    <w:p w14:paraId="7A20CF0D" w14:textId="77777777" w:rsidR="00740FE7" w:rsidRPr="00C36419" w:rsidRDefault="00740FE7" w:rsidP="00740FE7">
      <w:pPr>
        <w:jc w:val="center"/>
        <w:rPr>
          <w:rFonts w:ascii="Times New Roman" w:hAnsi="Times New Roman" w:cs="Times New Roman"/>
          <w:sz w:val="20"/>
          <w:szCs w:val="20"/>
        </w:rPr>
      </w:pPr>
    </w:p>
    <w:p w14:paraId="57B427DF" w14:textId="77777777" w:rsidR="00740FE7" w:rsidRPr="00C36419" w:rsidRDefault="00740FE7" w:rsidP="00740FE7">
      <w:pPr>
        <w:jc w:val="both"/>
        <w:rPr>
          <w:rFonts w:ascii="Times New Roman" w:hAnsi="Times New Roman" w:cs="Times New Roman"/>
        </w:rPr>
      </w:pPr>
    </w:p>
    <w:bookmarkEnd w:id="1"/>
    <w:p w14:paraId="356A837C" w14:textId="77777777" w:rsidR="00740FE7" w:rsidRPr="00C36419" w:rsidRDefault="00740FE7" w:rsidP="00740FE7">
      <w:pPr>
        <w:jc w:val="both"/>
        <w:rPr>
          <w:rFonts w:ascii="Times New Roman" w:hAnsi="Times New Roman" w:cs="Times New Roman"/>
        </w:rPr>
        <w:sectPr w:rsidR="00740FE7" w:rsidRPr="00C36419" w:rsidSect="00740FE7">
          <w:pgSz w:w="16840" w:h="11900" w:orient="landscape"/>
          <w:pgMar w:top="1440" w:right="1440" w:bottom="1440" w:left="1440" w:header="708" w:footer="708" w:gutter="0"/>
          <w:cols w:space="708"/>
          <w:docGrid w:linePitch="360"/>
        </w:sectPr>
      </w:pPr>
    </w:p>
    <w:p w14:paraId="02DFDB26" w14:textId="12DDB4CE" w:rsidR="005F6A61" w:rsidRPr="0012787A" w:rsidRDefault="005F6A61" w:rsidP="005F6A61">
      <w:pPr>
        <w:pStyle w:val="Heading1"/>
        <w:rPr>
          <w:rFonts w:asciiTheme="majorBidi" w:hAnsiTheme="majorBidi" w:cstheme="majorBidi"/>
        </w:rPr>
      </w:pPr>
      <w:r w:rsidRPr="0012787A">
        <w:rPr>
          <w:rFonts w:asciiTheme="majorBidi" w:hAnsiTheme="majorBidi" w:cstheme="majorBidi"/>
        </w:rPr>
        <w:lastRenderedPageBreak/>
        <w:t>Review of Extracted Research</w:t>
      </w:r>
    </w:p>
    <w:p w14:paraId="60E6E2AC" w14:textId="77777777" w:rsidR="005F6A61" w:rsidRPr="0012787A" w:rsidRDefault="005F6A61" w:rsidP="00454157">
      <w:pPr>
        <w:pStyle w:val="Heading2"/>
        <w:numPr>
          <w:ilvl w:val="0"/>
          <w:numId w:val="0"/>
        </w:numPr>
        <w:rPr>
          <w:rFonts w:asciiTheme="majorBidi" w:hAnsiTheme="majorBidi" w:cstheme="majorBidi"/>
        </w:rPr>
      </w:pPr>
      <w:r w:rsidRPr="0012787A">
        <w:rPr>
          <w:rFonts w:asciiTheme="majorBidi" w:hAnsiTheme="majorBidi" w:cstheme="majorBidi"/>
        </w:rPr>
        <w:t>4.1 Enabling Technologies for HDT</w:t>
      </w:r>
    </w:p>
    <w:p w14:paraId="2981EA6A" w14:textId="0838C439" w:rsidR="00163D93" w:rsidRPr="0012787A" w:rsidRDefault="005F6A61" w:rsidP="008718DD">
      <w:pPr>
        <w:pStyle w:val="normaltext"/>
        <w:ind w:firstLine="288"/>
        <w:rPr>
          <w:rFonts w:asciiTheme="majorBidi" w:hAnsiTheme="majorBidi" w:cstheme="majorBidi"/>
        </w:rPr>
      </w:pPr>
      <w:r w:rsidRPr="0012787A">
        <w:rPr>
          <w:rFonts w:asciiTheme="majorBidi" w:hAnsiTheme="majorBidi" w:cstheme="majorBidi"/>
        </w:rPr>
        <w:t xml:space="preserve">The efficacy of HDT integration in Industry 5.0 is predominantly contingent upon the seamless and strategic deployment of many enabling technologies </w:t>
      </w:r>
      <w:r w:rsidRPr="0012787A">
        <w:rPr>
          <w:rFonts w:asciiTheme="majorBidi" w:hAnsiTheme="majorBidi" w:cstheme="majorBidi"/>
        </w:rPr>
        <w:fldChar w:fldCharType="begin" w:fldLock="1"/>
      </w:r>
      <w:r w:rsidRPr="0012787A">
        <w:rPr>
          <w:rFonts w:asciiTheme="majorBidi" w:hAnsiTheme="majorBidi" w:cstheme="majorBidi"/>
        </w:rPr>
        <w:instrText>ADDIN CSL_CITATION {"citationItems":[{"id":"ITEM-1","itemData":{"DOI":"10.1186/s10033-022-00680-w","ISSN":"21928258","author":[{"dropping-particle":"","family":"Wang","given":"Baicun","non-dropping-particle":"","parse-names":false,"suffix":""},{"dropping-particle":"","family":"Zhou","given":"Huiying","non-dropping-particle":"","parse-names":false,"suffix":""},{"dropping-particle":"","family":"Yang","given":"Geng","non-dropping-particle":"","parse-names":false,"suffix":""},{"dropping-particle":"","family":"Li","given":"Xingyu","non-dropping-particle":"","parse-names":false,"suffix":""},{"dropping-particle":"","family":"Yang","given":"Huayong","non-dropping-particle":"","parse-names":false,"suffix":""}],"container-title":"Chinese Journal of Mechanical Engineering (English Edition)","id":"ITEM-1","issue":"1","issued":{"date-parts":[["2022"]]},"title":"Human Digital Twin (HDT) Driven Human-Cyber-Physical Systems: Key Technologies and Applications","type":"article-journal","volume":"35"},"uris":["http://www.mendeley.com/documents/?uuid=9e8325fc-adae-33dd-b64b-e574364fcf12"]}],"mendeley":{"formattedCitation":"&lt;sup&gt;13&lt;/sup&gt;","plainTextFormattedCitation":"13","previouslyFormattedCitation":"(Wang, Zhou, &lt;i&gt;et al.&lt;/i&gt;, 2022)"},"properties":{"noteIndex":0},"schema":"https://github.com/citation-style-language/schema/raw/master/csl-citation.json"}</w:instrText>
      </w:r>
      <w:r w:rsidRPr="0012787A">
        <w:rPr>
          <w:rFonts w:asciiTheme="majorBidi" w:hAnsiTheme="majorBidi" w:cstheme="majorBidi"/>
        </w:rPr>
        <w:fldChar w:fldCharType="separate"/>
      </w:r>
      <w:r w:rsidRPr="0012787A">
        <w:rPr>
          <w:rFonts w:asciiTheme="majorBidi" w:hAnsiTheme="majorBidi" w:cstheme="majorBidi"/>
          <w:noProof/>
          <w:vertAlign w:val="superscript"/>
        </w:rPr>
        <w:t>13</w:t>
      </w:r>
      <w:r w:rsidRPr="0012787A">
        <w:rPr>
          <w:rFonts w:asciiTheme="majorBidi" w:hAnsiTheme="majorBidi" w:cstheme="majorBidi"/>
        </w:rPr>
        <w:fldChar w:fldCharType="end"/>
      </w:r>
      <w:r w:rsidRPr="0012787A">
        <w:rPr>
          <w:rFonts w:asciiTheme="majorBidi" w:hAnsiTheme="majorBidi" w:cstheme="majorBidi"/>
        </w:rPr>
        <w:t>. Blockchain, big data, and the Internet of Things are the fundamental technologies that facilitate the transmission, processing, and accumulation of data in a streamlined manner; these technologies serve as the foundation for creating efficient HDT models</w:t>
      </w:r>
      <w:r w:rsidRPr="0012787A">
        <w:rPr>
          <w:rFonts w:asciiTheme="majorBidi" w:hAnsiTheme="majorBidi" w:cstheme="majorBidi"/>
          <w:color w:val="000000"/>
        </w:rPr>
        <w:fldChar w:fldCharType="begin" w:fldLock="1"/>
      </w:r>
      <w:r w:rsidRPr="0012787A">
        <w:rPr>
          <w:rFonts w:asciiTheme="majorBidi" w:hAnsiTheme="majorBidi" w:cstheme="majorBidi"/>
          <w:color w:val="000000"/>
        </w:rPr>
        <w:instrText>ADDIN CSL_CITATION {"citationItems":[{"id":"ITEM-1","itemData":{"DOI":"10.3390/s21227518","ISSN":"14248220","abstract":"The Industrial Internet of Things (IIoT) refers to the use of smart sensors, actuators, fast communication protocols, and efficient cybersecurity mechanisms to improve industrial processes and applications. In large industrial networks, smart devices generate large amounts of data, and thus IIoT frameworks require intelligent, robust techniques for big data analysis. Artificial intelligence (AI) and deep learning (DL) techniques produce promising results in IIoT networks due to their intelligent learning and processing capabilities. This survey article assesses the potential of DL in IIoT applications and presents a brief architecture of IIoT with key enabling technologies. Several well-known DL algorithms are then discussed along with their theoretical backgrounds and several software and hardware frameworks for DL implementations. Potential deployments of DL techniques in IIoT applications are briefly discussed. Finally, this survey highlights significant challenges and future directions for future research endeavors.","author":[{"dropping-particle":"","family":"Latif","given":"Shahid","non-dropping-particle":"","parse-names":false,"suffix":""},{"dropping-particle":"","family":"Driss","given":"Maha","non-dropping-particle":"","parse-names":false,"suffix":""},{"dropping-particle":"","family":"Boulila","given":"Wadii","non-dropping-particle":"","parse-names":false,"suffix":""},{"dropping-particle":"","family":"Huma","given":"Zil E.","non-dropping-particle":"","parse-names":false,"suffix":""},{"dropping-particle":"","family":"Jamal","given":"Sajjad Shaukat","non-dropping-particle":"","parse-names":false,"suffix":""},{"dropping-particle":"","family":"Idrees","given":"Zeba","non-dropping-particle":"","parse-names":false,"suffix":""},{"dropping-particle":"","family":"Ahmad","given":"Jawad","non-dropping-particle":"","parse-names":false,"suffix":""}],"container-title":"Sensors","id":"ITEM-1","issue":"22","issued":{"date-parts":[["2021"]]},"title":"Deep learning for the industrial internet of things (Iiot): A comprehensive survey of techniques, implementation frameworks, potential applications, and future directions","type":"article","volume":"21"},"uris":["http://www.mendeley.com/documents/?uuid=59b8f8c6-a3ab-3350-b492-36900d06f897"]}],"mendeley":{"formattedCitation":"&lt;sup&gt;30&lt;/sup&gt;","plainTextFormattedCitation":"30","previouslyFormattedCitation":"(Latif &lt;i&gt;et al.&lt;/i&gt;, 2021)"},"properties":{"noteIndex":0},"schema":"https://github.com/citation-style-language/schema/raw/master/csl-citation.json"}</w:instrText>
      </w:r>
      <w:r w:rsidRPr="0012787A">
        <w:rPr>
          <w:rFonts w:asciiTheme="majorBidi" w:hAnsiTheme="majorBidi" w:cstheme="majorBidi"/>
          <w:color w:val="000000"/>
        </w:rPr>
        <w:fldChar w:fldCharType="separate"/>
      </w:r>
      <w:r w:rsidRPr="0012787A">
        <w:rPr>
          <w:rFonts w:asciiTheme="majorBidi" w:hAnsiTheme="majorBidi" w:cstheme="majorBidi"/>
          <w:noProof/>
          <w:color w:val="000000"/>
          <w:vertAlign w:val="superscript"/>
        </w:rPr>
        <w:t>30</w:t>
      </w:r>
      <w:r w:rsidRPr="0012787A">
        <w:rPr>
          <w:rFonts w:asciiTheme="majorBidi" w:hAnsiTheme="majorBidi" w:cstheme="majorBidi"/>
          <w:color w:val="000000"/>
        </w:rPr>
        <w:fldChar w:fldCharType="end"/>
      </w:r>
      <w:r w:rsidRPr="0012787A">
        <w:rPr>
          <w:rFonts w:asciiTheme="majorBidi" w:hAnsiTheme="majorBidi" w:cstheme="majorBidi"/>
        </w:rPr>
        <w:t>. IoT enhance service efficiency and decision making through the seamless collection of data via sensors that are either embedded in instruments or worn by workers. Furthermore, the notion of the internet of all (</w:t>
      </w:r>
      <w:proofErr w:type="spellStart"/>
      <w:r w:rsidRPr="0012787A">
        <w:rPr>
          <w:rFonts w:asciiTheme="majorBidi" w:hAnsiTheme="majorBidi" w:cstheme="majorBidi"/>
        </w:rPr>
        <w:t>IoA</w:t>
      </w:r>
      <w:proofErr w:type="spellEnd"/>
      <w:r w:rsidRPr="0012787A">
        <w:rPr>
          <w:rFonts w:asciiTheme="majorBidi" w:hAnsiTheme="majorBidi" w:cstheme="majorBidi"/>
        </w:rPr>
        <w:t xml:space="preserve">) expands this by integrating human </w:t>
      </w:r>
      <w:r w:rsidR="0038308B" w:rsidRPr="0012787A">
        <w:rPr>
          <w:rFonts w:asciiTheme="majorBidi" w:hAnsiTheme="majorBidi" w:cstheme="majorBidi"/>
        </w:rPr>
        <w:t>behaviors</w:t>
      </w:r>
      <w:r w:rsidRPr="0012787A">
        <w:rPr>
          <w:rFonts w:asciiTheme="majorBidi" w:hAnsiTheme="majorBidi" w:cstheme="majorBidi"/>
        </w:rPr>
        <w:t>, aspirations, and sentiments into the framework. Every individual is regarded as a node possessing the capability to actuate the system, communicate and exchange information, and access data</w:t>
      </w:r>
      <w:r w:rsidRPr="0012787A">
        <w:rPr>
          <w:rFonts w:asciiTheme="majorBidi" w:hAnsiTheme="majorBidi" w:cstheme="majorBidi"/>
        </w:rPr>
        <w:fldChar w:fldCharType="begin" w:fldLock="1"/>
      </w:r>
      <w:r w:rsidRPr="0012787A">
        <w:rPr>
          <w:rFonts w:asciiTheme="majorBidi" w:hAnsiTheme="majorBidi" w:cstheme="majorBidi"/>
        </w:rPr>
        <w:instrText>ADDIN CSL_CITATION {"citationItems":[{"id":"ITEM-1","itemData":{"DOI":"10.3390/s20195687","ISSN":"14248220","abstract":"The rapid technological advancements of Industry 4.0 have opened up new vectors for novel industrial processes that require advanced sensing solutions for their realization. Motion capture (MoCap) sensors, such as visual cameras and inertial measurement units (IMUs), are frequently adopted in industrial settings to support solutions in robotics, additive manufacturing, teleworking and human safety. This review synthesizes and evaluates studies investigating the use of MoCap technologies in industry-related research. A search was performed in the Embase, Scopus, Web of Science and Google Scholar. Only studies in English, from 2015 onwards, on primary and secondary industrial applications were considered. The quality of the articles was appraised with the AXIS tool. Studies were categorized based on type of used sensors, beneficiary industry sector, and type of application. Study characteristics, key methods and findings were also summarized. In total, 1682 records were identified, and 59 were included in this review. Twenty-one and 38 studies were assessed as being prone to medium and low risks of bias, respectively. Camera-based sensors and IMUs were used in 40% and 70% of the studies, respectively. Construction (30.5%), robotics (15.3%) and automotive (10.2%) were the most researched industry sectors, whilst health and safety (64.4%) and the improvement of industrial processes or products (17%) were the most targeted applications. Inertial sensors were the first choice for industrial MoCap applications. Camera-based MoCap systems performed better in robotic applications, but camera obstructions caused by workers and machinery was the most challenging issue. Advancements in machine learning algorithms have been shown to increase the capabilities of MoCap systems in applications such as activity and fatigue detection as well as tool condition monitoring and object recognition.","author":[{"dropping-particle":"","family":"Menolotto","given":"Matteo","non-dropping-particle":"","parse-names":false,"suffix":""},{"dropping-particle":"","family":"Komaris","given":"Dimitrios Sokratis","non-dropping-particle":"","parse-names":false,"suffix":""},{"dropping-particle":"","family":"Tedesco","given":"Salvatore","non-dropping-particle":"","parse-names":false,"suffix":""},{"dropping-particle":"","family":"O’flynn","given":"Brendan","non-dropping-particle":"","parse-names":false,"suffix":""},{"dropping-particle":"","family":"Walsh","given":"Michael","non-dropping-particle":"","parse-names":false,"suffix":""}],"container-title":"Sensors (Switzerland)","id":"ITEM-1","issue":"19","issued":{"date-parts":[["2020"]]},"title":"Motion capture technology in industrial applications: A systematic review","type":"article","volume":"20"},"uris":["http://www.mendeley.com/documents/?uuid=ac183e10-128a-3076-a606-ff812a680007"]}],"mendeley":{"formattedCitation":"&lt;sup&gt;31&lt;/sup&gt;","plainTextFormattedCitation":"31","previouslyFormattedCitation":"(Menolotto &lt;i&gt;et al.&lt;/i&gt;, 2020)"},"properties":{"noteIndex":0},"schema":"https://github.com/citation-style-language/schema/raw/master/csl-citation.json"}</w:instrText>
      </w:r>
      <w:r w:rsidRPr="0012787A">
        <w:rPr>
          <w:rFonts w:asciiTheme="majorBidi" w:hAnsiTheme="majorBidi" w:cstheme="majorBidi"/>
        </w:rPr>
        <w:fldChar w:fldCharType="separate"/>
      </w:r>
      <w:r w:rsidRPr="0012787A">
        <w:rPr>
          <w:rFonts w:asciiTheme="majorBidi" w:hAnsiTheme="majorBidi" w:cstheme="majorBidi"/>
          <w:noProof/>
          <w:vertAlign w:val="superscript"/>
        </w:rPr>
        <w:t>31</w:t>
      </w:r>
      <w:r w:rsidRPr="0012787A">
        <w:rPr>
          <w:rFonts w:asciiTheme="majorBidi" w:hAnsiTheme="majorBidi" w:cstheme="majorBidi"/>
        </w:rPr>
        <w:fldChar w:fldCharType="end"/>
      </w:r>
      <w:r w:rsidRPr="0012787A">
        <w:rPr>
          <w:rFonts w:asciiTheme="majorBidi" w:hAnsiTheme="majorBidi" w:cstheme="majorBidi"/>
        </w:rPr>
        <w:t>. It is shown in figure 5 below:</w:t>
      </w:r>
    </w:p>
    <w:p w14:paraId="5913FCC4" w14:textId="7FF23E2E" w:rsidR="00163D93" w:rsidRPr="0012787A" w:rsidRDefault="008718DD" w:rsidP="008718DD">
      <w:pPr>
        <w:pStyle w:val="normaltext"/>
        <w:spacing w:before="0" w:after="0"/>
        <w:ind w:firstLine="0"/>
        <w:jc w:val="center"/>
        <w:rPr>
          <w:rFonts w:asciiTheme="majorBidi" w:hAnsiTheme="majorBidi" w:cstheme="majorBidi"/>
        </w:rPr>
      </w:pPr>
      <w:r w:rsidRPr="0012787A">
        <w:rPr>
          <w:rFonts w:asciiTheme="majorBidi" w:hAnsiTheme="majorBidi" w:cstheme="majorBidi"/>
          <w:noProof/>
        </w:rPr>
        <w:drawing>
          <wp:inline distT="0" distB="0" distL="0" distR="0" wp14:anchorId="0B4863F3" wp14:editId="753ECD26">
            <wp:extent cx="2428556" cy="2697480"/>
            <wp:effectExtent l="0" t="0" r="0" b="7620"/>
            <wp:docPr id="192366644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66445" name="Picture 1" descr="A diagram of a company&#10;&#10;Description automatically generated"/>
                    <pic:cNvPicPr/>
                  </pic:nvPicPr>
                  <pic:blipFill>
                    <a:blip r:embed="rId24"/>
                    <a:stretch>
                      <a:fillRect/>
                    </a:stretch>
                  </pic:blipFill>
                  <pic:spPr>
                    <a:xfrm>
                      <a:off x="0" y="0"/>
                      <a:ext cx="2451092" cy="2722511"/>
                    </a:xfrm>
                    <a:prstGeom prst="rect">
                      <a:avLst/>
                    </a:prstGeom>
                  </pic:spPr>
                </pic:pic>
              </a:graphicData>
            </a:graphic>
          </wp:inline>
        </w:drawing>
      </w:r>
    </w:p>
    <w:p w14:paraId="1267BBAD" w14:textId="77777777" w:rsidR="008718DD" w:rsidRPr="0012787A" w:rsidRDefault="008718DD" w:rsidP="008718DD">
      <w:pPr>
        <w:ind w:left="60"/>
        <w:jc w:val="center"/>
        <w:rPr>
          <w:rFonts w:asciiTheme="majorBidi" w:hAnsiTheme="majorBidi" w:cstheme="majorBidi"/>
          <w:b/>
          <w:sz w:val="20"/>
          <w:szCs w:val="20"/>
        </w:rPr>
      </w:pPr>
    </w:p>
    <w:p w14:paraId="3981D160" w14:textId="58B0D1A6" w:rsidR="008718DD" w:rsidRPr="0012787A" w:rsidRDefault="008718DD" w:rsidP="008718DD">
      <w:pPr>
        <w:ind w:left="60"/>
        <w:jc w:val="center"/>
        <w:rPr>
          <w:rFonts w:asciiTheme="majorBidi" w:hAnsiTheme="majorBidi" w:cstheme="majorBidi"/>
          <w:b/>
          <w:sz w:val="20"/>
          <w:szCs w:val="20"/>
        </w:rPr>
      </w:pPr>
      <w:r w:rsidRPr="0012787A">
        <w:rPr>
          <w:rFonts w:asciiTheme="majorBidi" w:hAnsiTheme="majorBidi" w:cstheme="majorBidi"/>
          <w:b/>
          <w:sz w:val="20"/>
          <w:szCs w:val="20"/>
        </w:rPr>
        <w:t>Fig. 5.</w:t>
      </w:r>
      <w:r w:rsidRPr="0012787A">
        <w:rPr>
          <w:rFonts w:asciiTheme="majorBidi" w:hAnsiTheme="majorBidi" w:cstheme="majorBidi"/>
          <w:sz w:val="20"/>
          <w:szCs w:val="20"/>
        </w:rPr>
        <w:t xml:space="preserve"> Categories of HDT Enabling Technologies</w:t>
      </w:r>
    </w:p>
    <w:p w14:paraId="11F22B42" w14:textId="77777777" w:rsidR="008718DD" w:rsidRPr="0012787A" w:rsidRDefault="008718DD" w:rsidP="005F6A61">
      <w:pPr>
        <w:ind w:left="60"/>
        <w:jc w:val="both"/>
        <w:rPr>
          <w:rFonts w:asciiTheme="majorBidi" w:hAnsiTheme="majorBidi" w:cstheme="majorBidi"/>
          <w:b/>
          <w:sz w:val="20"/>
          <w:szCs w:val="20"/>
        </w:rPr>
      </w:pPr>
    </w:p>
    <w:p w14:paraId="0E067002" w14:textId="0551107C" w:rsidR="005F6A61" w:rsidRDefault="005F6A61" w:rsidP="008718DD">
      <w:pPr>
        <w:ind w:left="60" w:firstLine="228"/>
        <w:jc w:val="both"/>
        <w:rPr>
          <w:rFonts w:asciiTheme="majorBidi" w:hAnsiTheme="majorBidi" w:cstheme="majorBidi"/>
          <w:sz w:val="20"/>
          <w:szCs w:val="20"/>
        </w:rPr>
      </w:pPr>
      <w:r w:rsidRPr="0012787A">
        <w:rPr>
          <w:rFonts w:asciiTheme="majorBidi" w:hAnsiTheme="majorBidi" w:cstheme="majorBidi"/>
          <w:b/>
          <w:sz w:val="20"/>
          <w:szCs w:val="20"/>
        </w:rPr>
        <w:t>Machine learning (ML)</w:t>
      </w:r>
      <w:r w:rsidRPr="0012787A">
        <w:rPr>
          <w:rFonts w:asciiTheme="majorBidi" w:hAnsiTheme="majorBidi" w:cstheme="majorBidi"/>
          <w:sz w:val="20"/>
          <w:szCs w:val="20"/>
        </w:rPr>
        <w:t xml:space="preserve"> and </w:t>
      </w:r>
      <w:r w:rsidRPr="0012787A">
        <w:rPr>
          <w:rFonts w:asciiTheme="majorBidi" w:hAnsiTheme="majorBidi" w:cstheme="majorBidi"/>
          <w:b/>
          <w:sz w:val="20"/>
          <w:szCs w:val="20"/>
        </w:rPr>
        <w:t>artificial intelligence (AI)</w:t>
      </w:r>
      <w:r w:rsidRPr="0012787A">
        <w:rPr>
          <w:rFonts w:asciiTheme="majorBidi" w:hAnsiTheme="majorBidi" w:cstheme="majorBidi"/>
          <w:sz w:val="20"/>
          <w:szCs w:val="20"/>
        </w:rPr>
        <w:t xml:space="preserve"> are the two primary technologies that contribute to the HDT's intelligence or smartness. For data collection and extraction of pertinent information, numerous ML models are implemented, including K-means, Decision Tree, Bayesian Network, and Support Vector Machine </w:t>
      </w:r>
      <w:r w:rsidRPr="0012787A">
        <w:rPr>
          <w:rFonts w:asciiTheme="majorBidi" w:hAnsiTheme="majorBidi" w:cstheme="majorBidi"/>
          <w:sz w:val="20"/>
          <w:szCs w:val="20"/>
        </w:rPr>
        <w:fldChar w:fldCharType="begin" w:fldLock="1"/>
      </w:r>
      <w:r w:rsidRPr="0012787A">
        <w:rPr>
          <w:rFonts w:asciiTheme="majorBidi" w:hAnsiTheme="majorBidi" w:cstheme="majorBidi"/>
          <w:sz w:val="20"/>
          <w:szCs w:val="20"/>
        </w:rPr>
        <w:instrText>ADDIN CSL_CITATION {"citationItems":[{"id":"ITEM-1","itemData":{"DOI":"10.1016/j.bspc.2013.07.004","ISSN":"17468108","abstract":"Brain computer interfaces (BCI) provide a new approach to human computer communication, where the control is realised via performing mental tasks such as motor imagery (MI). In this study, we investigate a novel method to automatically segment electroencephalographic (EEG) data within a trial and extract features accordingly in order to improve the performance of MI data classification techniques. A new local discriminant bases (LDB) algorithm using common spatial patterns (CSP) projection as transform function is proposed for automatic trial segmentation. CSP is also used for feature extraction following trial segmentation. This new technique also allows to obtain a more accurate picture of the most relevant temporal-spatial points in the EEG during the MI. The results are compared with other standard temporal segmentation techniques such as sliding window and LDB based on the local cosine transform (LCT). © 2013 Elsevier Ltd.","author":[{"dropping-particle":"","family":"Asensio-Cubero","given":"Javier","non-dropping-particle":"","parse-names":false,"suffix":""},{"dropping-particle":"","family":"Gan","given":"John Q.","non-dropping-particle":"","parse-names":false,"suffix":""},{"dropping-particle":"","family":"Palaniappan","given":"Ramaswamy","non-dropping-particle":"","parse-names":false,"suffix":""}],"container-title":"Biomedical Signal Processing and Control","id":"ITEM-1","issue":"6","issued":{"date-parts":[["2013"]]},"title":"Extracting optimal tempo-spatial features using local discriminant bases and common spatial patterns for brain computer interfacing","type":"article-journal","volume":"8"},"uris":["http://www.mendeley.com/documents/?uuid=95886203-52f6-31d9-b519-aab9b2a17ca0"]},{"id":"ITEM-2","itemData":{"ISBN":"9781119711148","author":[{"dropping-particle":"","family":"Sheikh","given":"Riyaz","non-dropping-particle":"","parse-names":false,"suffix":""},{"dropping-particle":"","family":"Goje","given":"Nitin","non-dropping-particle":"","parse-names":false,"suffix":""}],"chapter-number":"Role of Bi","container-title":"Internet of Things in Business Transformation","id":"ITEM-2","issued":{"date-parts":[["2021"]]},"publisher":"Wiley Online Library","title":"Role of Big Data Analytics in Business Transformation","type":"chapter"},"uris":["http://www.mendeley.com/documents/?uuid=f73b88da-594e-4e8f-8450-e0442c4311ab"]}],"mendeley":{"formattedCitation":"&lt;sup&gt;25,32&lt;/sup&gt;","plainTextFormattedCitation":"25,32","previouslyFormattedCitation":"(Asensio-Cubero, Gan and Palaniappan, 2013; Sheikh and Goje, 2021)"},"properties":{"noteIndex":0},"schema":"https://github.com/citation-style-language/schema/raw/master/csl-citation.json"}</w:instrText>
      </w:r>
      <w:r w:rsidRPr="0012787A">
        <w:rPr>
          <w:rFonts w:asciiTheme="majorBidi" w:hAnsiTheme="majorBidi" w:cstheme="majorBidi"/>
          <w:sz w:val="20"/>
          <w:szCs w:val="20"/>
        </w:rPr>
        <w:fldChar w:fldCharType="separate"/>
      </w:r>
      <w:r w:rsidRPr="0012787A">
        <w:rPr>
          <w:rFonts w:asciiTheme="majorBidi" w:hAnsiTheme="majorBidi" w:cstheme="majorBidi"/>
          <w:noProof/>
          <w:sz w:val="20"/>
          <w:szCs w:val="20"/>
          <w:vertAlign w:val="superscript"/>
        </w:rPr>
        <w:t>25,32</w:t>
      </w:r>
      <w:r w:rsidRPr="0012787A">
        <w:rPr>
          <w:rFonts w:asciiTheme="majorBidi" w:hAnsiTheme="majorBidi" w:cstheme="majorBidi"/>
          <w:sz w:val="20"/>
          <w:szCs w:val="20"/>
        </w:rPr>
        <w:fldChar w:fldCharType="end"/>
      </w:r>
      <w:r w:rsidRPr="0012787A">
        <w:rPr>
          <w:rFonts w:asciiTheme="majorBidi" w:hAnsiTheme="majorBidi" w:cstheme="majorBidi"/>
          <w:sz w:val="20"/>
          <w:szCs w:val="20"/>
        </w:rPr>
        <w:t xml:space="preserve">. On the other hand, advanced models such as deep learning </w:t>
      </w:r>
      <w:r w:rsidRPr="00576C59">
        <w:rPr>
          <w:rFonts w:asciiTheme="majorBidi" w:hAnsiTheme="majorBidi" w:cstheme="majorBidi"/>
          <w:sz w:val="20"/>
          <w:szCs w:val="20"/>
        </w:rPr>
        <w:t>(DL) and artificial neural network (ANN) are designed to process substantial volumes of high-dimensional data</w:t>
      </w:r>
      <w:r w:rsidRPr="00576C59">
        <w:rPr>
          <w:rFonts w:asciiTheme="majorBidi" w:hAnsiTheme="majorBidi" w:cstheme="majorBidi"/>
          <w:sz w:val="20"/>
          <w:szCs w:val="20"/>
        </w:rPr>
        <w:fldChar w:fldCharType="begin" w:fldLock="1"/>
      </w:r>
      <w:r w:rsidRPr="00576C59">
        <w:rPr>
          <w:rFonts w:asciiTheme="majorBidi" w:hAnsiTheme="majorBidi" w:cstheme="majorBidi"/>
          <w:sz w:val="20"/>
          <w:szCs w:val="20"/>
        </w:rPr>
        <w:instrText>ADDIN CSL_CITATION {"citationItems":[{"id":"ITEM-1","itemData":{"DOI":"10.1016/j.rcim.2021.102137","ISSN":"07365845","abstract":"Consumer markets demonstrate an observable trend towards mass customization. Assembly processes are required to adapt in order to meet the requirements of increased product complexity and constant variant updates. A concept to meet challenges within this trend, is a close collaboration between human workers and robots. Currently, in order to protect human operators, there are barriers and restrictions in place which prevent close collaboration. This is due to safety systems being mostly reactive, rather than anticipating motions or intentions. There are probabilistic models, which aim to overcome these limitations, yet predicting human behavior remains highly complex. Thus, it would be desirable to physically measure movement intentions in advance. A novel approach is presented of how upper-limb movement intentions can be measured with a mobile electroencephalogram (EEG). The human brain constantly analyses and evaluates motor movements up to 0.5 s before their execution. A safety system could therefore be enhanced to have an early warning of an upcoming movement. In order to classify the EEG-signals as fast as possible and to minimize fine-tuning efforts, a novel data processing methodology is introduced. This includes TimeSeriesKMeans labelling of movement intentions, which is then used to train a Long Short-Term Memory Recurrent Neural Network (LSTM-RNN). The results suggested high detection accuracies and potential time gains of up to 513 ms to be achieved in a semi-online system. Thus, the time advantages included in a simulation demonstrated the potential to increase a system's reaction time and therefore improve the safety and the fluency of Human-Robot Collaboration.","author":[{"dropping-particle":"","family":"Buerkle","given":"Achim","non-dropping-particle":"","parse-names":false,"suffix":""},{"dropping-particle":"","family":"Eaton","given":"William","non-dropping-particle":"","parse-names":false,"suffix":""},{"dropping-particle":"","family":"Lohse","given":"Niels","non-dropping-particle":"","parse-names":false,"suffix":""},{"dropping-particle":"","family":"Bamber","given":"Thomas","non-dropping-particle":"","parse-names":false,"suffix":""},{"dropping-particle":"","family":"Ferreira","given":"Pedro","non-dropping-particle":"","parse-names":false,"suffix":""}],"container-title":"Robotics and Computer-Integrated Manufacturing","id":"ITEM-1","issued":{"date-parts":[["2021"]]},"title":"EEG based arm movement intention recognition towards enhanced safety in symbiotic Human-Robot Collaboration","type":"article-journal","volume":"70"},"uris":["http://www.mendeley.com/documents/?uuid=86a75bc1-a99e-38e8-9e2d-de2e5a23c3ac"]}],"mendeley":{"formattedCitation":"&lt;sup&gt;33&lt;/sup&gt;","plainTextFormattedCitation":"33","previouslyFormattedCitation":"(Buerkle &lt;i&gt;et al.&lt;/i&gt;, 2021)"},"properties":{"noteIndex":0},"schema":"https://github.com/citation-style-language/schema/raw/master/csl-citation.json"}</w:instrText>
      </w:r>
      <w:r w:rsidRPr="00576C59">
        <w:rPr>
          <w:rFonts w:asciiTheme="majorBidi" w:hAnsiTheme="majorBidi" w:cstheme="majorBidi"/>
          <w:sz w:val="20"/>
          <w:szCs w:val="20"/>
        </w:rPr>
        <w:fldChar w:fldCharType="separate"/>
      </w:r>
      <w:r w:rsidRPr="00576C59">
        <w:rPr>
          <w:rFonts w:asciiTheme="majorBidi" w:hAnsiTheme="majorBidi" w:cstheme="majorBidi"/>
          <w:noProof/>
          <w:sz w:val="20"/>
          <w:szCs w:val="20"/>
          <w:vertAlign w:val="superscript"/>
        </w:rPr>
        <w:t>33</w:t>
      </w:r>
      <w:r w:rsidRPr="00576C59">
        <w:rPr>
          <w:rFonts w:asciiTheme="majorBidi" w:hAnsiTheme="majorBidi" w:cstheme="majorBidi"/>
          <w:sz w:val="20"/>
          <w:szCs w:val="20"/>
        </w:rPr>
        <w:fldChar w:fldCharType="end"/>
      </w:r>
      <w:r w:rsidRPr="00576C59">
        <w:rPr>
          <w:rFonts w:asciiTheme="majorBidi" w:hAnsiTheme="majorBidi" w:cstheme="majorBidi"/>
          <w:sz w:val="20"/>
          <w:szCs w:val="20"/>
        </w:rPr>
        <w:t xml:space="preserve">. In order to accomplish smart manufacturing, reinforcement learning (RL) algorithms, including Deep Q-Network (DQN) and Deep Deterministic Policy Gradient (DDPG), are utilized to enhance human-robot collaboration within the HDT framework </w:t>
      </w:r>
      <w:r w:rsidRPr="00576C59">
        <w:rPr>
          <w:rFonts w:asciiTheme="majorBidi" w:hAnsiTheme="majorBidi" w:cstheme="majorBidi"/>
          <w:sz w:val="20"/>
          <w:szCs w:val="20"/>
        </w:rPr>
        <w:fldChar w:fldCharType="begin" w:fldLock="1"/>
      </w:r>
      <w:r w:rsidRPr="00576C59">
        <w:rPr>
          <w:rFonts w:asciiTheme="majorBidi" w:hAnsiTheme="majorBidi" w:cstheme="majorBidi"/>
          <w:sz w:val="20"/>
          <w:szCs w:val="20"/>
        </w:rPr>
        <w:instrText>ADDIN CSL_CITATION {"citationItems":[{"id":"ITEM-1","itemData":{"DOI":"10.1016/j.rcim.2021.102227","ISSN":"07365845","abstract":"The assembly process of high precision products involves a variety of delicate operations that are time-consuming and energy-intensive. Neither the human operators nor the robots can complete the tasks independently and efficiently. The human-robot collaboration to be applied in complex assembly operation would help reduce human workload and improve efficiency. However, human behavior can be unpredictable in assembly activities so that it is difficult for the robots to understand intentions of the human operations. Thus, the collaboration of humans and robots is challenging in industrial applications. In this regard, a human-robot collaborative reinforcement learning algorithm is proposed to optimize the task sequence allocation scheme in assembly processes. Finally, the effectiveness of the method is verified through experimental analysis of the virtual assembly of an alternator. The result shows that the proposed method had great potential in dynamic division of human-robot collaborative tasks.","author":[{"dropping-particle":"","family":"Zhang","given":"Rong","non-dropping-particle":"","parse-names":false,"suffix":""},{"dropping-particle":"","family":"Lv","given":"Qibing","non-dropping-particle":"","parse-names":false,"suffix":""},{"dropping-particle":"","family":"Li","given":"Jie","non-dropping-particle":"","parse-names":false,"suffix":""},{"dropping-particle":"","family":"Bao","given":"Jinsong","non-dropping-particle":"","parse-names":false,"suffix":""},{"dropping-particle":"","family":"Liu","given":"Tianyuan","non-dropping-particle":"","parse-names":false,"suffix":""},{"dropping-particle":"","family":"Liu","given":"Shimin","non-dropping-particle":"","parse-names":false,"suffix":""}],"container-title":"Robotics and Computer-Integrated Manufacturing","id":"ITEM-1","issued":{"date-parts":[["2022"]]},"title":"A reinforcement learning method for human-robot collaboration in assembly tasks","type":"article-journal","volume":"73"},"uris":["http://www.mendeley.com/documents/?uuid=24ff5535-e5e8-3066-ba8c-76ccd82d7a70"]},{"id":"ITEM-2","itemData":{"DOI":"10.1007/s00170-021-07265-2","ISSN":"14333015","abstract":"Human-robot collaboration as a multidisciplinary research topic is still pursuing the robots’ enhanced intelligence to be more human-compatible and fit the dynamic and stochastic characteristics of human. However, the uncertainties brought by the human partner challenge the task-planning and decision-making of the robot. When aiming at industrial tasks like collaborative assembly, dynamics on temporal dimension and stochasticities on the order of procedures need to be further considered. In this work, we bring a new perspective and solution based on reinforcement learning, where the problem is regarded as training an agent towards tasks in dynamic and stochastic environments. Concretely, an adapted training approach based on the deep Q learning method is proposed. This method regards both the robot and the human as the agents in the interactive training environment for deep reinforcement learning. With the consideration of task-level industrial human-robot collaboration, the training logic and the agent-environment interaction have been proposed. For the human-robot collaborative assembly tasks in the case study, it is illustrated that our method could drive the robot represented by one agent to collaborate with the human partner even the human performs randomly on the task procedures.","author":[{"dropping-particle":"","family":"Liu","given":"Zhihao","non-dropping-particle":"","parse-names":false,"suffix":""},{"dropping-particle":"","family":"Liu","given":"Quan","non-dropping-particle":"","parse-names":false,"suffix":""},{"dropping-particle":"","family":"Wang","given":"Lihui","non-dropping-particle":"","parse-names":false,"suffix":""},{"dropping-particle":"","family":"Xu","given":"Wenjun","non-dropping-particle":"","parse-names":false,"suffix":""},{"dropping-particle":"","family":"Zhou","given":"Zude","non-dropping-particle":"","parse-names":false,"suffix":""}],"container-title":"International Journal of Advanced Manufacturing Technology","id":"ITEM-2","issue":"11-12","issued":{"date-parts":[["2021"]]},"title":"Task-level decision-making for dynamic and stochastic human-robot collaboration based on dual agents deep reinforcement learning","type":"article-journal","volume":"115"},"uris":["http://www.mendeley.com/documents/?uuid=47d426b2-22c5-3e29-a57e-bbb9408f1f08"]}],"mendeley":{"formattedCitation":"&lt;sup&gt;34,35&lt;/sup&gt;","plainTextFormattedCitation":"34,35","previouslyFormattedCitation":"(Liu &lt;i&gt;et al.&lt;/i&gt;, 2021; Zhang, Lv, &lt;i&gt;et al.&lt;/i&gt;, 2022)"},"properties":{"noteIndex":0},"schema":"https://github.com/citation-style-language/schema/raw/master/csl-citation.json"}</w:instrText>
      </w:r>
      <w:r w:rsidRPr="00576C59">
        <w:rPr>
          <w:rFonts w:asciiTheme="majorBidi" w:hAnsiTheme="majorBidi" w:cstheme="majorBidi"/>
          <w:sz w:val="20"/>
          <w:szCs w:val="20"/>
        </w:rPr>
        <w:fldChar w:fldCharType="separate"/>
      </w:r>
      <w:r w:rsidRPr="00576C59">
        <w:rPr>
          <w:rFonts w:asciiTheme="majorBidi" w:hAnsiTheme="majorBidi" w:cstheme="majorBidi"/>
          <w:noProof/>
          <w:sz w:val="20"/>
          <w:szCs w:val="20"/>
          <w:vertAlign w:val="superscript"/>
        </w:rPr>
        <w:t>34,35</w:t>
      </w:r>
      <w:r w:rsidRPr="00576C59">
        <w:rPr>
          <w:rFonts w:asciiTheme="majorBidi" w:hAnsiTheme="majorBidi" w:cstheme="majorBidi"/>
          <w:sz w:val="20"/>
          <w:szCs w:val="20"/>
        </w:rPr>
        <w:fldChar w:fldCharType="end"/>
      </w:r>
      <w:r w:rsidRPr="00576C59">
        <w:rPr>
          <w:rFonts w:asciiTheme="majorBidi" w:hAnsiTheme="majorBidi" w:cstheme="majorBidi"/>
          <w:sz w:val="20"/>
          <w:szCs w:val="20"/>
        </w:rPr>
        <w:t>.</w:t>
      </w:r>
    </w:p>
    <w:p w14:paraId="252885DE" w14:textId="77777777" w:rsidR="00576C59" w:rsidRPr="00576C59" w:rsidRDefault="00576C59" w:rsidP="00576C59">
      <w:pPr>
        <w:jc w:val="both"/>
        <w:rPr>
          <w:rFonts w:asciiTheme="majorBidi" w:hAnsiTheme="majorBidi" w:cstheme="majorBidi"/>
          <w:sz w:val="28"/>
          <w:szCs w:val="28"/>
        </w:rPr>
      </w:pPr>
    </w:p>
    <w:p w14:paraId="3AE4CFEE" w14:textId="77777777" w:rsidR="005F6A61" w:rsidRPr="00576C59" w:rsidRDefault="005F6A61" w:rsidP="005F6A61">
      <w:pPr>
        <w:ind w:left="60"/>
        <w:jc w:val="both"/>
        <w:rPr>
          <w:rFonts w:asciiTheme="majorBidi" w:hAnsiTheme="majorBidi" w:cstheme="majorBidi"/>
          <w:b/>
          <w:sz w:val="20"/>
          <w:szCs w:val="20"/>
        </w:rPr>
      </w:pPr>
    </w:p>
    <w:p w14:paraId="07C93110" w14:textId="211B99B7" w:rsidR="005F6A61" w:rsidRDefault="005F6A61" w:rsidP="008718DD">
      <w:pPr>
        <w:ind w:left="60" w:firstLine="228"/>
        <w:jc w:val="both"/>
        <w:rPr>
          <w:rFonts w:asciiTheme="majorBidi" w:hAnsiTheme="majorBidi" w:cstheme="majorBidi"/>
          <w:sz w:val="20"/>
          <w:szCs w:val="20"/>
        </w:rPr>
      </w:pPr>
      <w:r w:rsidRPr="00576C59">
        <w:rPr>
          <w:rFonts w:asciiTheme="majorBidi" w:hAnsiTheme="majorBidi" w:cstheme="majorBidi"/>
          <w:b/>
          <w:sz w:val="20"/>
          <w:szCs w:val="20"/>
        </w:rPr>
        <w:t xml:space="preserve">Augmented Reality (AR) </w:t>
      </w:r>
      <w:r w:rsidRPr="00576C59">
        <w:rPr>
          <w:rFonts w:asciiTheme="majorBidi" w:hAnsiTheme="majorBidi" w:cstheme="majorBidi"/>
          <w:sz w:val="20"/>
          <w:szCs w:val="20"/>
        </w:rPr>
        <w:t>and</w:t>
      </w:r>
      <w:r w:rsidRPr="00576C59">
        <w:rPr>
          <w:rFonts w:asciiTheme="majorBidi" w:hAnsiTheme="majorBidi" w:cstheme="majorBidi"/>
          <w:b/>
          <w:sz w:val="20"/>
          <w:szCs w:val="20"/>
        </w:rPr>
        <w:t xml:space="preserve"> Virtual Reality (VR)</w:t>
      </w:r>
      <w:r w:rsidRPr="00576C59">
        <w:rPr>
          <w:rFonts w:asciiTheme="majorBidi" w:hAnsiTheme="majorBidi" w:cstheme="majorBidi"/>
          <w:sz w:val="20"/>
          <w:szCs w:val="20"/>
        </w:rPr>
        <w:t xml:space="preserve"> technologies, collectively known as Extended Reality (XR), play a pivotal role in providing immersive and interactive experiences within HDT systems. AR overlays computer-generated data onto the physical world, benefiting applications like assembly, maintenance, and product design </w:t>
      </w:r>
      <w:r w:rsidRPr="00576C59">
        <w:rPr>
          <w:rFonts w:asciiTheme="majorBidi" w:hAnsiTheme="majorBidi" w:cstheme="majorBidi"/>
          <w:sz w:val="20"/>
          <w:szCs w:val="20"/>
        </w:rPr>
        <w:fldChar w:fldCharType="begin" w:fldLock="1"/>
      </w:r>
      <w:r w:rsidRPr="00576C59">
        <w:rPr>
          <w:rFonts w:asciiTheme="majorBidi" w:hAnsiTheme="majorBidi" w:cstheme="majorBidi"/>
          <w:sz w:val="20"/>
          <w:szCs w:val="20"/>
        </w:rPr>
        <w:instrText>ADDIN CSL_CITATION {"citationItems":[{"id":"ITEM-1","itemData":{"DOI":"10.1109/COMST.2022.3208773","ISSN":"1553877X","abstract":"Digital Twin (DT) is an emerging technology surrounded by many promises, and potentials to reshape the future of industries and society overall. A DT is a system-of-systems which goes far beyond the traditional computer-based simulations and analysis. It is a replication of all the elements, processes, dynamics, and firmware of a physical system into a digital counterpart. The two systems (physical and digital) exist side by side, sharing all the inputs and operations using real-time data communications and information transfer. With the incorporation of Internet of Things (IoT), Artificial Intelligence (AI), 3D models, next generation mobile communications (5G/6G), Augmented Reality (AR), Virtual Reality (VR), distributed computing, Transfer Learning (TL), and electronic sensors, the digital/virtual counterpart of the real-world system is able to provide seamless monitoring, analysis, evaluation and predictions. The DT offers a platform for the testing and analysing of complex systems, which would be impossible in traditional simulations and modular evaluations. However, the development of this technology faces many challenges including the complexities in effective communication and data accumulation, data unavailability to train Machine Learning (ML) models, lack of processing power to support high fidelity twins, the high need for interdisciplinary collaboration, and the absence of standardized development methodologies and validation measures. Being in the early stages of development, DTs lack sufficient documentation. In this context, this survey paper aims to cover the important aspects in realization of the technology. The key enabling technologies, challenges and prospects of DTs are highlighted. The paper provides a deep insight into the technology, lists design goals and objectives, highlights design challenges and limitations across industries, discusses research and commercial developments, provides its applications and use cases, offers case studies in industry, infrastructure and healthcare, lists main service providers and stakeholders, and covers developments to date, as well as viable research dimensions for future developments in DTs.","author":[{"dropping-particle":"","family":"Mihai","given":"Stefan","non-dropping-particle":"","parse-names":false,"suffix":""},{"dropping-particle":"","family":"Yaqoob","given":"Mahnoor","non-dropping-particle":"","parse-names":false,"suffix":""},{"dropping-particle":"V.","family":"Hung","given":"Dang","non-dropping-particle":"","parse-names":false,"suffix":""},{"dropping-particle":"","family":"Davis","given":"William","non-dropping-particle":"","parse-names":false,"suffix":""},{"dropping-particle":"","family":"Towakel","given":"Praveer","non-dropping-particle":"","parse-names":false,"suffix":""},{"dropping-particle":"","family":"Raza","given":"Mohsin","non-dropping-particle":"","parse-names":false,"suffix":""},{"dropping-particle":"","family":"Karamanoglu","given":"Mehmet","non-dropping-particle":"","parse-names":false,"suffix":""},{"dropping-particle":"","family":"Barn","given":"Balbir","non-dropping-particle":"","parse-names":false,"suffix":""},{"dropping-particle":"","family":"Shetve","given":"Dattaprasad","non-dropping-particle":"","parse-names":false,"suffix":""},{"dropping-particle":"V.","family":"Prasad","given":"Raja","non-dropping-particle":"","parse-names":false,"suffix":""},{"dropping-particle":"","family":"Venkataraman","given":"Hrishikesh","non-dropping-particle":"","parse-names":false,"suffix":""},{"dropping-particle":"","family":"Trestian","given":"Ramona","non-dropping-particle":"","parse-names":false,"suffix":""},{"dropping-particle":"","family":"Nguyen","given":"Huan X.","non-dropping-particle":"","parse-names":false,"suffix":""}],"container-title":"IEEE Communications Surveys and Tutorials","id":"ITEM-1","issue":"4","issued":{"date-parts":[["2022"]]},"page":"2255-2291","publisher":"IEEE","title":"Digital Twins: A Survey on Enabling Technologies, Challenges, Trends and Future Prospects","type":"article-journal","volume":"24"},"uris":["http://www.mendeley.com/documents/?uuid=92e463d9-1c23-4950-87c6-9910f3afedcd"]}],"mendeley":{"formattedCitation":"&lt;sup&gt;36&lt;/sup&gt;","plainTextFormattedCitation":"36","previouslyFormattedCitation":"(Mihai &lt;i&gt;et al.&lt;/i&gt;, 2022)"},"properties":{"noteIndex":0},"schema":"https://github.com/citation-style-language/schema/raw/master/csl-citation.json"}</w:instrText>
      </w:r>
      <w:r w:rsidRPr="00576C59">
        <w:rPr>
          <w:rFonts w:asciiTheme="majorBidi" w:hAnsiTheme="majorBidi" w:cstheme="majorBidi"/>
          <w:sz w:val="20"/>
          <w:szCs w:val="20"/>
        </w:rPr>
        <w:fldChar w:fldCharType="separate"/>
      </w:r>
      <w:r w:rsidRPr="00576C59">
        <w:rPr>
          <w:rFonts w:asciiTheme="majorBidi" w:hAnsiTheme="majorBidi" w:cstheme="majorBidi"/>
          <w:noProof/>
          <w:sz w:val="20"/>
          <w:szCs w:val="20"/>
          <w:vertAlign w:val="superscript"/>
        </w:rPr>
        <w:t>36</w:t>
      </w:r>
      <w:r w:rsidRPr="00576C59">
        <w:rPr>
          <w:rFonts w:asciiTheme="majorBidi" w:hAnsiTheme="majorBidi" w:cstheme="majorBidi"/>
          <w:sz w:val="20"/>
          <w:szCs w:val="20"/>
        </w:rPr>
        <w:fldChar w:fldCharType="end"/>
      </w:r>
      <w:r w:rsidRPr="00576C59">
        <w:rPr>
          <w:rFonts w:asciiTheme="majorBidi" w:hAnsiTheme="majorBidi" w:cstheme="majorBidi"/>
          <w:sz w:val="20"/>
          <w:szCs w:val="20"/>
        </w:rPr>
        <w:t>. VR, on the other hand, simulates physical or imaginary worlds, providing users with intuitive sensations and finding applications in vehicle health monitoring and training programs. Mixed Reality (MR) integrates digital and physical components, enabling real-time interaction between physical and digital objects, making it adaptable and widely utilized in various HDT applications.</w:t>
      </w:r>
    </w:p>
    <w:p w14:paraId="22C67D92" w14:textId="77777777" w:rsidR="00576C59" w:rsidRPr="00576C59" w:rsidRDefault="00576C59" w:rsidP="00576C59">
      <w:pPr>
        <w:jc w:val="both"/>
        <w:rPr>
          <w:rFonts w:asciiTheme="majorBidi" w:hAnsiTheme="majorBidi" w:cstheme="majorBidi"/>
          <w:sz w:val="28"/>
          <w:szCs w:val="28"/>
        </w:rPr>
      </w:pPr>
    </w:p>
    <w:p w14:paraId="6396893B" w14:textId="77777777" w:rsidR="005F6A61" w:rsidRPr="00576C59" w:rsidRDefault="005F6A61" w:rsidP="005F6A61">
      <w:pPr>
        <w:ind w:left="60"/>
        <w:jc w:val="both"/>
        <w:rPr>
          <w:rFonts w:asciiTheme="majorBidi" w:hAnsiTheme="majorBidi" w:cstheme="majorBidi"/>
          <w:b/>
          <w:sz w:val="20"/>
          <w:szCs w:val="20"/>
        </w:rPr>
      </w:pPr>
    </w:p>
    <w:p w14:paraId="5CE69C89" w14:textId="77777777" w:rsidR="00163D93" w:rsidRDefault="005F6A61" w:rsidP="008718DD">
      <w:pPr>
        <w:ind w:left="60" w:firstLine="228"/>
        <w:jc w:val="both"/>
        <w:rPr>
          <w:rFonts w:asciiTheme="majorBidi" w:hAnsiTheme="majorBidi" w:cstheme="majorBidi"/>
          <w:sz w:val="20"/>
          <w:szCs w:val="20"/>
        </w:rPr>
      </w:pPr>
      <w:r w:rsidRPr="00576C59">
        <w:rPr>
          <w:rFonts w:asciiTheme="majorBidi" w:hAnsiTheme="majorBidi" w:cstheme="majorBidi"/>
          <w:b/>
          <w:sz w:val="20"/>
          <w:szCs w:val="20"/>
        </w:rPr>
        <w:t>Data Analytics</w:t>
      </w:r>
      <w:r w:rsidRPr="00576C59">
        <w:rPr>
          <w:rFonts w:asciiTheme="majorBidi" w:hAnsiTheme="majorBidi" w:cstheme="majorBidi"/>
          <w:sz w:val="20"/>
          <w:szCs w:val="20"/>
        </w:rPr>
        <w:t xml:space="preserve">, including data collection, sensing, and processing technologies, are essential components of the technological foundation supporting HDT. Physical, physiological, psychological, and cognitive data are collected through sensors and utilized to mirror human attributes, while AI-based and non-AI-based methods process this data to extract meaningful insights </w:t>
      </w:r>
      <w:r w:rsidRPr="00576C59">
        <w:rPr>
          <w:rFonts w:asciiTheme="majorBidi" w:hAnsiTheme="majorBidi" w:cstheme="majorBidi"/>
          <w:sz w:val="20"/>
          <w:szCs w:val="20"/>
        </w:rPr>
        <w:fldChar w:fldCharType="begin" w:fldLock="1"/>
      </w:r>
      <w:r w:rsidRPr="00576C59">
        <w:rPr>
          <w:rFonts w:asciiTheme="majorBidi" w:hAnsiTheme="majorBidi" w:cstheme="majorBidi"/>
          <w:sz w:val="20"/>
          <w:szCs w:val="20"/>
        </w:rPr>
        <w:instrText>ADDIN CSL_CITATION {"citationItems":[{"id":"ITEM-1","itemData":{"DOI":"10.1016/j.rcim.2022.102403","ISSN":"07365845","abstract":"The European Commission defined the new concept of Industry 5.0 meaning a more human-centric, resilient, and sustainable approach for the design of industrial systems and operations. A deep understanding of the work environment and organization is important to start analysing the working conditions and the resulting User eXperience (UX) of the operators. Also, the knowledge about users’ needs and ergonomics is fundamental to optimize the workers’ wellbeing, working conditions, and industrial results. In this context, the paper presents a strategy to effectively assess the UX of workers to promote human-centric vision of manufacturing sites, enhancing the overall sustainability of the modern factories. A set of non-invasive wearable devices is used to monitor human activities and collect physiological parameters, as well as questionnaires to gather subjective self-assessment. This set-up was applied to virtual reality (VR) simulation, replicating heavy duty work sequence tasks that took place in an oil and gas pipes manufacturing site. This approach allowed the identification of possible stressful conditions for the operator, from physical and mental perspectives, which may compromise the performance. This research was funded by the European Community's HORIZON 2020 programme under grant agreement No. 958303 (PENELOPE).","author":[{"dropping-particle":"","family":"Khamaisi","given":"Riccardo Karim","non-dropping-particle":"","parse-names":false,"suffix":""},{"dropping-particle":"","family":"Brunzini","given":"Agnese","non-dropping-particle":"","parse-names":false,"suffix":""},{"dropping-particle":"","family":"Grandi","given":"Fabio","non-dropping-particle":"","parse-names":false,"suffix":""},{"dropping-particle":"","family":"Peruzzini","given":"Margherita","non-dropping-particle":"","parse-names":false,"suffix":""},{"dropping-particle":"","family":"Pellicciari","given":"Marcello","non-dropping-particle":"","parse-names":false,"suffix":""}],"container-title":"Robotics and Computer-Integrated Manufacturing","id":"ITEM-1","issued":{"date-parts":[["2022"]]},"title":"UX assessment strategy to identify potential stressful conditions for workers","type":"article-journal","volume":"78"},"uris":["http://www.mendeley.com/documents/?uuid=af7c604e-eac9-3483-8565-66913ba31f21"]}],"mendeley":{"formattedCitation":"&lt;sup&gt;37&lt;/sup&gt;","plainTextFormattedCitation":"37","previouslyFormattedCitation":"(Khamaisi &lt;i&gt;et al.&lt;/i&gt;, 2022)"},"properties":{"noteIndex":0},"schema":"https://github.com/citation-style-language/schema/raw/master/csl-citation.json"}</w:instrText>
      </w:r>
      <w:r w:rsidRPr="00576C59">
        <w:rPr>
          <w:rFonts w:asciiTheme="majorBidi" w:hAnsiTheme="majorBidi" w:cstheme="majorBidi"/>
          <w:sz w:val="20"/>
          <w:szCs w:val="20"/>
        </w:rPr>
        <w:fldChar w:fldCharType="separate"/>
      </w:r>
      <w:r w:rsidRPr="00576C59">
        <w:rPr>
          <w:rFonts w:asciiTheme="majorBidi" w:hAnsiTheme="majorBidi" w:cstheme="majorBidi"/>
          <w:noProof/>
          <w:sz w:val="20"/>
          <w:szCs w:val="20"/>
          <w:vertAlign w:val="superscript"/>
        </w:rPr>
        <w:t>37</w:t>
      </w:r>
      <w:r w:rsidRPr="00576C59">
        <w:rPr>
          <w:rFonts w:asciiTheme="majorBidi" w:hAnsiTheme="majorBidi" w:cstheme="majorBidi"/>
          <w:sz w:val="20"/>
          <w:szCs w:val="20"/>
        </w:rPr>
        <w:fldChar w:fldCharType="end"/>
      </w:r>
      <w:r w:rsidRPr="00576C59">
        <w:rPr>
          <w:rFonts w:asciiTheme="majorBidi" w:hAnsiTheme="majorBidi" w:cstheme="majorBidi"/>
          <w:sz w:val="20"/>
          <w:szCs w:val="20"/>
        </w:rPr>
        <w:t>. Data pre-processing technologies ensure that raw data is transformed into usable information through techniques such as filtering, segmentation, feature dimensionality reduction, and normalization. Table 3 below depicts the major technologies applied in the realization of HDT.</w:t>
      </w:r>
    </w:p>
    <w:p w14:paraId="368CA2D0" w14:textId="77777777" w:rsidR="00576C59" w:rsidRPr="00576C59" w:rsidRDefault="00576C59" w:rsidP="008718DD">
      <w:pPr>
        <w:ind w:left="60" w:firstLine="228"/>
        <w:jc w:val="both"/>
        <w:rPr>
          <w:rFonts w:asciiTheme="majorBidi" w:hAnsiTheme="majorBidi" w:cstheme="majorBidi"/>
          <w:sz w:val="20"/>
          <w:szCs w:val="20"/>
        </w:rPr>
      </w:pPr>
    </w:p>
    <w:p w14:paraId="0760A220" w14:textId="77777777" w:rsidR="00576C59" w:rsidRPr="00576C59" w:rsidRDefault="00576C59" w:rsidP="00576C59">
      <w:pPr>
        <w:jc w:val="both"/>
        <w:rPr>
          <w:rFonts w:asciiTheme="majorBidi" w:hAnsiTheme="majorBidi" w:cstheme="majorBidi"/>
          <w:sz w:val="28"/>
          <w:szCs w:val="28"/>
        </w:rPr>
      </w:pPr>
    </w:p>
    <w:p w14:paraId="21384ADE" w14:textId="77777777" w:rsidR="00576C59" w:rsidRPr="00576C59" w:rsidRDefault="00576C59" w:rsidP="00576C59">
      <w:pPr>
        <w:ind w:left="60" w:firstLine="228"/>
        <w:jc w:val="both"/>
        <w:rPr>
          <w:rFonts w:ascii="Times New Roman" w:hAnsi="Times New Roman" w:cs="Times New Roman"/>
          <w:sz w:val="20"/>
          <w:szCs w:val="20"/>
        </w:rPr>
      </w:pPr>
      <w:r w:rsidRPr="00576C59">
        <w:rPr>
          <w:rFonts w:ascii="Times New Roman" w:hAnsi="Times New Roman" w:cs="Times New Roman"/>
          <w:sz w:val="20"/>
          <w:szCs w:val="20"/>
        </w:rPr>
        <w:t xml:space="preserve">In conclusion, the successful development and implementation of HDT depend on the synergy of IoT, AI, ML, AR/VR, and data analytics technologies. These technological foundations collectively propel HDT within the Industry 5.0 paradigm, fostering more efficient, safer, and collaborative manufacturing processes by seamlessly integrating humans and digital systems </w:t>
      </w:r>
      <w:r w:rsidRPr="00576C59">
        <w:rPr>
          <w:rFonts w:ascii="Times New Roman" w:hAnsi="Times New Roman" w:cs="Times New Roman"/>
          <w:sz w:val="20"/>
          <w:szCs w:val="20"/>
        </w:rPr>
        <w:fldChar w:fldCharType="begin" w:fldLock="1"/>
      </w:r>
      <w:r w:rsidRPr="00576C59">
        <w:rPr>
          <w:rFonts w:ascii="Times New Roman" w:hAnsi="Times New Roman" w:cs="Times New Roman"/>
          <w:sz w:val="20"/>
          <w:szCs w:val="20"/>
        </w:rPr>
        <w:instrText>ADDIN CSL_CITATION {"citationItems":[{"id":"ITEM-1","itemData":{"DOI":"10.1016/j.cirp.2019.04.011","ISSN":"17260604","abstract":"This paper discusses an object-oriented event-driven simulation as a digital twin of a flexible assembly cell coordinated with a robot to perform assembly tasks alongside human. The digital twin extends the use of virtual simulation models developed in the design phase of a production system to operations for real-time control, dynamic skill-based tasks allocation between human and robot, sequencing of tasks and developing robot program accordingly. The methodology combines lean methods of manual assembly in human–robot collaboration paving path towards flexible human–robot work teams. The study is validated with an industrial case study involving dexterous assembly tasks.","author":[{"dropping-particle":"","family":"Bilberg","given":"Arne","non-dropping-particle":"","parse-names":false,"suffix":""},{"dropping-particle":"","family":"Malik","given":"Ali Ahmad","non-dropping-particle":"","parse-names":false,"suffix":""}],"container-title":"CIRP Annals","id":"ITEM-1","issue":"1","issued":{"date-parts":[["2019"]]},"title":"Digital twin driven human–robot collaborative assembly","type":"article-journal","volume":"68"},"uris":["http://www.mendeley.com/documents/?uuid=fb3f2df4-33b8-3028-aaa6-f19ca81718cb"]}],"mendeley":{"formattedCitation":"&lt;sup&gt;49&lt;/sup&gt;","plainTextFormattedCitation":"49","previouslyFormattedCitation":"(Bilberg and Malik, 2019)"},"properties":{"noteIndex":0},"schema":"https://github.com/citation-style-language/schema/raw/master/csl-citation.json"}</w:instrText>
      </w:r>
      <w:r w:rsidRPr="00576C59">
        <w:rPr>
          <w:rFonts w:ascii="Times New Roman" w:hAnsi="Times New Roman" w:cs="Times New Roman"/>
          <w:sz w:val="20"/>
          <w:szCs w:val="20"/>
        </w:rPr>
        <w:fldChar w:fldCharType="separate"/>
      </w:r>
      <w:r w:rsidRPr="00576C59">
        <w:rPr>
          <w:rFonts w:ascii="Times New Roman" w:hAnsi="Times New Roman" w:cs="Times New Roman"/>
          <w:noProof/>
          <w:sz w:val="20"/>
          <w:szCs w:val="20"/>
          <w:vertAlign w:val="superscript"/>
        </w:rPr>
        <w:t>49</w:t>
      </w:r>
      <w:r w:rsidRPr="00576C59">
        <w:rPr>
          <w:rFonts w:ascii="Times New Roman" w:hAnsi="Times New Roman" w:cs="Times New Roman"/>
          <w:sz w:val="20"/>
          <w:szCs w:val="20"/>
        </w:rPr>
        <w:fldChar w:fldCharType="end"/>
      </w:r>
      <w:r w:rsidRPr="00576C59">
        <w:rPr>
          <w:rFonts w:ascii="Times New Roman" w:hAnsi="Times New Roman" w:cs="Times New Roman"/>
          <w:sz w:val="20"/>
          <w:szCs w:val="20"/>
        </w:rPr>
        <w:t>.</w:t>
      </w:r>
    </w:p>
    <w:p w14:paraId="319EA3ED" w14:textId="77777777" w:rsidR="00576C59" w:rsidRPr="0012787A" w:rsidRDefault="00576C59" w:rsidP="008718DD">
      <w:pPr>
        <w:ind w:left="60" w:firstLine="228"/>
        <w:jc w:val="both"/>
        <w:rPr>
          <w:rFonts w:asciiTheme="majorBidi" w:hAnsiTheme="majorBidi" w:cstheme="majorBidi"/>
          <w:sz w:val="20"/>
          <w:szCs w:val="20"/>
        </w:rPr>
        <w:sectPr w:rsidR="00576C59" w:rsidRPr="0012787A" w:rsidSect="00163D93">
          <w:pgSz w:w="12240" w:h="15840"/>
          <w:pgMar w:top="806" w:right="1440" w:bottom="1440" w:left="1440" w:header="547" w:footer="2016" w:gutter="0"/>
          <w:cols w:num="2" w:space="708"/>
        </w:sectPr>
      </w:pPr>
    </w:p>
    <w:p w14:paraId="79F1D979" w14:textId="77777777" w:rsidR="00CB61B9" w:rsidRDefault="00CB61B9" w:rsidP="00CB61B9">
      <w:pPr>
        <w:jc w:val="center"/>
        <w:rPr>
          <w:rFonts w:asciiTheme="majorBidi" w:hAnsiTheme="majorBidi" w:cstheme="majorBidi"/>
          <w:sz w:val="20"/>
          <w:szCs w:val="20"/>
        </w:rPr>
      </w:pPr>
      <w:r w:rsidRPr="0012787A">
        <w:rPr>
          <w:rFonts w:asciiTheme="majorBidi" w:hAnsiTheme="majorBidi" w:cstheme="majorBidi"/>
          <w:b/>
          <w:sz w:val="20"/>
          <w:szCs w:val="20"/>
        </w:rPr>
        <w:lastRenderedPageBreak/>
        <w:t xml:space="preserve">Table 3. </w:t>
      </w:r>
      <w:r w:rsidRPr="0012787A">
        <w:rPr>
          <w:rFonts w:asciiTheme="majorBidi" w:hAnsiTheme="majorBidi" w:cstheme="majorBidi"/>
          <w:sz w:val="20"/>
          <w:szCs w:val="20"/>
        </w:rPr>
        <w:t>Major HDT Technologies for Connection &amp; Computing</w:t>
      </w:r>
    </w:p>
    <w:p w14:paraId="06596110" w14:textId="77777777" w:rsidR="00576C59" w:rsidRPr="00576C59" w:rsidRDefault="00576C59" w:rsidP="00CB61B9">
      <w:pPr>
        <w:jc w:val="center"/>
        <w:rPr>
          <w:rFonts w:asciiTheme="majorBidi" w:hAnsiTheme="majorBidi" w:cstheme="majorBidi"/>
          <w:sz w:val="10"/>
          <w:szCs w:val="10"/>
        </w:rPr>
      </w:pPr>
    </w:p>
    <w:tbl>
      <w:tblPr>
        <w:tblW w:w="9041" w:type="dxa"/>
        <w:tblLook w:val="04A0" w:firstRow="1" w:lastRow="0" w:firstColumn="1" w:lastColumn="0" w:noHBand="0" w:noVBand="1"/>
      </w:tblPr>
      <w:tblGrid>
        <w:gridCol w:w="1858"/>
        <w:gridCol w:w="3151"/>
        <w:gridCol w:w="2961"/>
        <w:gridCol w:w="1071"/>
      </w:tblGrid>
      <w:tr w:rsidR="00CB61B9" w:rsidRPr="0058500A" w14:paraId="5C594457" w14:textId="77777777" w:rsidTr="00721C95">
        <w:trPr>
          <w:trHeight w:val="324"/>
        </w:trPr>
        <w:tc>
          <w:tcPr>
            <w:tcW w:w="1876" w:type="dxa"/>
            <w:tcBorders>
              <w:top w:val="single" w:sz="4" w:space="0" w:color="auto"/>
              <w:left w:val="nil"/>
              <w:bottom w:val="single" w:sz="4" w:space="0" w:color="auto"/>
              <w:right w:val="nil"/>
            </w:tcBorders>
            <w:shd w:val="clear" w:color="auto" w:fill="auto"/>
            <w:vAlign w:val="bottom"/>
            <w:hideMark/>
          </w:tcPr>
          <w:p w14:paraId="4E3100E6" w14:textId="77777777" w:rsidR="00CB61B9" w:rsidRPr="0058500A" w:rsidRDefault="00CB61B9" w:rsidP="00022C38">
            <w:pPr>
              <w:rPr>
                <w:rFonts w:asciiTheme="majorBidi" w:hAnsiTheme="majorBidi" w:cstheme="majorBidi"/>
                <w:b/>
                <w:bCs/>
                <w:color w:val="000000"/>
                <w:sz w:val="20"/>
                <w:szCs w:val="20"/>
              </w:rPr>
            </w:pPr>
            <w:r w:rsidRPr="0058500A">
              <w:rPr>
                <w:rFonts w:asciiTheme="majorBidi" w:hAnsiTheme="majorBidi" w:cstheme="majorBidi"/>
                <w:b/>
                <w:bCs/>
                <w:color w:val="000000"/>
                <w:sz w:val="20"/>
                <w:szCs w:val="20"/>
              </w:rPr>
              <w:t>Technology</w:t>
            </w:r>
          </w:p>
        </w:tc>
        <w:tc>
          <w:tcPr>
            <w:tcW w:w="3197" w:type="dxa"/>
            <w:tcBorders>
              <w:top w:val="single" w:sz="4" w:space="0" w:color="auto"/>
              <w:left w:val="nil"/>
              <w:bottom w:val="single" w:sz="4" w:space="0" w:color="auto"/>
              <w:right w:val="nil"/>
            </w:tcBorders>
            <w:shd w:val="clear" w:color="auto" w:fill="auto"/>
            <w:vAlign w:val="bottom"/>
            <w:hideMark/>
          </w:tcPr>
          <w:p w14:paraId="48FC60D4" w14:textId="77777777" w:rsidR="00CB61B9" w:rsidRPr="0058500A" w:rsidRDefault="00CB61B9" w:rsidP="00022C38">
            <w:pPr>
              <w:rPr>
                <w:rFonts w:asciiTheme="majorBidi" w:hAnsiTheme="majorBidi" w:cstheme="majorBidi"/>
                <w:b/>
                <w:bCs/>
                <w:color w:val="000000"/>
                <w:sz w:val="20"/>
                <w:szCs w:val="20"/>
              </w:rPr>
            </w:pPr>
            <w:r w:rsidRPr="0058500A">
              <w:rPr>
                <w:rFonts w:asciiTheme="majorBidi" w:hAnsiTheme="majorBidi" w:cstheme="majorBidi"/>
                <w:b/>
                <w:bCs/>
                <w:color w:val="000000"/>
                <w:sz w:val="20"/>
                <w:szCs w:val="20"/>
              </w:rPr>
              <w:t>Description</w:t>
            </w:r>
          </w:p>
        </w:tc>
        <w:tc>
          <w:tcPr>
            <w:tcW w:w="3000" w:type="dxa"/>
            <w:tcBorders>
              <w:top w:val="single" w:sz="4" w:space="0" w:color="auto"/>
              <w:left w:val="nil"/>
              <w:bottom w:val="single" w:sz="4" w:space="0" w:color="auto"/>
              <w:right w:val="nil"/>
            </w:tcBorders>
            <w:shd w:val="clear" w:color="auto" w:fill="auto"/>
            <w:vAlign w:val="bottom"/>
            <w:hideMark/>
          </w:tcPr>
          <w:p w14:paraId="151B86BA" w14:textId="77777777" w:rsidR="00CB61B9" w:rsidRPr="0058500A" w:rsidRDefault="00CB61B9" w:rsidP="00022C38">
            <w:pPr>
              <w:rPr>
                <w:rFonts w:asciiTheme="majorBidi" w:hAnsiTheme="majorBidi" w:cstheme="majorBidi"/>
                <w:b/>
                <w:bCs/>
                <w:color w:val="000000"/>
                <w:sz w:val="20"/>
                <w:szCs w:val="20"/>
              </w:rPr>
            </w:pPr>
            <w:r w:rsidRPr="0058500A">
              <w:rPr>
                <w:rFonts w:asciiTheme="majorBidi" w:hAnsiTheme="majorBidi" w:cstheme="majorBidi"/>
                <w:b/>
                <w:bCs/>
                <w:color w:val="000000"/>
                <w:sz w:val="20"/>
                <w:szCs w:val="20"/>
              </w:rPr>
              <w:t>Functions</w:t>
            </w:r>
          </w:p>
        </w:tc>
        <w:tc>
          <w:tcPr>
            <w:tcW w:w="968" w:type="dxa"/>
            <w:tcBorders>
              <w:top w:val="single" w:sz="4" w:space="0" w:color="auto"/>
              <w:left w:val="nil"/>
              <w:bottom w:val="single" w:sz="4" w:space="0" w:color="auto"/>
              <w:right w:val="nil"/>
            </w:tcBorders>
            <w:shd w:val="clear" w:color="auto" w:fill="auto"/>
            <w:noWrap/>
            <w:vAlign w:val="bottom"/>
            <w:hideMark/>
          </w:tcPr>
          <w:p w14:paraId="5C0C3BA6" w14:textId="77777777" w:rsidR="00CB61B9" w:rsidRPr="0058500A" w:rsidRDefault="00CB61B9" w:rsidP="00022C38">
            <w:pPr>
              <w:jc w:val="center"/>
              <w:rPr>
                <w:rFonts w:asciiTheme="majorBidi" w:hAnsiTheme="majorBidi" w:cstheme="majorBidi"/>
                <w:b/>
                <w:bCs/>
                <w:color w:val="000000"/>
                <w:sz w:val="20"/>
                <w:szCs w:val="20"/>
              </w:rPr>
            </w:pPr>
            <w:r w:rsidRPr="0058500A">
              <w:rPr>
                <w:rFonts w:asciiTheme="majorBidi" w:hAnsiTheme="majorBidi" w:cstheme="majorBidi"/>
                <w:b/>
                <w:bCs/>
                <w:color w:val="000000"/>
                <w:sz w:val="20"/>
                <w:szCs w:val="20"/>
              </w:rPr>
              <w:t>Reference</w:t>
            </w:r>
          </w:p>
        </w:tc>
      </w:tr>
      <w:tr w:rsidR="00CB61B9" w:rsidRPr="0058500A" w14:paraId="5B47F72A" w14:textId="77777777" w:rsidTr="00721C95">
        <w:trPr>
          <w:trHeight w:val="972"/>
        </w:trPr>
        <w:tc>
          <w:tcPr>
            <w:tcW w:w="1876" w:type="dxa"/>
            <w:tcBorders>
              <w:top w:val="nil"/>
              <w:left w:val="nil"/>
              <w:bottom w:val="nil"/>
              <w:right w:val="nil"/>
            </w:tcBorders>
            <w:shd w:val="clear" w:color="auto" w:fill="auto"/>
            <w:hideMark/>
          </w:tcPr>
          <w:p w14:paraId="679FB32A"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Internet of Things (IoT)</w:t>
            </w:r>
          </w:p>
        </w:tc>
        <w:tc>
          <w:tcPr>
            <w:tcW w:w="3197" w:type="dxa"/>
            <w:tcBorders>
              <w:top w:val="nil"/>
              <w:left w:val="nil"/>
              <w:bottom w:val="nil"/>
              <w:right w:val="nil"/>
            </w:tcBorders>
            <w:shd w:val="clear" w:color="auto" w:fill="auto"/>
            <w:hideMark/>
          </w:tcPr>
          <w:p w14:paraId="74A9523C"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A collection of interconnected devices that include actuators, controllers, sensors, and human operators.</w:t>
            </w:r>
          </w:p>
        </w:tc>
        <w:tc>
          <w:tcPr>
            <w:tcW w:w="3000" w:type="dxa"/>
            <w:tcBorders>
              <w:top w:val="nil"/>
              <w:left w:val="nil"/>
              <w:bottom w:val="nil"/>
              <w:right w:val="nil"/>
            </w:tcBorders>
            <w:shd w:val="clear" w:color="auto" w:fill="auto"/>
            <w:hideMark/>
          </w:tcPr>
          <w:p w14:paraId="1EC4AAEE"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Efficiently accomplish comprehensive digital integration across the complete manufacturing enterprise.</w:t>
            </w:r>
          </w:p>
        </w:tc>
        <w:tc>
          <w:tcPr>
            <w:tcW w:w="968" w:type="dxa"/>
            <w:tcBorders>
              <w:top w:val="nil"/>
              <w:left w:val="nil"/>
              <w:bottom w:val="nil"/>
              <w:right w:val="nil"/>
            </w:tcBorders>
            <w:shd w:val="clear" w:color="auto" w:fill="auto"/>
            <w:noWrap/>
            <w:hideMark/>
          </w:tcPr>
          <w:p w14:paraId="79DE2BEC"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{"citationItems":[{"id":"ITEM-1","itemData":{"DOI":"10.3390/s21227518","ISSN":"14248220","abstract":"The Industrial Internet of Things (IIoT) refers to the use of smart sensors, actuators, fast communication protocols, and efficient cybersecurity mechanisms to improve industrial processes and applications. In large industrial networks, smart devices generate large amounts of data, and thus IIoT frameworks require intelligent, robust techniques for big data analysis. Artificial intelligence (AI) and deep learning (DL) techniques produce promising results in IIoT networks due to their intelligent learning and processing capabilities. This survey article assesses the potential of DL in IIoT applications and presents a brief architecture of IIoT with key enabling technologies. Several well-known DL algorithms are then discussed along with their theoretical backgrounds and several software and hardware frameworks for DL implementations. Potential deployments of DL techniques in IIoT applications are briefly discussed. Finally, this survey highlights significant challenges and future directions for future research endeavors.","author":[{"dropping-particle":"","family":"Latif","given":"Shahid","non-dropping-particle":"","parse-names":false,"suffix":""},{"dropping-particle":"","family":"Driss","given":"Maha","non-dropping-particle":"","parse-names":false,"suffix":""},{"dropping-particle":"","family":"Boulila","given":"Wadii","non-dropping-particle":"","parse-names":false,"suffix":""},{"dropping-particle":"","family":"Huma","given":"Zil E.","non-dropping-particle":"","parse-names":false,"suffix":""},{"dropping-particle":"","family":"Jamal","given":"Sajjad Shaukat","non-dropping-particle":"","parse-names":false,"suffix":""},{"dropping-particle":"","family":"Idrees","given":"Zeba","non-dropping-particle":"","parse-names":false,"suffix":""},{"dropping-particle":"","family":"Ahmad","given":"Jawad","non-dropping-particle":"","parse-names":false,"suffix":""}],"container-title":"Sensors","id":"ITEM-1","issue":"22","issued":{"date-parts":[["2021"]]},"title":"Deep learning for the industrial internet of things (Iiot): A comprehensive survey of techniques, implementation frameworks, potential applications, and future directions","type":"article","volume":"21"},"uris":["http://www.mendeley.com/documents/?uuid=59b8f8c6-a3ab-3350-b492-36900d06f897"]}],"mendeley":{"formattedCitation":"&lt;sup&gt;30&lt;/sup&gt;","plainTextFormattedCitation":"30","previouslyFormattedCitation":"(Latif &lt;i&gt;et al.&lt;/i&gt;, 2021)"},"properties":{"noteIndex":0},"schema":"https://github.com/citation-style-language/schema/raw/master/csl-citation.json"}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30</w:t>
            </w:r>
            <w:r w:rsidRPr="00884515">
              <w:rPr>
                <w:rFonts w:asciiTheme="majorBidi" w:hAnsiTheme="majorBidi" w:cstheme="majorBidi"/>
                <w:color w:val="000000"/>
                <w:sz w:val="28"/>
                <w:szCs w:val="28"/>
              </w:rPr>
              <w:fldChar w:fldCharType="end"/>
            </w:r>
          </w:p>
        </w:tc>
      </w:tr>
      <w:tr w:rsidR="00CB61B9" w:rsidRPr="0058500A" w14:paraId="3AEDC211" w14:textId="77777777" w:rsidTr="00721C95">
        <w:trPr>
          <w:trHeight w:val="1313"/>
        </w:trPr>
        <w:tc>
          <w:tcPr>
            <w:tcW w:w="1876" w:type="dxa"/>
            <w:tcBorders>
              <w:top w:val="nil"/>
              <w:left w:val="nil"/>
              <w:bottom w:val="nil"/>
              <w:right w:val="nil"/>
            </w:tcBorders>
            <w:shd w:val="clear" w:color="auto" w:fill="auto"/>
            <w:hideMark/>
          </w:tcPr>
          <w:p w14:paraId="72E1FEF7"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Industrial IoT</w:t>
            </w:r>
          </w:p>
        </w:tc>
        <w:tc>
          <w:tcPr>
            <w:tcW w:w="3197" w:type="dxa"/>
            <w:tcBorders>
              <w:top w:val="nil"/>
              <w:left w:val="nil"/>
              <w:bottom w:val="nil"/>
              <w:right w:val="nil"/>
            </w:tcBorders>
            <w:shd w:val="clear" w:color="auto" w:fill="auto"/>
            <w:hideMark/>
          </w:tcPr>
          <w:p w14:paraId="62FF3B78"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Industrial IoT (</w:t>
            </w:r>
            <w:proofErr w:type="spellStart"/>
            <w:r w:rsidRPr="0058500A">
              <w:rPr>
                <w:rFonts w:asciiTheme="majorBidi" w:hAnsiTheme="majorBidi" w:cstheme="majorBidi"/>
                <w:color w:val="000000"/>
                <w:sz w:val="20"/>
                <w:szCs w:val="20"/>
              </w:rPr>
              <w:t>IIoT</w:t>
            </w:r>
            <w:proofErr w:type="spellEnd"/>
            <w:r w:rsidRPr="0058500A">
              <w:rPr>
                <w:rFonts w:asciiTheme="majorBidi" w:hAnsiTheme="majorBidi" w:cstheme="majorBidi"/>
                <w:color w:val="000000"/>
                <w:sz w:val="20"/>
                <w:szCs w:val="20"/>
              </w:rPr>
              <w:t>) refers to the implementation of traditional Internet of Things (IoT) principles and technologies in the business sector.</w:t>
            </w:r>
          </w:p>
        </w:tc>
        <w:tc>
          <w:tcPr>
            <w:tcW w:w="3000" w:type="dxa"/>
            <w:tcBorders>
              <w:top w:val="nil"/>
              <w:left w:val="nil"/>
              <w:bottom w:val="nil"/>
              <w:right w:val="nil"/>
            </w:tcBorders>
            <w:shd w:val="clear" w:color="auto" w:fill="auto"/>
            <w:hideMark/>
          </w:tcPr>
          <w:p w14:paraId="7499609A"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Enhance industrial operations through real-time data, predictive maintenance, and improved efficiency via interconnected devices and systems.</w:t>
            </w:r>
          </w:p>
        </w:tc>
        <w:tc>
          <w:tcPr>
            <w:tcW w:w="968" w:type="dxa"/>
            <w:tcBorders>
              <w:top w:val="nil"/>
              <w:left w:val="nil"/>
              <w:bottom w:val="nil"/>
              <w:right w:val="nil"/>
            </w:tcBorders>
            <w:shd w:val="clear" w:color="auto" w:fill="auto"/>
            <w:noWrap/>
            <w:hideMark/>
          </w:tcPr>
          <w:p w14:paraId="3B1BF75F"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{"citationItems":[{"id":"ITEM-1","itemData":{"DOI":"10.3390/s21227518","ISSN":"14248220","abstract":"The Industrial Internet of Things (IIoT) refers to the use of smart sensors, actuators, fast communication protocols, and efficient cybersecurity mechanisms to improve industrial processes and applications. In large industrial networks, smart devices generate large amounts of data, and thus IIoT frameworks require intelligent, robust techniques for big data analysis. Artificial intelligence (AI) and deep learning (DL) techniques produce promising results in IIoT networks due to their intelligent learning and processing capabilities. This survey article assesses the potential of DL in IIoT applications and presents a brief architecture of IIoT with key enabling technologies. Several well-known DL algorithms are then discussed along with their theoretical backgrounds and several software and hardware frameworks for DL implementations. Potential deployments of DL techniques in IIoT applications are briefly discussed. Finally, this survey highlights significant challenges and future directions for future research endeavors.","author":[{"dropping-particle":"","family":"Latif","given":"Shahid","non-dropping-particle":"","parse-names":false,"suffix":""},{"dropping-particle":"","family":"Driss","given":"Maha","non-dropping-particle":"","parse-names":false,"suffix":""},{"dropping-particle":"","family":"Boulila","given":"Wadii","non-dropping-particle":"","parse-names":false,"suffix":""},{"dropping-particle":"","family":"Huma","given":"Zil E.","non-dropping-particle":"","parse-names":false,"suffix":""},{"dropping-particle":"","family":"Jamal","given":"Sajjad Shaukat","non-dropping-particle":"","parse-names":false,"suffix":""},{"dropping-particle":"","family":"Idrees","given":"Zeba","non-dropping-particle":"","parse-names":false,"suffix":""},{"dropping-particle":"","family":"Ahmad","given":"Jawad","non-dropping-particle":"","parse-names":false,"suffix":""}],"container-title":"Sensors","id":"ITEM-1","issue":"22","issued":{"date-parts":[["2021"]]},"title":"Deep learning for the industrial internet of things (Iiot): A comprehensive survey of techniques, implementation frameworks, potential applications, and future directions","type":"article","volume":"21"},"uris":["http://www.mendeley.com/documents/?uuid=59b8f8c6-a3ab-3350-b492-36900d06f897"]}],"mendeley":{"formattedCitation":"&lt;sup&gt;30&lt;/sup&gt;","plainTextFormattedCitation":"30","previouslyFormattedCitation":"(Latif &lt;i&gt;et al.&lt;/i&gt;, 2021)"},"properties":{"noteIndex":0},"schema":"https://github.com/citation-style-language/schema/raw/master/csl-citation.json"}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30</w:t>
            </w:r>
            <w:r w:rsidRPr="00884515">
              <w:rPr>
                <w:rFonts w:asciiTheme="majorBidi" w:hAnsiTheme="majorBidi" w:cstheme="majorBidi"/>
                <w:color w:val="000000"/>
                <w:sz w:val="28"/>
                <w:szCs w:val="28"/>
              </w:rPr>
              <w:fldChar w:fldCharType="end"/>
            </w:r>
          </w:p>
        </w:tc>
      </w:tr>
      <w:tr w:rsidR="00CB61B9" w:rsidRPr="0058500A" w14:paraId="0E615A79" w14:textId="77777777" w:rsidTr="00721C95">
        <w:trPr>
          <w:trHeight w:val="1521"/>
        </w:trPr>
        <w:tc>
          <w:tcPr>
            <w:tcW w:w="1876" w:type="dxa"/>
            <w:tcBorders>
              <w:top w:val="nil"/>
              <w:left w:val="nil"/>
              <w:bottom w:val="nil"/>
              <w:right w:val="nil"/>
            </w:tcBorders>
            <w:shd w:val="clear" w:color="auto" w:fill="auto"/>
            <w:hideMark/>
          </w:tcPr>
          <w:p w14:paraId="4E3AD5C0" w14:textId="77777777" w:rsidR="00CB61B9" w:rsidRPr="0058500A" w:rsidRDefault="00CB61B9" w:rsidP="00022C38">
            <w:pPr>
              <w:rPr>
                <w:rFonts w:asciiTheme="majorBidi" w:hAnsiTheme="majorBidi" w:cstheme="majorBidi"/>
                <w:sz w:val="20"/>
                <w:szCs w:val="20"/>
              </w:rPr>
            </w:pPr>
            <w:r w:rsidRPr="0058500A">
              <w:rPr>
                <w:rFonts w:asciiTheme="majorBidi" w:hAnsiTheme="majorBidi" w:cstheme="majorBidi"/>
                <w:sz w:val="20"/>
                <w:szCs w:val="20"/>
              </w:rPr>
              <w:t>Social IoT (</w:t>
            </w:r>
            <w:proofErr w:type="spellStart"/>
            <w:r w:rsidRPr="0058500A">
              <w:rPr>
                <w:rFonts w:asciiTheme="majorBidi" w:hAnsiTheme="majorBidi" w:cstheme="majorBidi"/>
                <w:sz w:val="20"/>
                <w:szCs w:val="20"/>
              </w:rPr>
              <w:t>SIoT</w:t>
            </w:r>
            <w:proofErr w:type="spellEnd"/>
            <w:r w:rsidRPr="0058500A">
              <w:rPr>
                <w:rFonts w:asciiTheme="majorBidi" w:hAnsiTheme="majorBidi" w:cstheme="majorBidi"/>
                <w:sz w:val="20"/>
                <w:szCs w:val="20"/>
              </w:rPr>
              <w:t>)</w:t>
            </w:r>
          </w:p>
          <w:p w14:paraId="4226FCD8" w14:textId="77777777" w:rsidR="00CB61B9" w:rsidRPr="0058500A" w:rsidRDefault="00CB61B9" w:rsidP="00022C38">
            <w:pPr>
              <w:rPr>
                <w:rFonts w:asciiTheme="majorBidi" w:hAnsiTheme="majorBidi" w:cstheme="majorBidi"/>
                <w:color w:val="000000"/>
                <w:sz w:val="20"/>
                <w:szCs w:val="20"/>
              </w:rPr>
            </w:pPr>
          </w:p>
        </w:tc>
        <w:tc>
          <w:tcPr>
            <w:tcW w:w="3197" w:type="dxa"/>
            <w:tcBorders>
              <w:top w:val="nil"/>
              <w:left w:val="nil"/>
              <w:bottom w:val="nil"/>
              <w:right w:val="nil"/>
            </w:tcBorders>
            <w:shd w:val="clear" w:color="auto" w:fill="auto"/>
            <w:hideMark/>
          </w:tcPr>
          <w:p w14:paraId="6CBEB8FE"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 xml:space="preserve"> The modeling of internet-connected devices according to the connections between humans and their daily activities is referred to as </w:t>
            </w:r>
            <w:proofErr w:type="spellStart"/>
            <w:r w:rsidRPr="0058500A">
              <w:rPr>
                <w:rFonts w:asciiTheme="majorBidi" w:hAnsiTheme="majorBidi" w:cstheme="majorBidi"/>
                <w:color w:val="000000"/>
                <w:sz w:val="20"/>
                <w:szCs w:val="20"/>
              </w:rPr>
              <w:t>SIoT</w:t>
            </w:r>
            <w:proofErr w:type="spellEnd"/>
            <w:r w:rsidRPr="0058500A">
              <w:rPr>
                <w:rFonts w:asciiTheme="majorBidi" w:hAnsiTheme="majorBidi" w:cstheme="majorBidi"/>
                <w:color w:val="000000"/>
                <w:sz w:val="20"/>
                <w:szCs w:val="20"/>
              </w:rPr>
              <w:t>.</w:t>
            </w:r>
          </w:p>
        </w:tc>
        <w:tc>
          <w:tcPr>
            <w:tcW w:w="3000" w:type="dxa"/>
            <w:tcBorders>
              <w:top w:val="nil"/>
              <w:left w:val="nil"/>
              <w:bottom w:val="nil"/>
              <w:right w:val="nil"/>
            </w:tcBorders>
            <w:shd w:val="clear" w:color="auto" w:fill="auto"/>
            <w:hideMark/>
          </w:tcPr>
          <w:p w14:paraId="6BCBCFE6" w14:textId="77777777" w:rsidR="00CB61B9" w:rsidRPr="0058500A" w:rsidRDefault="00CB61B9" w:rsidP="00022C38">
            <w:pPr>
              <w:rPr>
                <w:rFonts w:asciiTheme="majorBidi" w:hAnsiTheme="majorBidi" w:cstheme="majorBidi"/>
                <w:color w:val="374151"/>
                <w:sz w:val="20"/>
                <w:szCs w:val="20"/>
              </w:rPr>
            </w:pPr>
            <w:r w:rsidRPr="0058500A">
              <w:rPr>
                <w:rFonts w:asciiTheme="majorBidi" w:hAnsiTheme="majorBidi" w:cstheme="majorBidi"/>
                <w:sz w:val="20"/>
                <w:szCs w:val="20"/>
              </w:rPr>
              <w:t xml:space="preserve">Enable seamless communication and collaboration between smart objects, facilitating efficient information exchange and decision-making </w:t>
            </w:r>
            <w:proofErr w:type="gramStart"/>
            <w:r w:rsidRPr="0058500A">
              <w:rPr>
                <w:rFonts w:asciiTheme="majorBidi" w:hAnsiTheme="majorBidi" w:cstheme="majorBidi"/>
                <w:sz w:val="20"/>
                <w:szCs w:val="20"/>
              </w:rPr>
              <w:t>in</w:t>
            </w:r>
            <w:proofErr w:type="gramEnd"/>
            <w:r w:rsidRPr="0058500A">
              <w:rPr>
                <w:rFonts w:asciiTheme="majorBidi" w:hAnsiTheme="majorBidi" w:cstheme="majorBidi"/>
                <w:sz w:val="20"/>
                <w:szCs w:val="20"/>
              </w:rPr>
              <w:t xml:space="preserve"> the Internet of Things (IoT) ecosystem.</w:t>
            </w:r>
          </w:p>
        </w:tc>
        <w:tc>
          <w:tcPr>
            <w:tcW w:w="968" w:type="dxa"/>
            <w:tcBorders>
              <w:top w:val="nil"/>
              <w:left w:val="nil"/>
              <w:bottom w:val="nil"/>
              <w:right w:val="nil"/>
            </w:tcBorders>
            <w:shd w:val="clear" w:color="auto" w:fill="auto"/>
            <w:noWrap/>
            <w:hideMark/>
          </w:tcPr>
          <w:p w14:paraId="04F38C7D" w14:textId="77777777" w:rsidR="00CB61B9" w:rsidRPr="00884515" w:rsidRDefault="00CB61B9" w:rsidP="00022C38">
            <w:pPr>
              <w:jc w:val="center"/>
              <w:rPr>
                <w:rFonts w:asciiTheme="majorBidi" w:hAnsiTheme="majorBidi" w:cstheme="majorBidi"/>
                <w:color w:val="374151"/>
                <w:sz w:val="28"/>
                <w:szCs w:val="28"/>
              </w:rPr>
            </w:pPr>
            <w:r w:rsidRPr="00884515">
              <w:rPr>
                <w:rFonts w:asciiTheme="majorBidi" w:hAnsiTheme="majorBidi" w:cstheme="majorBidi"/>
                <w:color w:val="374151"/>
                <w:sz w:val="28"/>
                <w:szCs w:val="28"/>
              </w:rPr>
              <w:fldChar w:fldCharType="begin" w:fldLock="1"/>
            </w:r>
            <w:r w:rsidRPr="00884515">
              <w:rPr>
                <w:rFonts w:asciiTheme="majorBidi" w:hAnsiTheme="majorBidi" w:cstheme="majorBidi"/>
                <w:color w:val="374151"/>
                <w:sz w:val="28"/>
                <w:szCs w:val="28"/>
              </w:rPr>
              <w:instrText>ADDIN CSL_CITATION {"citationItems":[{"id":"ITEM-1","itemData":{"DOI":"10.1016/j.comnet.2012.07.010","ISSN":"13891286","abstract":"Recently there has been quite a number of independent research activities that investigated the potentialities of integrating social networking concepts into Internet of Things (IoT) solutions. The resulting paradigm, named Social Internet of Things (SIoT), has the potential to support novel applications and networking services for the IoT in more effective and efficient ways. In this context, the main contributions of this paper are the following: (i) we identify appropriate policies for the establishment and the management of social relationships between objects in such a way that the resulting social network is navigable; (ii) we describe a possible architecture for the IoT that includes the functionalities required to integrate things into a social network; (iii) we analyze the characteristics of the SIoT network structure by means of simulations.","author":[{"dropping-particle":"","family":"Atzori","given":"Luigi","non-dropping-particle":"","parse-names":false,"suffix":""},{"dropping-particle":"","family":"Iera","given":"Antonio","non-dropping-particle":"","parse-names":false,"suffix":""},{"dropping-particle":"","family":"Morabito","given":"Giacomo","non-dropping-particle":"","parse-names":false,"suffix":""},{"dropping-particle":"","family":"Nitti","given":"Michele","non-dropping-particle":"","parse-names":false,"suffix":""}],"container-title":"Computer Networks","id":"ITEM-1","issue":"16","issued":{"date-parts":[["2012"]]},"title":"The social internet of things (SIoT) - When social networks meet the internet of things: Concept, architecture and network characterization","type":"article-journal","volume":"56"},"uris":["http://www.mendeley.com/documents/?uuid=18a85b11-e045-3afb-b95a-77b7dcddd2f4"]}],"mendeley":{"formattedCitation":"&lt;sup&gt;38&lt;/sup&gt;","plainTextFormattedCitation":"38","previouslyFormattedCitation":"(Atzori &lt;i&gt;et al.&lt;/i&gt;, 2012)"},"properties":{"noteIndex":0},"schema":"https://github.com/citation-style-language/schema/raw/master/csl-citation.json"}</w:instrText>
            </w:r>
            <w:r w:rsidRPr="00884515">
              <w:rPr>
                <w:rFonts w:asciiTheme="majorBidi" w:hAnsiTheme="majorBidi" w:cstheme="majorBidi"/>
                <w:color w:val="374151"/>
                <w:sz w:val="28"/>
                <w:szCs w:val="28"/>
              </w:rPr>
              <w:fldChar w:fldCharType="separate"/>
            </w:r>
            <w:r w:rsidRPr="00884515">
              <w:rPr>
                <w:rFonts w:asciiTheme="majorBidi" w:hAnsiTheme="majorBidi" w:cstheme="majorBidi"/>
                <w:noProof/>
                <w:color w:val="374151"/>
                <w:sz w:val="28"/>
                <w:szCs w:val="28"/>
                <w:vertAlign w:val="superscript"/>
              </w:rPr>
              <w:t>38</w:t>
            </w:r>
            <w:r w:rsidRPr="00884515">
              <w:rPr>
                <w:rFonts w:asciiTheme="majorBidi" w:hAnsiTheme="majorBidi" w:cstheme="majorBidi"/>
                <w:color w:val="374151"/>
                <w:sz w:val="28"/>
                <w:szCs w:val="28"/>
              </w:rPr>
              <w:fldChar w:fldCharType="end"/>
            </w:r>
          </w:p>
        </w:tc>
      </w:tr>
      <w:tr w:rsidR="00CB61B9" w:rsidRPr="0058500A" w14:paraId="6CF6E8B0" w14:textId="77777777" w:rsidTr="00721C95">
        <w:trPr>
          <w:trHeight w:val="1473"/>
        </w:trPr>
        <w:tc>
          <w:tcPr>
            <w:tcW w:w="1876" w:type="dxa"/>
            <w:tcBorders>
              <w:top w:val="nil"/>
              <w:left w:val="nil"/>
              <w:bottom w:val="nil"/>
              <w:right w:val="nil"/>
            </w:tcBorders>
            <w:shd w:val="clear" w:color="auto" w:fill="auto"/>
            <w:hideMark/>
          </w:tcPr>
          <w:p w14:paraId="47D89D3D" w14:textId="77777777" w:rsidR="00CB61B9" w:rsidRPr="0058500A" w:rsidRDefault="00CB61B9" w:rsidP="00022C38">
            <w:pPr>
              <w:rPr>
                <w:rFonts w:asciiTheme="majorBidi" w:hAnsiTheme="majorBidi" w:cstheme="majorBidi"/>
                <w:color w:val="000000"/>
                <w:sz w:val="20"/>
                <w:szCs w:val="20"/>
              </w:rPr>
            </w:pPr>
          </w:p>
          <w:p w14:paraId="5C14F95C"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Internet of Services (</w:t>
            </w:r>
            <w:proofErr w:type="spellStart"/>
            <w:r w:rsidRPr="0058500A">
              <w:rPr>
                <w:rFonts w:asciiTheme="majorBidi" w:hAnsiTheme="majorBidi" w:cstheme="majorBidi"/>
                <w:color w:val="000000"/>
                <w:sz w:val="20"/>
                <w:szCs w:val="20"/>
              </w:rPr>
              <w:t>IoS</w:t>
            </w:r>
            <w:proofErr w:type="spellEnd"/>
            <w:r w:rsidRPr="0058500A">
              <w:rPr>
                <w:rFonts w:asciiTheme="majorBidi" w:hAnsiTheme="majorBidi" w:cstheme="majorBidi"/>
                <w:color w:val="000000"/>
                <w:sz w:val="20"/>
                <w:szCs w:val="20"/>
              </w:rPr>
              <w:t>)</w:t>
            </w:r>
          </w:p>
        </w:tc>
        <w:tc>
          <w:tcPr>
            <w:tcW w:w="3197" w:type="dxa"/>
            <w:tcBorders>
              <w:top w:val="nil"/>
              <w:left w:val="nil"/>
              <w:bottom w:val="nil"/>
              <w:right w:val="nil"/>
            </w:tcBorders>
            <w:shd w:val="clear" w:color="auto" w:fill="auto"/>
            <w:hideMark/>
          </w:tcPr>
          <w:p w14:paraId="2BAF3436"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Internet of Services (</w:t>
            </w:r>
            <w:proofErr w:type="spellStart"/>
            <w:r w:rsidRPr="0058500A">
              <w:rPr>
                <w:rFonts w:asciiTheme="majorBidi" w:hAnsiTheme="majorBidi" w:cstheme="majorBidi"/>
                <w:color w:val="000000"/>
                <w:sz w:val="20"/>
                <w:szCs w:val="20"/>
              </w:rPr>
              <w:t>IoS</w:t>
            </w:r>
            <w:proofErr w:type="spellEnd"/>
            <w:r w:rsidRPr="0058500A">
              <w:rPr>
                <w:rFonts w:asciiTheme="majorBidi" w:hAnsiTheme="majorBidi" w:cstheme="majorBidi"/>
                <w:color w:val="000000"/>
                <w:sz w:val="20"/>
                <w:szCs w:val="20"/>
              </w:rPr>
              <w:t xml:space="preserve">) is a paradigm that emphasizes the dynamic and scalable composition of services over the internet to fulfill diverse user needs. </w:t>
            </w:r>
          </w:p>
        </w:tc>
        <w:tc>
          <w:tcPr>
            <w:tcW w:w="3000" w:type="dxa"/>
            <w:tcBorders>
              <w:top w:val="nil"/>
              <w:left w:val="nil"/>
              <w:bottom w:val="nil"/>
              <w:right w:val="nil"/>
            </w:tcBorders>
            <w:shd w:val="clear" w:color="auto" w:fill="auto"/>
            <w:hideMark/>
          </w:tcPr>
          <w:p w14:paraId="7B72C3C5"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dynamically and flexibly compose and deliver digital services over the internet to meet diverse user requirements.</w:t>
            </w:r>
          </w:p>
        </w:tc>
        <w:tc>
          <w:tcPr>
            <w:tcW w:w="968" w:type="dxa"/>
            <w:tcBorders>
              <w:top w:val="nil"/>
              <w:left w:val="nil"/>
              <w:bottom w:val="nil"/>
              <w:right w:val="nil"/>
            </w:tcBorders>
            <w:shd w:val="clear" w:color="auto" w:fill="auto"/>
            <w:noWrap/>
            <w:hideMark/>
          </w:tcPr>
          <w:p w14:paraId="7CCD59B1"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{"citationItems":[{"id":"ITEM-1","itemData":{"DOI":"10.1007/978-3-642-00670-8_2","ISSN":"18651348","abstract":"The Internet and the Web have extended traditional business networks by allowing a Web of different digital resources to work together to create value for organizations. The most industrialized countries have entered a post-industrial era where their prosperity is largely created through a service economy. There is a clear transition from a manufacturing based economy to a service based economy. From the technological perspective, the development of Web-based infrastructures to support and deliver services in this new economy raises a number of challenges. From a business perspective, there is the need to understand how value is created through services. In this paper, we describe how we propose to address these two perspectives and realize the vision of the Internet of Services (IoS), where Web-based IT-supported service ecosystems form the base of service business value networks. This paper addresses the main challenging issues that need to be explored to provide an integrated technical and business infrastructure for the Internet of Service. © 2009 Springer Berlin Heidelberg.","author":[{"dropping-particle":"","family":"Cardoso","given":"Jorge","non-dropping-particle":"","parse-names":false,"suffix":""},{"dropping-particle":"","family":"Voigt","given":"Konrad","non-dropping-particle":"","parse-names":false,"suffix":""},{"dropping-particle":"","family":"Winkler","given":"Matthias","non-dropping-particle":"","parse-names":false,"suffix":""}],"container-title":"Lecture Notes in Business Information Processing","id":"ITEM-1","issued":{"date-parts":[["2009"]]},"title":"Service engineering for the internet of services","type":"article-journal","volume":"19"},"uris":["http://www.mendeley.com/documents/?uuid=815a95a7-24ce-3ed1-b1ef-95a52fe97e22"]}],"mendeley":{"formattedCitation":"&lt;sup&gt;39&lt;/sup&gt;","plainTextFormattedCitation":"39","previouslyFormattedCitation":"(Cardoso, Voigt and Winkler, 2009)"},"properties":{"noteIndex":0},"schema":"https://github.com/citation-style-language/schema/raw/master/csl-citation.json"}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39</w:t>
            </w:r>
            <w:r w:rsidRPr="00884515">
              <w:rPr>
                <w:rFonts w:asciiTheme="majorBidi" w:hAnsiTheme="majorBidi" w:cstheme="majorBidi"/>
                <w:color w:val="000000"/>
                <w:sz w:val="28"/>
                <w:szCs w:val="28"/>
              </w:rPr>
              <w:fldChar w:fldCharType="end"/>
            </w:r>
          </w:p>
        </w:tc>
      </w:tr>
      <w:tr w:rsidR="00CB61B9" w:rsidRPr="0058500A" w14:paraId="4A010E9C" w14:textId="77777777" w:rsidTr="00721C95">
        <w:trPr>
          <w:trHeight w:val="1135"/>
        </w:trPr>
        <w:tc>
          <w:tcPr>
            <w:tcW w:w="1876" w:type="dxa"/>
            <w:tcBorders>
              <w:top w:val="nil"/>
              <w:left w:val="nil"/>
              <w:bottom w:val="nil"/>
              <w:right w:val="nil"/>
            </w:tcBorders>
            <w:shd w:val="clear" w:color="auto" w:fill="auto"/>
            <w:hideMark/>
          </w:tcPr>
          <w:p w14:paraId="57499ED9" w14:textId="77777777" w:rsidR="00CB61B9" w:rsidRPr="0058500A" w:rsidRDefault="00CB61B9" w:rsidP="00022C38">
            <w:pPr>
              <w:rPr>
                <w:rFonts w:asciiTheme="majorBidi" w:hAnsiTheme="majorBidi" w:cstheme="majorBidi"/>
                <w:color w:val="000000"/>
                <w:sz w:val="20"/>
                <w:szCs w:val="20"/>
              </w:rPr>
            </w:pPr>
            <w:proofErr w:type="spellStart"/>
            <w:r w:rsidRPr="0058500A">
              <w:rPr>
                <w:rFonts w:asciiTheme="majorBidi" w:hAnsiTheme="majorBidi" w:cstheme="majorBidi"/>
                <w:color w:val="000000"/>
                <w:sz w:val="20"/>
                <w:szCs w:val="20"/>
              </w:rPr>
              <w:t>Intenet</w:t>
            </w:r>
            <w:proofErr w:type="spellEnd"/>
            <w:r w:rsidRPr="0058500A">
              <w:rPr>
                <w:rFonts w:asciiTheme="majorBidi" w:hAnsiTheme="majorBidi" w:cstheme="majorBidi"/>
                <w:color w:val="000000"/>
                <w:sz w:val="20"/>
                <w:szCs w:val="20"/>
              </w:rPr>
              <w:t xml:space="preserve"> of People (</w:t>
            </w:r>
            <w:proofErr w:type="spellStart"/>
            <w:r w:rsidRPr="0058500A">
              <w:rPr>
                <w:rFonts w:asciiTheme="majorBidi" w:hAnsiTheme="majorBidi" w:cstheme="majorBidi"/>
                <w:color w:val="000000"/>
                <w:sz w:val="20"/>
                <w:szCs w:val="20"/>
              </w:rPr>
              <w:t>IoP</w:t>
            </w:r>
            <w:proofErr w:type="spellEnd"/>
            <w:r w:rsidRPr="0058500A">
              <w:rPr>
                <w:rFonts w:asciiTheme="majorBidi" w:hAnsiTheme="majorBidi" w:cstheme="majorBidi"/>
                <w:color w:val="000000"/>
                <w:sz w:val="20"/>
                <w:szCs w:val="20"/>
              </w:rPr>
              <w:t>)</w:t>
            </w:r>
          </w:p>
        </w:tc>
        <w:tc>
          <w:tcPr>
            <w:tcW w:w="3197" w:type="dxa"/>
            <w:tcBorders>
              <w:top w:val="nil"/>
              <w:left w:val="nil"/>
              <w:bottom w:val="nil"/>
              <w:right w:val="nil"/>
            </w:tcBorders>
            <w:shd w:val="clear" w:color="auto" w:fill="auto"/>
            <w:hideMark/>
          </w:tcPr>
          <w:p w14:paraId="3E5FCEDD"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Humans are a part of the network structure and play an active role in its management services.</w:t>
            </w:r>
          </w:p>
        </w:tc>
        <w:tc>
          <w:tcPr>
            <w:tcW w:w="3000" w:type="dxa"/>
            <w:tcBorders>
              <w:top w:val="nil"/>
              <w:left w:val="nil"/>
              <w:bottom w:val="nil"/>
              <w:right w:val="nil"/>
            </w:tcBorders>
            <w:shd w:val="clear" w:color="auto" w:fill="auto"/>
            <w:hideMark/>
          </w:tcPr>
          <w:p w14:paraId="7C8FBA91"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enable direct interactions and connections between individuals through digital platforms and devices.</w:t>
            </w:r>
          </w:p>
        </w:tc>
        <w:tc>
          <w:tcPr>
            <w:tcW w:w="968" w:type="dxa"/>
            <w:tcBorders>
              <w:top w:val="nil"/>
              <w:left w:val="nil"/>
              <w:bottom w:val="nil"/>
              <w:right w:val="nil"/>
            </w:tcBorders>
            <w:shd w:val="clear" w:color="auto" w:fill="auto"/>
            <w:noWrap/>
            <w:hideMark/>
          </w:tcPr>
          <w:p w14:paraId="30F5350D"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{"citationItems":[{"id":"ITEM-1","itemData":{"DOI":"10.1016/j.comcom.2018.07.008","ISSN":"1873703X","abstract":"The impact of advanced communication and networking technologies spans all aspects of our life and is visible in the way people interact, shop, do business, etc. This article reflects the view of the author on what is emerging nowadays and future trends. In the next few years the research community is expected to stay focused on communication technologies that support connectivity at the broader level, e.g., developing 5G technology, and in challenging environments where the medium is inhomogeneous or the signal propagation is subject to high scattering and multipath effects. In addition, peer-to-peer networking of small devices and smart sensors will attract even more attention with increased integration of the concept of participator sensing within the Internet of things. In the future more virtualization of networking services is expected where customized and on-the-fly interconnectivity is provisioned to enable the realization of certain applications. Such virtualization will involve dynamic configurability, seamless resource negotiation, autonomous bridging among protocols, etc. New business models will also merge in order to support networking-as-a-service both at the individual level and infrastructure levels, nationally and internationally.","author":[{"dropping-particle":"","family":"Younis","given":"Mohamed","non-dropping-particle":"","parse-names":false,"suffix":""}],"container-title":"Computer Communications","id":"ITEM-1","issued":{"date-parts":[["2018"]]},"title":"Internet of everything and everybody: Architecture and service virtualization","type":"article","volume":"131"},"uris":["http://www.mendeley.com/documents/?uuid=9d44054e-5f19-394b-8cc0-e91c8145970f"]}],"mendeley":{"formattedCitation":"&lt;sup&gt;40&lt;/sup&gt;","plainTextFormattedCitation":"40","previouslyFormattedCitation":"(Younis, 2018)"},"properties":{"noteIndex":0},"schema":"https://github.com/citation-style-language/schema/raw/master/csl-citation.json"}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40</w:t>
            </w:r>
            <w:r w:rsidRPr="00884515">
              <w:rPr>
                <w:rFonts w:asciiTheme="majorBidi" w:hAnsiTheme="majorBidi" w:cstheme="majorBidi"/>
                <w:color w:val="000000"/>
                <w:sz w:val="28"/>
                <w:szCs w:val="28"/>
              </w:rPr>
              <w:fldChar w:fldCharType="end"/>
            </w:r>
          </w:p>
        </w:tc>
      </w:tr>
      <w:tr w:rsidR="00CB61B9" w:rsidRPr="0058500A" w14:paraId="47E4DD78" w14:textId="77777777" w:rsidTr="00721C95">
        <w:trPr>
          <w:trHeight w:val="1394"/>
        </w:trPr>
        <w:tc>
          <w:tcPr>
            <w:tcW w:w="1876" w:type="dxa"/>
            <w:tcBorders>
              <w:top w:val="nil"/>
              <w:left w:val="nil"/>
              <w:bottom w:val="nil"/>
              <w:right w:val="nil"/>
            </w:tcBorders>
            <w:shd w:val="clear" w:color="auto" w:fill="auto"/>
            <w:hideMark/>
          </w:tcPr>
          <w:p w14:paraId="259A5D2D" w14:textId="77777777" w:rsidR="00CB61B9" w:rsidRPr="0058500A" w:rsidRDefault="00CB61B9" w:rsidP="00022C38">
            <w:pPr>
              <w:rPr>
                <w:rFonts w:asciiTheme="majorBidi" w:hAnsiTheme="majorBidi" w:cstheme="majorBidi"/>
                <w:color w:val="000000"/>
                <w:sz w:val="20"/>
                <w:szCs w:val="20"/>
              </w:rPr>
            </w:pPr>
          </w:p>
          <w:p w14:paraId="2DF54D68" w14:textId="77777777" w:rsidR="00CB61B9" w:rsidRPr="0058500A" w:rsidRDefault="00CB61B9" w:rsidP="00022C38">
            <w:pPr>
              <w:jc w:val="center"/>
              <w:rPr>
                <w:rFonts w:asciiTheme="majorBidi" w:hAnsiTheme="majorBidi" w:cstheme="majorBidi"/>
                <w:color w:val="000000"/>
                <w:sz w:val="20"/>
                <w:szCs w:val="20"/>
              </w:rPr>
            </w:pPr>
            <w:r w:rsidRPr="0058500A">
              <w:rPr>
                <w:rFonts w:asciiTheme="majorBidi" w:hAnsiTheme="majorBidi" w:cstheme="majorBidi"/>
                <w:color w:val="000000"/>
                <w:sz w:val="20"/>
                <w:szCs w:val="20"/>
              </w:rPr>
              <w:t>Internet of All (</w:t>
            </w:r>
            <w:proofErr w:type="spellStart"/>
            <w:r w:rsidRPr="0058500A">
              <w:rPr>
                <w:rFonts w:asciiTheme="majorBidi" w:hAnsiTheme="majorBidi" w:cstheme="majorBidi"/>
                <w:color w:val="000000"/>
                <w:sz w:val="20"/>
                <w:szCs w:val="20"/>
              </w:rPr>
              <w:t>IoA</w:t>
            </w:r>
            <w:proofErr w:type="spellEnd"/>
            <w:r w:rsidRPr="0058500A">
              <w:rPr>
                <w:rFonts w:asciiTheme="majorBidi" w:hAnsiTheme="majorBidi" w:cstheme="majorBidi"/>
                <w:color w:val="000000"/>
                <w:sz w:val="20"/>
                <w:szCs w:val="20"/>
              </w:rPr>
              <w:t>)</w:t>
            </w:r>
          </w:p>
        </w:tc>
        <w:tc>
          <w:tcPr>
            <w:tcW w:w="3197" w:type="dxa"/>
            <w:tcBorders>
              <w:top w:val="nil"/>
              <w:left w:val="nil"/>
              <w:bottom w:val="nil"/>
              <w:right w:val="nil"/>
            </w:tcBorders>
            <w:shd w:val="clear" w:color="auto" w:fill="auto"/>
            <w:hideMark/>
          </w:tcPr>
          <w:p w14:paraId="36A76241"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The statement encompasses not solely conventional IoT but also incorporates human beings as an essential constituent.</w:t>
            </w:r>
          </w:p>
        </w:tc>
        <w:tc>
          <w:tcPr>
            <w:tcW w:w="3000" w:type="dxa"/>
            <w:tcBorders>
              <w:top w:val="nil"/>
              <w:left w:val="nil"/>
              <w:bottom w:val="nil"/>
              <w:right w:val="nil"/>
            </w:tcBorders>
            <w:shd w:val="clear" w:color="auto" w:fill="auto"/>
            <w:hideMark/>
          </w:tcPr>
          <w:p w14:paraId="4E71186D"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integrate and interconnect diverse entities, including devices, data, and people, fostering seamless communication and collaboration across the digital ecosystem.</w:t>
            </w:r>
          </w:p>
        </w:tc>
        <w:tc>
          <w:tcPr>
            <w:tcW w:w="968" w:type="dxa"/>
            <w:tcBorders>
              <w:top w:val="nil"/>
              <w:left w:val="nil"/>
              <w:bottom w:val="nil"/>
              <w:right w:val="nil"/>
            </w:tcBorders>
            <w:shd w:val="clear" w:color="auto" w:fill="auto"/>
            <w:noWrap/>
            <w:hideMark/>
          </w:tcPr>
          <w:p w14:paraId="63C2EC01"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{"citationItems":[{"id":"ITEM-1","itemData":{"DOI":"10.1109/COMST.2015.2398816","ISSN":"1553877X","abstract":"Our tools and appliances are becoming increasingly more intelligent and interconnected, giving birth to an 'Internet of Things' that can be used to support new types of cyber-physical systems (CPSs). While many CPSs are human-centric applications where humans are an essential part of the system, unfortunately, most of these systems still consider the human as an external and unpredictable element to the control loop. In order for these systems to better serve human needs, future CPSs will need to bolster a closer tie with the human element, through Human-in-The-Loop controls that take into consideration human intents, psychological states, emotions and actions inferred through sensory data. This area is a natural confluence of multidisciplinary focus but currently lacks a general understanding of the underlying requirements, principles and theory. As far as we know, this survey is the first effort towards extending the field's knowledge through an in-depth research of the state-of-The-art and a critical overview of the current taxonomic efforts in the area of Human-in-The-Loop CPSs. On top of this research, a novel taxonomic exercise focused on the general roles of the human component together with a requirement analysis, are presented.","author":[{"dropping-particle":"","family":"Sousa Nunes","given":"David Sousa","non-dropping-particle":"","parse-names":false,"suffix":""},{"dropping-particle":"","family":"Zhang","given":"Pei","non-dropping-particle":"","parse-names":false,"suffix":""},{"dropping-particle":"","family":"Sa Silva","given":"Jorge","non-dropping-particle":"","parse-names":false,"suffix":""}],"container-title":"IEEE Communications Surveys and Tutorials","id":"ITEM-1","issue":"2","issued":{"date-parts":[["2015"]]},"title":"A Survey on human-in-The-loop applications towards an internet of all","type":"article-journal","volume":"17"},"uris":["http://www.mendeley.com/documents/?uuid=6d40f852-0771-3722-ba5d-2b17d2d391d4"]}],"mendeley":{"formattedCitation":"&lt;sup&gt;41&lt;/sup&gt;","plainTextFormattedCitation":"41","previouslyFormattedCitation":"(Sousa Nunes, Zhang and Sa Silva, 2015)"},"properties":{"noteIndex":0},"schema":"https://github.com/citation-style-language/schema/raw/master/csl-citation.json"}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41</w:t>
            </w:r>
            <w:r w:rsidRPr="00884515">
              <w:rPr>
                <w:rFonts w:asciiTheme="majorBidi" w:hAnsiTheme="majorBidi" w:cstheme="majorBidi"/>
                <w:color w:val="000000"/>
                <w:sz w:val="28"/>
                <w:szCs w:val="28"/>
              </w:rPr>
              <w:fldChar w:fldCharType="end"/>
            </w:r>
          </w:p>
        </w:tc>
      </w:tr>
      <w:tr w:rsidR="00CB61B9" w:rsidRPr="0058500A" w14:paraId="17086B9C" w14:textId="77777777" w:rsidTr="00721C95">
        <w:trPr>
          <w:trHeight w:val="1697"/>
        </w:trPr>
        <w:tc>
          <w:tcPr>
            <w:tcW w:w="1876" w:type="dxa"/>
            <w:tcBorders>
              <w:top w:val="nil"/>
              <w:left w:val="nil"/>
              <w:bottom w:val="nil"/>
              <w:right w:val="nil"/>
            </w:tcBorders>
            <w:shd w:val="clear" w:color="auto" w:fill="auto"/>
            <w:hideMark/>
          </w:tcPr>
          <w:p w14:paraId="32112F25" w14:textId="77777777" w:rsidR="00CB61B9" w:rsidRPr="0058500A" w:rsidRDefault="00CB61B9" w:rsidP="00022C38">
            <w:pPr>
              <w:jc w:val="center"/>
              <w:rPr>
                <w:rFonts w:asciiTheme="majorBidi" w:hAnsiTheme="majorBidi" w:cstheme="majorBidi"/>
                <w:color w:val="000000"/>
                <w:sz w:val="20"/>
                <w:szCs w:val="20"/>
              </w:rPr>
            </w:pPr>
            <w:r w:rsidRPr="0058500A">
              <w:rPr>
                <w:rFonts w:asciiTheme="majorBidi" w:hAnsiTheme="majorBidi" w:cstheme="majorBidi"/>
                <w:color w:val="000000"/>
                <w:sz w:val="20"/>
                <w:szCs w:val="20"/>
              </w:rPr>
              <w:t>Internet of Everything (IoE)</w:t>
            </w:r>
          </w:p>
        </w:tc>
        <w:tc>
          <w:tcPr>
            <w:tcW w:w="3197" w:type="dxa"/>
            <w:tcBorders>
              <w:top w:val="nil"/>
              <w:left w:val="nil"/>
              <w:bottom w:val="nil"/>
              <w:right w:val="nil"/>
            </w:tcBorders>
            <w:shd w:val="clear" w:color="auto" w:fill="auto"/>
            <w:hideMark/>
          </w:tcPr>
          <w:p w14:paraId="584A5D28"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By establishing connections between entities, data, processes, and humans, this technology improves the well-being and communication of numerous communities.</w:t>
            </w:r>
          </w:p>
        </w:tc>
        <w:tc>
          <w:tcPr>
            <w:tcW w:w="3000" w:type="dxa"/>
            <w:tcBorders>
              <w:top w:val="nil"/>
              <w:left w:val="nil"/>
              <w:bottom w:val="nil"/>
              <w:right w:val="nil"/>
            </w:tcBorders>
            <w:shd w:val="clear" w:color="auto" w:fill="auto"/>
            <w:hideMark/>
          </w:tcPr>
          <w:p w14:paraId="37E4A2A5"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Enable the comprehensive connectivity and interaction of people, processes, data, and devices, creating a unified and intelligent network.</w:t>
            </w:r>
          </w:p>
        </w:tc>
        <w:tc>
          <w:tcPr>
            <w:tcW w:w="968" w:type="dxa"/>
            <w:tcBorders>
              <w:top w:val="nil"/>
              <w:left w:val="nil"/>
              <w:bottom w:val="nil"/>
              <w:right w:val="nil"/>
            </w:tcBorders>
            <w:shd w:val="clear" w:color="auto" w:fill="auto"/>
            <w:noWrap/>
            <w:hideMark/>
          </w:tcPr>
          <w:p w14:paraId="594068FC"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{"citationItems":[{"id":"ITEM-1","itemData":{"DOI":"10.1016/B978-0-12-817636-8.00011-9","abstract":"Agents of the Internet of Everything (IoE) exchange messages, make certain decisions, and provide arguments for them. In this IoE environment validation of the validity of argumentation patterns in messages, as well as their truthfulness, authenticity, and consistency, is essential. We formulate a problem of domain-independent assessment of argumentation validity based on rhetorical analysis of text. Argumentation structure is discovered in the form of discourse trees extended with edge labels for communicative actions. Extracted argumentation structure is represented as a defeasible logic program and is subject to dialectical analysis to establish the validity of the arguments for the main claim being communicated. We evaluate the accuracy of each step of this argumentation processing pipeline as well as its overall performance.","author":[{"dropping-particle":"","family":"Galitsky","given":"Boris","non-dropping-particle":"","parse-names":false,"suffix":""},{"dropping-particle":"","family":"Parnis","given":"Anna","non-dropping-particle":"","parse-names":false,"suffix":""}],"container-title":"Artificial Intelligence for the Internet of Everything","id":"ITEM-1","issued":{"date-parts":[["2019"]]},"title":"Accessing Validity of Argumentation of Agents of the Internet of Everything","type":"chapter"},"uris":["http://www.mendeley.com/documents/?uuid=b691846a-35d5-3ecf-8c9c-c126b5732f1e"]}],"mendeley":{"formattedCitation":"&lt;sup&gt;42&lt;/sup&gt;","plainTextFormattedCitation":"42","previouslyFormattedCitation":"(Galitsky and Parnis, 2019)"},"properties":{"noteIndex":0},"schema":"https://github.com/citation-style-language/schema/raw/master/csl-citation.json"}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42</w:t>
            </w:r>
            <w:r w:rsidRPr="00884515">
              <w:rPr>
                <w:rFonts w:asciiTheme="majorBidi" w:hAnsiTheme="majorBidi" w:cstheme="majorBidi"/>
                <w:color w:val="000000"/>
                <w:sz w:val="28"/>
                <w:szCs w:val="28"/>
              </w:rPr>
              <w:fldChar w:fldCharType="end"/>
            </w:r>
          </w:p>
        </w:tc>
      </w:tr>
      <w:tr w:rsidR="00CB61B9" w:rsidRPr="0058500A" w14:paraId="600B16C3" w14:textId="77777777" w:rsidTr="00721C95">
        <w:trPr>
          <w:trHeight w:val="1297"/>
        </w:trPr>
        <w:tc>
          <w:tcPr>
            <w:tcW w:w="1876" w:type="dxa"/>
            <w:tcBorders>
              <w:top w:val="nil"/>
              <w:left w:val="nil"/>
              <w:bottom w:val="nil"/>
              <w:right w:val="nil"/>
            </w:tcBorders>
            <w:shd w:val="clear" w:color="auto" w:fill="auto"/>
            <w:hideMark/>
          </w:tcPr>
          <w:p w14:paraId="3914EDE7" w14:textId="77777777" w:rsidR="00CB61B9" w:rsidRPr="0058500A" w:rsidRDefault="00CB61B9" w:rsidP="00022C38">
            <w:pPr>
              <w:jc w:val="center"/>
              <w:rPr>
                <w:rFonts w:asciiTheme="majorBidi" w:hAnsiTheme="majorBidi" w:cstheme="majorBidi"/>
                <w:color w:val="000000"/>
                <w:sz w:val="20"/>
                <w:szCs w:val="20"/>
              </w:rPr>
            </w:pPr>
            <w:r w:rsidRPr="0058500A">
              <w:rPr>
                <w:rFonts w:asciiTheme="majorBidi" w:hAnsiTheme="majorBidi" w:cstheme="majorBidi"/>
                <w:color w:val="000000"/>
                <w:sz w:val="20"/>
                <w:szCs w:val="20"/>
              </w:rPr>
              <w:t>Edge computing</w:t>
            </w:r>
          </w:p>
        </w:tc>
        <w:tc>
          <w:tcPr>
            <w:tcW w:w="3197" w:type="dxa"/>
            <w:tcBorders>
              <w:top w:val="nil"/>
              <w:left w:val="nil"/>
              <w:bottom w:val="nil"/>
              <w:right w:val="nil"/>
            </w:tcBorders>
            <w:shd w:val="clear" w:color="auto" w:fill="auto"/>
            <w:hideMark/>
          </w:tcPr>
          <w:p w14:paraId="72F79387"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The text pertains to the computations that take place on the device's terminal and are not sent to the cloud.</w:t>
            </w:r>
          </w:p>
        </w:tc>
        <w:tc>
          <w:tcPr>
            <w:tcW w:w="3000" w:type="dxa"/>
            <w:tcBorders>
              <w:top w:val="nil"/>
              <w:left w:val="nil"/>
              <w:bottom w:val="nil"/>
              <w:right w:val="nil"/>
            </w:tcBorders>
            <w:shd w:val="clear" w:color="auto" w:fill="auto"/>
            <w:hideMark/>
          </w:tcPr>
          <w:p w14:paraId="1EE38F5E"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process and analyze data near the source of generation, reducing latency and optimizing network bandwidth.</w:t>
            </w:r>
          </w:p>
        </w:tc>
        <w:tc>
          <w:tcPr>
            <w:tcW w:w="968" w:type="dxa"/>
            <w:tcBorders>
              <w:top w:val="nil"/>
              <w:left w:val="nil"/>
              <w:bottom w:val="nil"/>
              <w:right w:val="nil"/>
            </w:tcBorders>
            <w:shd w:val="clear" w:color="auto" w:fill="auto"/>
            <w:noWrap/>
            <w:hideMark/>
          </w:tcPr>
          <w:p w14:paraId="1AFFBD3A"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{"citationItems":[{"id":"ITEM-1","itemData":{"DOI":"10.3390/fi11030055","ISSN":"19995903","abstract":"The fourth industrial revolution heralds a paradigm shift in how people, processes, things, data and networks communicate and connect with each other. Conventional computing infrastructures are struggling to satisfy dramatic growth in demand from a deluge of connected heterogeneous end points located at the edge of networks while, at the same time, meeting quality of service levels. The complexity of computing at the edge makes it increasingly difficult for infrastructure providers to plan for and provision resources to meet this demand. While simulation frameworks are used extensively in the modelling of cloud computing environments in order to test and validate technical solutions, they are at a nascent stage of development and adoption for fog and edge computing. This paper provides an overview of challenges posed by fog and edge computing in relation to simulation.","author":[{"dropping-particle":"","family":"Svorobej","given":"Sergej","non-dropping-particle":"","parse-names":false,"suffix":""},{"dropping-particle":"","family":"Endo","given":"Patricia Takako","non-dropping-particle":"","parse-names":false,"suffix":""},{"dropping-particle":"","family":"Bendechache","given":"Malika","non-dropping-particle":"","parse-names":false,"suffix":""},{"dropping-particle":"","family":"Filelis-Papadopoulos","given":"Christos","non-dropping-particle":"","parse-names":false,"suffix":""},{"dropping-particle":"","family":"Giannoutakis","given":"Konstantinos M.","non-dropping-particle":"","parse-names":false,"suffix":""},{"dropping-particle":"","family":"Gravvanis","given":"George A.","non-dropping-particle":"","parse-names":false,"suffix":""},{"dropping-particle":"","family":"Tzovaras","given":"Dimitrios","non-dropping-particle":"","parse-names":false,"suffix":""},{"dropping-particle":"","family":"Byrne","given":"James","non-dropping-particle":"","parse-names":false,"suffix":""},{"dropping-particle":"","family":"Lynn","given":"Theo","non-dropping-particle":"","parse-names":false,"suffix":""}],"container-title":"Future Internet","id":"ITEM-1","issue":"3","issued":{"date-parts":[["2019"]]},"title":"Simulating fog and edge computing scenarios: An overview and research challenges","type":"article","volume":"11"},"uris":["http://www.mendeley.com/documents/?uuid=c999897e-eeee-3018-b50e-f1b519ded174"]}],"mendeley":{"formattedCitation":"&lt;sup&gt;43&lt;/sup&gt;","plainTextFormattedCitation":"43","previouslyFormattedCitation":"(Svorobej &lt;i&gt;et al.&lt;/i&gt;, 2019)"},"properties":{"noteIndex":0},"schema":"https://github.com/citation-style-language/schema/raw/master/csl-citation.json"}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43</w:t>
            </w:r>
            <w:r w:rsidRPr="00884515">
              <w:rPr>
                <w:rFonts w:asciiTheme="majorBidi" w:hAnsiTheme="majorBidi" w:cstheme="majorBidi"/>
                <w:color w:val="000000"/>
                <w:sz w:val="28"/>
                <w:szCs w:val="28"/>
              </w:rPr>
              <w:fldChar w:fldCharType="end"/>
            </w:r>
          </w:p>
        </w:tc>
      </w:tr>
      <w:tr w:rsidR="00CB61B9" w:rsidRPr="0058500A" w14:paraId="6FD4751B" w14:textId="77777777" w:rsidTr="00721C95">
        <w:trPr>
          <w:trHeight w:val="648"/>
        </w:trPr>
        <w:tc>
          <w:tcPr>
            <w:tcW w:w="1876" w:type="dxa"/>
            <w:tcBorders>
              <w:top w:val="nil"/>
              <w:left w:val="nil"/>
              <w:bottom w:val="nil"/>
              <w:right w:val="nil"/>
            </w:tcBorders>
            <w:shd w:val="clear" w:color="auto" w:fill="auto"/>
            <w:hideMark/>
          </w:tcPr>
          <w:p w14:paraId="247515A0" w14:textId="77777777" w:rsidR="00CB61B9" w:rsidRPr="0058500A" w:rsidRDefault="00CB61B9" w:rsidP="00022C38">
            <w:pPr>
              <w:jc w:val="center"/>
              <w:rPr>
                <w:rFonts w:asciiTheme="majorBidi" w:hAnsiTheme="majorBidi" w:cstheme="majorBidi"/>
                <w:color w:val="000000"/>
                <w:sz w:val="20"/>
                <w:szCs w:val="20"/>
              </w:rPr>
            </w:pPr>
            <w:r w:rsidRPr="0058500A">
              <w:rPr>
                <w:rFonts w:asciiTheme="majorBidi" w:hAnsiTheme="majorBidi" w:cstheme="majorBidi"/>
                <w:color w:val="000000"/>
                <w:sz w:val="20"/>
                <w:szCs w:val="20"/>
              </w:rPr>
              <w:t>Cloud Computing</w:t>
            </w:r>
          </w:p>
        </w:tc>
        <w:tc>
          <w:tcPr>
            <w:tcW w:w="3197" w:type="dxa"/>
            <w:tcBorders>
              <w:top w:val="nil"/>
              <w:left w:val="nil"/>
              <w:bottom w:val="nil"/>
              <w:right w:val="nil"/>
            </w:tcBorders>
            <w:shd w:val="clear" w:color="auto" w:fill="auto"/>
            <w:hideMark/>
          </w:tcPr>
          <w:p w14:paraId="3ACB6C59"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Users can access computing services and resources through the cloud.</w:t>
            </w:r>
          </w:p>
        </w:tc>
        <w:tc>
          <w:tcPr>
            <w:tcW w:w="3000" w:type="dxa"/>
            <w:tcBorders>
              <w:top w:val="nil"/>
              <w:left w:val="nil"/>
              <w:bottom w:val="nil"/>
              <w:right w:val="nil"/>
            </w:tcBorders>
            <w:shd w:val="clear" w:color="auto" w:fill="auto"/>
            <w:hideMark/>
          </w:tcPr>
          <w:p w14:paraId="29086847"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This platform provides computing and storage resources to meet your needs.</w:t>
            </w:r>
          </w:p>
        </w:tc>
        <w:tc>
          <w:tcPr>
            <w:tcW w:w="968" w:type="dxa"/>
            <w:tcBorders>
              <w:top w:val="nil"/>
              <w:left w:val="nil"/>
              <w:bottom w:val="nil"/>
              <w:right w:val="nil"/>
            </w:tcBorders>
            <w:shd w:val="clear" w:color="auto" w:fill="auto"/>
            <w:noWrap/>
            <w:hideMark/>
          </w:tcPr>
          <w:p w14:paraId="42952C62"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{"citationItems":[{"id":"ITEM-1","itemData":{"DOI":"10.1080/0951192X.2015.1031704","ISSN":"13623052","abstract":"There is an ongoing paradigm shift in manufacturing, in which the modern manufacturing industry is changing towards global manufacturing networks and supply chains. This will lead to the flexible usage of different globally distributed, scalable and sustainable, service-oriented manufacturing systems and resources. Combining recently emerged technologies, such as Internet of Things, Cloud Computing, Semantic Web, service-oriented technologies, virtualisation and advanced high-performance computing technologies, with advanced manufacturing models and information technologies, Cloud Manufacturing is a new manufacturing paradigm built on resource sharing, supporting and driving this change. It is envisioned that companies in all sectors of manufacturing will be able to package their resources and know-hows in the Cloud, making them conveniently available for others through pay-as-you-go, which is also timely and economically attractive. Resources, e.g. manufacturing software tools, applications, knowledge and fabrication capabilities and equipment, will then be made accessible to presumptive consumers on a worldwide basis. Cloud Manufacturing has been in focus for a great deal of research interest and suggested applications during recent years, by both industrial and academic communities. After surveying a vast array of available publications, this paper presents an up-to-date literature review together with identified outstanding research issues, and future trends and directions within Cloud Manufacturing.","author":[{"dropping-particle":"","family":"Adamson","given":"Göran","non-dropping-particle":"","parse-names":false,"suffix":""},{"dropping-particle":"","family":"Wang","given":"Lihui","non-dropping-particle":"","parse-names":false,"suffix":""},{"dropping-particle":"","family":"Holm","given":"Magnus","non-dropping-particle":"","parse-names":false,"suffix":""},{"dropping-particle":"","family":"Moore","given":"Philip","non-dropping-particle":"","parse-names":false,"suffix":""}],"container-title":"International Journal of Computer Integrated Manufacturing","id":"ITEM-1","issue":"4-5","issued":{"date-parts":[["2017"]]},"title":"Cloud manufacturing–a critical review of recent development and future trends","type":"article-journal","volume":"30"},"uris":["http://www.mendeley.com/documents/?uuid=4214b536-31de-305f-8577-836216449bdc"]}],"mendeley":{"formattedCitation":"&lt;sup&gt;44&lt;/sup&gt;","plainTextFormattedCitation":"44","previouslyFormattedCitation":"(Adamson &lt;i&gt;et al.&lt;/i&gt;, 2017)"},"properties":{"noteIndex":0},"schema":"https://github.com/citation-style-language/schema/raw/master/csl-citation.json"}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44</w:t>
            </w:r>
            <w:r w:rsidRPr="00884515">
              <w:rPr>
                <w:rFonts w:asciiTheme="majorBidi" w:hAnsiTheme="majorBidi" w:cstheme="majorBidi"/>
                <w:color w:val="000000"/>
                <w:sz w:val="28"/>
                <w:szCs w:val="28"/>
              </w:rPr>
              <w:fldChar w:fldCharType="end"/>
            </w:r>
          </w:p>
        </w:tc>
      </w:tr>
      <w:tr w:rsidR="00CB61B9" w:rsidRPr="0058500A" w14:paraId="67775890" w14:textId="77777777" w:rsidTr="00721C95">
        <w:trPr>
          <w:trHeight w:val="972"/>
        </w:trPr>
        <w:tc>
          <w:tcPr>
            <w:tcW w:w="1876" w:type="dxa"/>
            <w:tcBorders>
              <w:top w:val="nil"/>
              <w:left w:val="nil"/>
              <w:bottom w:val="nil"/>
              <w:right w:val="nil"/>
            </w:tcBorders>
            <w:shd w:val="clear" w:color="auto" w:fill="auto"/>
            <w:hideMark/>
          </w:tcPr>
          <w:p w14:paraId="449D6DEA" w14:textId="77777777" w:rsidR="00CB61B9" w:rsidRPr="0058500A" w:rsidRDefault="00CB61B9" w:rsidP="00022C38">
            <w:pPr>
              <w:jc w:val="center"/>
              <w:rPr>
                <w:rFonts w:asciiTheme="majorBidi" w:hAnsiTheme="majorBidi" w:cstheme="majorBidi"/>
                <w:color w:val="000000"/>
                <w:sz w:val="20"/>
                <w:szCs w:val="20"/>
              </w:rPr>
            </w:pPr>
          </w:p>
          <w:p w14:paraId="668E936E" w14:textId="77777777" w:rsidR="00CB61B9" w:rsidRPr="0058500A" w:rsidRDefault="00CB61B9" w:rsidP="00022C38">
            <w:pPr>
              <w:jc w:val="center"/>
              <w:rPr>
                <w:rFonts w:asciiTheme="majorBidi" w:hAnsiTheme="majorBidi" w:cstheme="majorBidi"/>
                <w:color w:val="000000"/>
                <w:sz w:val="20"/>
                <w:szCs w:val="20"/>
              </w:rPr>
            </w:pPr>
            <w:r w:rsidRPr="0058500A">
              <w:rPr>
                <w:rFonts w:asciiTheme="majorBidi" w:hAnsiTheme="majorBidi" w:cstheme="majorBidi"/>
                <w:color w:val="000000"/>
                <w:sz w:val="20"/>
                <w:szCs w:val="20"/>
              </w:rPr>
              <w:t>Wireless Sensor Networks</w:t>
            </w:r>
          </w:p>
        </w:tc>
        <w:tc>
          <w:tcPr>
            <w:tcW w:w="3197" w:type="dxa"/>
            <w:tcBorders>
              <w:top w:val="nil"/>
              <w:left w:val="nil"/>
              <w:bottom w:val="nil"/>
              <w:right w:val="nil"/>
            </w:tcBorders>
            <w:shd w:val="clear" w:color="auto" w:fill="auto"/>
            <w:hideMark/>
          </w:tcPr>
          <w:p w14:paraId="06BAD29C" w14:textId="77777777" w:rsidR="00CB61B9" w:rsidRPr="0058500A" w:rsidRDefault="00CB61B9" w:rsidP="00022C38">
            <w:pPr>
              <w:rPr>
                <w:rFonts w:asciiTheme="majorBidi" w:hAnsiTheme="majorBidi" w:cstheme="majorBidi"/>
                <w:color w:val="000000"/>
                <w:sz w:val="20"/>
                <w:szCs w:val="20"/>
              </w:rPr>
            </w:pPr>
          </w:p>
          <w:p w14:paraId="482E5083"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Data is collected through the extensive use of numerous sensors. This data is then processed, analyzed, and transmitted as information.</w:t>
            </w:r>
          </w:p>
        </w:tc>
        <w:tc>
          <w:tcPr>
            <w:tcW w:w="3000" w:type="dxa"/>
            <w:tcBorders>
              <w:top w:val="nil"/>
              <w:left w:val="nil"/>
              <w:bottom w:val="nil"/>
              <w:right w:val="nil"/>
            </w:tcBorders>
            <w:shd w:val="clear" w:color="auto" w:fill="auto"/>
            <w:hideMark/>
          </w:tcPr>
          <w:p w14:paraId="33D38104" w14:textId="77777777" w:rsidR="00CB61B9" w:rsidRPr="0058500A" w:rsidRDefault="00CB61B9" w:rsidP="00022C38">
            <w:pPr>
              <w:rPr>
                <w:rFonts w:asciiTheme="majorBidi" w:hAnsiTheme="majorBidi" w:cstheme="majorBidi"/>
                <w:color w:val="000000"/>
                <w:sz w:val="20"/>
                <w:szCs w:val="20"/>
              </w:rPr>
            </w:pPr>
          </w:p>
          <w:p w14:paraId="54093E9C"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Preserving the confidentiality of transmitted and collected data within the HDT system.</w:t>
            </w:r>
          </w:p>
        </w:tc>
        <w:tc>
          <w:tcPr>
            <w:tcW w:w="968" w:type="dxa"/>
            <w:tcBorders>
              <w:top w:val="nil"/>
              <w:left w:val="nil"/>
              <w:bottom w:val="nil"/>
              <w:right w:val="nil"/>
            </w:tcBorders>
            <w:shd w:val="clear" w:color="auto" w:fill="auto"/>
            <w:noWrap/>
            <w:hideMark/>
          </w:tcPr>
          <w:p w14:paraId="01B3BD71"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{"citationItems":[{"id":"ITEM-1","itemData":{"DOI":"10.1115/DETC2022-89711","abstract":"Human-centric smart manufacturing (HCSM) is one of the essential pillars in Industry 5.0. Hence, human-machine interaction (HMI), as the centre of the research agenda for the advances of smart manufacturing, has also become the focus of Industry 5.0. As Industry 5.0 proposed three core concepts of human-centric, sustainable and resilient, the design orientation of HMI needs to change accordingly. Through understanding the state-of-the-art of HMI research, the technology roadmap of HMI development in the smart manufacturing paradigm can be shaped. In this paper, the focus is to review how HMI has been applied in smart manufacturing and predict future opportunities and challenges when applying HMI to HCSM. In this paper, we provide an HMI framework based on the interaction process and analyse the existing research on HMI across four key aspects: 1) Sensor and Hardware, 2) Data Processing, 3) Transmission Mechanism, and 4) Interaction and Collaboration. We intend to analyse the current development and technologies of each aspect and their possible application in HCSM. Finally, potential challenges and opportunities in future research and applications of HMI are discussed and evaluated, especially considering that the focus of design in HCSM shifts from improving productivity to the well-being of workers and sustainability.","author":[{"dropping-particle":"","family":"Yang","given":"Jialu","non-dropping-particle":"","parse-names":false,"suffix":""},{"dropping-particle":"","family":"Liu","given":"Tianyuan","non-dropping-particle":"","parse-names":false,"suffix":""},{"dropping-particle":"","family":"Liu","given":"Ying","non-dropping-particle":"","parse-names":false,"suffix":""},{"dropping-particle":"","family":"Morgan","given":"Phillip","non-dropping-particle":"","parse-names":false,"suffix":""}],"container-title":"Proceedings of the ASME Design Engineering Technical Conference","id":"ITEM-1","issued":{"date-parts":[["2022"]]},"title":"REVIEW OF HUMAN-MACHINE INTERACTION TOWARDS INDUSTRY 5.0: HUMAN-CENTRIC SMART MANUFACTURING","type":"paper-conference","volume":"2"},"uris":["http://www.mendeley.com/documents/?uuid=005a881b-a3b6-3c01-a9c1-71de5fce6dc7"]}],"mendeley":{"formattedCitation":"&lt;sup&gt;45&lt;/sup&gt;","plainTextFormattedCitation":"45","previouslyFormattedCitation":"(Yang &lt;i&gt;et al.&lt;/i&gt;, 2022)"},"properties":{"noteIndex":0},"schema":"https://github.com/citation-style-language/schema/raw/master/csl-citation.json"}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45</w:t>
            </w:r>
            <w:r w:rsidRPr="00884515">
              <w:rPr>
                <w:rFonts w:asciiTheme="majorBidi" w:hAnsiTheme="majorBidi" w:cstheme="majorBidi"/>
                <w:color w:val="000000"/>
                <w:sz w:val="28"/>
                <w:szCs w:val="28"/>
              </w:rPr>
              <w:fldChar w:fldCharType="end"/>
            </w:r>
          </w:p>
        </w:tc>
      </w:tr>
      <w:tr w:rsidR="00CB61B9" w:rsidRPr="0058500A" w14:paraId="090BACF5" w14:textId="77777777" w:rsidTr="00721C95">
        <w:trPr>
          <w:trHeight w:val="1532"/>
        </w:trPr>
        <w:tc>
          <w:tcPr>
            <w:tcW w:w="1876" w:type="dxa"/>
            <w:tcBorders>
              <w:top w:val="nil"/>
              <w:left w:val="nil"/>
              <w:bottom w:val="nil"/>
              <w:right w:val="nil"/>
            </w:tcBorders>
            <w:shd w:val="clear" w:color="auto" w:fill="auto"/>
            <w:hideMark/>
          </w:tcPr>
          <w:p w14:paraId="688D7536" w14:textId="77777777" w:rsidR="00CB61B9" w:rsidRPr="0058500A" w:rsidRDefault="00CB61B9" w:rsidP="00022C38">
            <w:pPr>
              <w:jc w:val="center"/>
              <w:rPr>
                <w:rFonts w:asciiTheme="majorBidi" w:hAnsiTheme="majorBidi" w:cstheme="majorBidi"/>
                <w:color w:val="000000"/>
                <w:sz w:val="20"/>
                <w:szCs w:val="20"/>
              </w:rPr>
            </w:pPr>
            <w:r w:rsidRPr="0058500A">
              <w:rPr>
                <w:rFonts w:asciiTheme="majorBidi" w:hAnsiTheme="majorBidi" w:cstheme="majorBidi"/>
                <w:color w:val="000000"/>
                <w:sz w:val="20"/>
                <w:szCs w:val="20"/>
              </w:rPr>
              <w:lastRenderedPageBreak/>
              <w:t>5G Technology</w:t>
            </w:r>
          </w:p>
        </w:tc>
        <w:tc>
          <w:tcPr>
            <w:tcW w:w="3197" w:type="dxa"/>
            <w:tcBorders>
              <w:top w:val="nil"/>
              <w:left w:val="nil"/>
              <w:bottom w:val="nil"/>
              <w:right w:val="nil"/>
            </w:tcBorders>
            <w:shd w:val="clear" w:color="auto" w:fill="auto"/>
            <w:hideMark/>
          </w:tcPr>
          <w:p w14:paraId="15D694DA"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It is suitable for connecting many nodes in an industrial context due to its high bandwidth, speed, low latency, and reliability.</w:t>
            </w:r>
          </w:p>
        </w:tc>
        <w:tc>
          <w:tcPr>
            <w:tcW w:w="3000" w:type="dxa"/>
            <w:tcBorders>
              <w:top w:val="nil"/>
              <w:left w:val="nil"/>
              <w:bottom w:val="nil"/>
              <w:right w:val="nil"/>
            </w:tcBorders>
            <w:shd w:val="clear" w:color="auto" w:fill="auto"/>
            <w:hideMark/>
          </w:tcPr>
          <w:p w14:paraId="641928D0"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Wireless communication among HDT system modules facilitates control, real-time interaction, and high-quality simulation, among other vital capabilities.</w:t>
            </w:r>
          </w:p>
        </w:tc>
        <w:tc>
          <w:tcPr>
            <w:tcW w:w="968" w:type="dxa"/>
            <w:tcBorders>
              <w:top w:val="nil"/>
              <w:left w:val="nil"/>
              <w:bottom w:val="nil"/>
              <w:right w:val="nil"/>
            </w:tcBorders>
            <w:shd w:val="clear" w:color="auto" w:fill="auto"/>
            <w:noWrap/>
            <w:hideMark/>
          </w:tcPr>
          <w:p w14:paraId="343FA78D"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{"citationItems":[{"id":"ITEM-1","itemData":{"DOI":"10.1007/s00170-022-08990-y","ISSN":"14333015","abstract":"As an important part of the real economy, manufacturing industry plays a major role in the whole human society. Smart manufacturing has become a strategic issue for many countries. Smart manufacturing puts forward higher requirements for the intelligence of shop-floor production process, product operation and maintenance, logistics and supply chain, which are inseparable from the support of advanced communication technology. As a new generation of mobile communication technology, 5G plays an important role in many areas of smart manufacturing with the characteristics of high bandwidth, low latency, and massive connectivity. This paper first analyzed the communication requirements for machine-to-machine, manufacturing Internet of Things, cyber-physical system-based manufacturing, logistics and supply chain, industrial Internet platform and digital twin–driven manufacturing. Based on the requirements, the research and application progress of 5G in manufacturing are investigated from the above six aspects. In addition, this paper proposed relevant future research hotspots for the further integration of 5G and the above-mentioned six areas of smart manufacturing.","author":[{"dropping-particle":"","family":"Cheng","given":"Jiangfeng","non-dropping-particle":"","parse-names":false,"suffix":""},{"dropping-particle":"","family":"Yang","given":"Yi","non-dropping-particle":"","parse-names":false,"suffix":""},{"dropping-particle":"","family":"Zou","given":"Xiaofu","non-dropping-particle":"","parse-names":false,"suffix":""},{"dropping-particle":"","family":"Zuo","given":"Ying","non-dropping-particle":"","parse-names":false,"suffix":""}],"container-title":"International Journal of Advanced Manufacturing Technology","id":"ITEM-1","issued":{"date-parts":[["2022"]]},"title":"5G in manufacturing: a literature review and future research","type":"article-journal"},"uris":["http://www.mendeley.com/documents/?uuid=997e9976-2d6e-3a9e-9c40-14829299f82f"]}],"mendeley":{"formattedCitation":"&lt;sup&gt;46&lt;/sup&gt;","plainTextFormattedCitation":"46","previouslyFormattedCitation":"(Cheng &lt;i&gt;et al.&lt;/i&gt;, 2022)"},"properties":{"noteIndex":0},"schema":"https://github.com/citation-style-language/schema/raw/master/csl-citation.json"}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46</w:t>
            </w:r>
            <w:r w:rsidRPr="00884515">
              <w:rPr>
                <w:rFonts w:asciiTheme="majorBidi" w:hAnsiTheme="majorBidi" w:cstheme="majorBidi"/>
                <w:color w:val="000000"/>
                <w:sz w:val="28"/>
                <w:szCs w:val="28"/>
              </w:rPr>
              <w:fldChar w:fldCharType="end"/>
            </w:r>
          </w:p>
        </w:tc>
      </w:tr>
      <w:tr w:rsidR="00CB61B9" w:rsidRPr="0058500A" w14:paraId="3EB87D49" w14:textId="77777777" w:rsidTr="00721C95">
        <w:trPr>
          <w:trHeight w:val="1852"/>
        </w:trPr>
        <w:tc>
          <w:tcPr>
            <w:tcW w:w="1876" w:type="dxa"/>
            <w:tcBorders>
              <w:top w:val="nil"/>
              <w:left w:val="nil"/>
              <w:bottom w:val="nil"/>
              <w:right w:val="nil"/>
            </w:tcBorders>
            <w:shd w:val="clear" w:color="auto" w:fill="auto"/>
            <w:hideMark/>
          </w:tcPr>
          <w:p w14:paraId="1FF6F997" w14:textId="77777777" w:rsidR="00CB61B9" w:rsidRPr="0058500A" w:rsidRDefault="00CB61B9" w:rsidP="00022C38">
            <w:pPr>
              <w:jc w:val="center"/>
              <w:rPr>
                <w:rFonts w:asciiTheme="majorBidi" w:hAnsiTheme="majorBidi" w:cstheme="majorBidi"/>
                <w:color w:val="000000"/>
                <w:sz w:val="20"/>
                <w:szCs w:val="20"/>
              </w:rPr>
            </w:pPr>
            <w:r w:rsidRPr="0058500A">
              <w:rPr>
                <w:rFonts w:asciiTheme="majorBidi" w:hAnsiTheme="majorBidi" w:cstheme="majorBidi"/>
                <w:color w:val="000000"/>
                <w:sz w:val="20"/>
                <w:szCs w:val="20"/>
              </w:rPr>
              <w:t>6G Technology</w:t>
            </w:r>
          </w:p>
        </w:tc>
        <w:tc>
          <w:tcPr>
            <w:tcW w:w="3197" w:type="dxa"/>
            <w:tcBorders>
              <w:top w:val="nil"/>
              <w:left w:val="nil"/>
              <w:bottom w:val="nil"/>
              <w:right w:val="nil"/>
            </w:tcBorders>
            <w:shd w:val="clear" w:color="auto" w:fill="auto"/>
            <w:hideMark/>
          </w:tcPr>
          <w:p w14:paraId="60D1CD60"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This technology offers numerous advantages, such as low latency and high bandwidth for integration. Sustainability-related energy management is also a top priority.</w:t>
            </w:r>
          </w:p>
        </w:tc>
        <w:tc>
          <w:tcPr>
            <w:tcW w:w="3000" w:type="dxa"/>
            <w:tcBorders>
              <w:top w:val="nil"/>
              <w:left w:val="nil"/>
              <w:bottom w:val="nil"/>
              <w:right w:val="nil"/>
            </w:tcBorders>
            <w:shd w:val="clear" w:color="auto" w:fill="auto"/>
            <w:hideMark/>
          </w:tcPr>
          <w:p w14:paraId="6BC0CC91"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Enable ultra-fast and reliable wireless communication, offering unprecedented data speeds, low latency, and supporting advanced technologies like holographic communication and seamless integration of physical and virtual worlds.</w:t>
            </w:r>
          </w:p>
        </w:tc>
        <w:tc>
          <w:tcPr>
            <w:tcW w:w="968" w:type="dxa"/>
            <w:tcBorders>
              <w:top w:val="nil"/>
              <w:left w:val="nil"/>
              <w:bottom w:val="nil"/>
              <w:right w:val="nil"/>
            </w:tcBorders>
            <w:shd w:val="clear" w:color="auto" w:fill="auto"/>
            <w:noWrap/>
            <w:hideMark/>
          </w:tcPr>
          <w:p w14:paraId="5E74B7B5"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{"citationItems":[{"id":"ITEM-1","itemData":{"DOI":"10.1186/s13677-022-00314-5","ISSN":"2192113X","abstract":"Industry 4.0 has been provided for the last 10 years to benefit the industry and the shortcomings; finally, the time for industry 5.0 has arrived. Smart factories are increasing the business productivity; therefore, industry 4.0 has limitations. In this paper, there is a discussion of the industry 5.0 opportunities as well as limitations and the future research prospects. Industry 5.0 is changing paradigm and brings the resolution since it will decrease emphasis on the technology and assume that the potential for progress is based on collaboration among the humans and machines. The industrial revolution is improving customer satisfaction by utilizing personalized products. In modern business with the paid technological developments, industry 5.0 is required for gaining competitive advantages as well as economic growth for the factory. The paper is aimed to analyze the potential applications of industry 5.0. At first, there is a discussion of the definitions of industry 5.0 and advanced technologies required in this industry revolution. There is also discussion of the applications enabled in industry 5.0 like healthcare, supply chain, production in manufacturing, cloud manufacturing, etc. The technologies discussed in this paper are big data analytics, Internet of Things, collaborative robots, Blockchain, digital twins and future 6G systems. The study also included difficulties and issues examined in this paper head to comprehend the issues caused by organizations among the robots and people in the assembly line.","author":[{"dropping-particle":"","family":"Adel","given":"Amr","non-dropping-particle":"","parse-names":false,"suffix":""}],"container-title":"Journal of Cloud Computing","id":"ITEM-1","issue":"1","issued":{"date-parts":[["2022"]]},"title":"Future of industry 5.0 in society: human-centric solutions, challenges and prospective research areas","type":"article","volume":"11"},"uris":["http://www.mendeley.com/documents/?uuid=2827399a-e9d8-310e-9022-55010caa1b82"]}],"mendeley":{"formattedCitation":"&lt;sup&gt;19&lt;/sup&gt;","plainTextFormattedCitation":"19","previouslyFormattedCitation":"(Adel, 2022)"},"properties":{"noteIndex":0},"schema":"https://github.com/citation-style-language/schema/raw/master/csl-citation.json"}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19</w:t>
            </w:r>
            <w:r w:rsidRPr="00884515">
              <w:rPr>
                <w:rFonts w:asciiTheme="majorBidi" w:hAnsiTheme="majorBidi" w:cstheme="majorBidi"/>
                <w:color w:val="000000"/>
                <w:sz w:val="28"/>
                <w:szCs w:val="28"/>
              </w:rPr>
              <w:fldChar w:fldCharType="end"/>
            </w:r>
          </w:p>
        </w:tc>
      </w:tr>
      <w:tr w:rsidR="00CB61B9" w:rsidRPr="0058500A" w14:paraId="0965D6E0" w14:textId="77777777" w:rsidTr="00721C95">
        <w:trPr>
          <w:trHeight w:val="1583"/>
        </w:trPr>
        <w:tc>
          <w:tcPr>
            <w:tcW w:w="1876" w:type="dxa"/>
            <w:tcBorders>
              <w:top w:val="nil"/>
              <w:left w:val="nil"/>
              <w:bottom w:val="nil"/>
              <w:right w:val="nil"/>
            </w:tcBorders>
            <w:shd w:val="clear" w:color="auto" w:fill="auto"/>
            <w:hideMark/>
          </w:tcPr>
          <w:p w14:paraId="46AB2DE4" w14:textId="77777777" w:rsidR="00CB61B9" w:rsidRPr="0058500A" w:rsidRDefault="00CB61B9" w:rsidP="00022C38">
            <w:pPr>
              <w:jc w:val="center"/>
              <w:rPr>
                <w:rFonts w:asciiTheme="majorBidi" w:hAnsiTheme="majorBidi" w:cstheme="majorBidi"/>
                <w:color w:val="000000"/>
                <w:sz w:val="20"/>
                <w:szCs w:val="20"/>
              </w:rPr>
            </w:pPr>
            <w:proofErr w:type="spellStart"/>
            <w:r w:rsidRPr="0058500A">
              <w:rPr>
                <w:rFonts w:asciiTheme="majorBidi" w:hAnsiTheme="majorBidi" w:cstheme="majorBidi"/>
                <w:color w:val="000000"/>
                <w:sz w:val="20"/>
                <w:szCs w:val="20"/>
              </w:rPr>
              <w:t>Wifi</w:t>
            </w:r>
            <w:proofErr w:type="spellEnd"/>
            <w:r w:rsidRPr="0058500A">
              <w:rPr>
                <w:rFonts w:asciiTheme="majorBidi" w:hAnsiTheme="majorBidi" w:cstheme="majorBidi"/>
                <w:color w:val="000000"/>
                <w:sz w:val="20"/>
                <w:szCs w:val="20"/>
              </w:rPr>
              <w:t xml:space="preserve"> Technology</w:t>
            </w:r>
          </w:p>
        </w:tc>
        <w:tc>
          <w:tcPr>
            <w:tcW w:w="3197" w:type="dxa"/>
            <w:tcBorders>
              <w:top w:val="nil"/>
              <w:left w:val="nil"/>
              <w:bottom w:val="nil"/>
              <w:right w:val="nil"/>
            </w:tcBorders>
            <w:shd w:val="clear" w:color="auto" w:fill="auto"/>
            <w:hideMark/>
          </w:tcPr>
          <w:p w14:paraId="300C4B89"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This technology facilitates Internet access and local area networking of devices. It is a technology for wireless networking.</w:t>
            </w:r>
          </w:p>
        </w:tc>
        <w:tc>
          <w:tcPr>
            <w:tcW w:w="3000" w:type="dxa"/>
            <w:tcBorders>
              <w:top w:val="nil"/>
              <w:left w:val="nil"/>
              <w:bottom w:val="nil"/>
              <w:right w:val="nil"/>
            </w:tcBorders>
            <w:shd w:val="clear" w:color="auto" w:fill="auto"/>
            <w:hideMark/>
          </w:tcPr>
          <w:p w14:paraId="62BA9A17" w14:textId="77777777" w:rsidR="00CB61B9" w:rsidRPr="0058500A" w:rsidRDefault="00CB61B9" w:rsidP="00022C38">
            <w:pPr>
              <w:spacing w:after="240"/>
              <w:rPr>
                <w:rFonts w:asciiTheme="majorBidi" w:hAnsiTheme="majorBidi" w:cstheme="majorBidi"/>
                <w:color w:val="000000"/>
                <w:sz w:val="20"/>
                <w:szCs w:val="20"/>
              </w:rPr>
            </w:pPr>
            <w:r w:rsidRPr="0058500A">
              <w:rPr>
                <w:rFonts w:asciiTheme="majorBidi" w:hAnsiTheme="majorBidi" w:cstheme="majorBidi"/>
                <w:color w:val="000000"/>
                <w:sz w:val="20"/>
                <w:szCs w:val="20"/>
              </w:rPr>
              <w:t>Facilitate wireless connectivity by employing radio waves to enable devices to establish connections with the internet and exchange information over brief distances.</w:t>
            </w:r>
            <w:r w:rsidRPr="0058500A">
              <w:rPr>
                <w:rFonts w:asciiTheme="majorBidi" w:hAnsiTheme="majorBidi" w:cstheme="majorBidi"/>
                <w:color w:val="000000"/>
                <w:sz w:val="20"/>
                <w:szCs w:val="20"/>
              </w:rPr>
              <w:br/>
            </w:r>
            <w:r w:rsidRPr="0058500A">
              <w:rPr>
                <w:rFonts w:asciiTheme="majorBidi" w:hAnsiTheme="majorBidi" w:cstheme="majorBidi"/>
                <w:color w:val="000000"/>
                <w:sz w:val="20"/>
                <w:szCs w:val="20"/>
              </w:rPr>
              <w:br/>
            </w:r>
            <w:r w:rsidRPr="0058500A">
              <w:rPr>
                <w:rFonts w:asciiTheme="majorBidi" w:hAnsiTheme="majorBidi" w:cstheme="majorBidi"/>
                <w:color w:val="000000"/>
                <w:sz w:val="20"/>
                <w:szCs w:val="20"/>
              </w:rPr>
              <w:br/>
            </w:r>
          </w:p>
        </w:tc>
        <w:tc>
          <w:tcPr>
            <w:tcW w:w="968" w:type="dxa"/>
            <w:tcBorders>
              <w:top w:val="nil"/>
              <w:left w:val="nil"/>
              <w:bottom w:val="nil"/>
              <w:right w:val="nil"/>
            </w:tcBorders>
            <w:shd w:val="clear" w:color="auto" w:fill="auto"/>
            <w:noWrap/>
            <w:hideMark/>
          </w:tcPr>
          <w:p w14:paraId="2BB63D99" w14:textId="77777777" w:rsidR="00CB61B9" w:rsidRPr="00884515" w:rsidRDefault="00CB61B9" w:rsidP="00022C38">
            <w:pPr>
              <w:spacing w:after="240"/>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{"citationItems":[{"id":"ITEM-1","itemData":{"abstract":"WiFi, also known as 802.11b, has become the preferred technology for wireless local area net- working in both business and home environ- ments. Even though it was designed primarily for private applications, WiFi is also being deployed in public places to create so-called hotspots, where WiFi-capable users can obtain broadband Internet access. This new domain of application could be the major future market opportunity for WiFi, but in order to take advantage of it, several key challenges, both technical and busi- ness-related, must be overcome. In this article we outline these challenges and discuss approaches to solutions.","author":[{"dropping-particle":"","family":"Henry","given":"Paul S","non-dropping-particle":"","parse-names":false,"suffix":""},{"dropping-particle":"","family":"Luo","given":"Hui","non-dropping-particle":"","parse-names":false,"suffix":""}],"container-title":"IEEE Communications Magazine","id":"ITEM-1","issue":"December","issued":{"date-parts":[["2002"]]},"title":"WiFi : What ’ s Next ?","type":"article-journal"},"uris":["http://www.mendeley.com/documents/?uuid=7a40670c-659d-3c48-ab9f-6d3d7260a1d3"]}],"mendeley":{"formattedCitation":"&lt;sup&gt;47&lt;/sup&gt;","plainTextFormattedCitation":"47","previouslyFormattedCitation":"(Henry and Luo, 2002)"},"properties":{"noteIndex":0},"schema":"https://github.com/citation-style-language/schema/raw/master/csl-citation.json"}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47</w:t>
            </w:r>
            <w:r w:rsidRPr="00884515">
              <w:rPr>
                <w:rFonts w:asciiTheme="majorBidi" w:hAnsiTheme="majorBidi" w:cstheme="majorBidi"/>
                <w:color w:val="000000"/>
                <w:sz w:val="28"/>
                <w:szCs w:val="28"/>
              </w:rPr>
              <w:fldChar w:fldCharType="end"/>
            </w:r>
          </w:p>
        </w:tc>
      </w:tr>
      <w:tr w:rsidR="00CB61B9" w:rsidRPr="0058500A" w14:paraId="527BBA0B" w14:textId="77777777" w:rsidTr="00721C95">
        <w:trPr>
          <w:trHeight w:val="1297"/>
        </w:trPr>
        <w:tc>
          <w:tcPr>
            <w:tcW w:w="1876" w:type="dxa"/>
            <w:tcBorders>
              <w:top w:val="nil"/>
              <w:left w:val="nil"/>
              <w:bottom w:val="single" w:sz="4" w:space="0" w:color="auto"/>
              <w:right w:val="nil"/>
            </w:tcBorders>
            <w:shd w:val="clear" w:color="auto" w:fill="auto"/>
            <w:hideMark/>
          </w:tcPr>
          <w:p w14:paraId="22F0FD02" w14:textId="77777777" w:rsidR="00CB61B9" w:rsidRPr="0058500A" w:rsidRDefault="00CB61B9" w:rsidP="00022C38">
            <w:pPr>
              <w:jc w:val="center"/>
              <w:rPr>
                <w:rFonts w:asciiTheme="majorBidi" w:hAnsiTheme="majorBidi" w:cstheme="majorBidi"/>
                <w:color w:val="000000"/>
                <w:sz w:val="20"/>
                <w:szCs w:val="20"/>
              </w:rPr>
            </w:pPr>
            <w:r w:rsidRPr="0058500A">
              <w:rPr>
                <w:rFonts w:asciiTheme="majorBidi" w:hAnsiTheme="majorBidi" w:cstheme="majorBidi"/>
                <w:color w:val="000000"/>
                <w:sz w:val="20"/>
                <w:szCs w:val="20"/>
              </w:rPr>
              <w:t>Bluetooth Technology</w:t>
            </w:r>
          </w:p>
        </w:tc>
        <w:tc>
          <w:tcPr>
            <w:tcW w:w="3197" w:type="dxa"/>
            <w:tcBorders>
              <w:top w:val="nil"/>
              <w:left w:val="nil"/>
              <w:bottom w:val="single" w:sz="4" w:space="0" w:color="auto"/>
              <w:right w:val="nil"/>
            </w:tcBorders>
            <w:shd w:val="clear" w:color="auto" w:fill="auto"/>
            <w:hideMark/>
          </w:tcPr>
          <w:p w14:paraId="122700F5"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A technology standard that enables the exchange of data between mobile and fixed devices over short distances is known as wireless technology.</w:t>
            </w:r>
          </w:p>
        </w:tc>
        <w:tc>
          <w:tcPr>
            <w:tcW w:w="3000" w:type="dxa"/>
            <w:tcBorders>
              <w:top w:val="nil"/>
              <w:left w:val="nil"/>
              <w:bottom w:val="single" w:sz="4" w:space="0" w:color="auto"/>
              <w:right w:val="nil"/>
            </w:tcBorders>
            <w:shd w:val="clear" w:color="auto" w:fill="auto"/>
            <w:hideMark/>
          </w:tcPr>
          <w:p w14:paraId="7D5C7890" w14:textId="77777777" w:rsidR="00CB61B9" w:rsidRPr="0058500A" w:rsidRDefault="00CB61B9" w:rsidP="00022C38">
            <w:pPr>
              <w:rPr>
                <w:rFonts w:asciiTheme="majorBidi" w:hAnsiTheme="majorBidi" w:cstheme="majorBidi"/>
                <w:color w:val="000000"/>
                <w:sz w:val="20"/>
                <w:szCs w:val="20"/>
              </w:rPr>
            </w:pPr>
            <w:r w:rsidRPr="0058500A">
              <w:rPr>
                <w:rFonts w:asciiTheme="majorBidi" w:hAnsiTheme="majorBidi" w:cstheme="majorBidi"/>
                <w:color w:val="000000"/>
                <w:sz w:val="20"/>
                <w:szCs w:val="20"/>
              </w:rPr>
              <w:t>Enable short-range wireless communication between devices, facilitating data transfer, audio streaming, and device connectivity.</w:t>
            </w:r>
          </w:p>
        </w:tc>
        <w:tc>
          <w:tcPr>
            <w:tcW w:w="968" w:type="dxa"/>
            <w:tcBorders>
              <w:top w:val="nil"/>
              <w:left w:val="nil"/>
              <w:bottom w:val="single" w:sz="4" w:space="0" w:color="auto"/>
              <w:right w:val="nil"/>
            </w:tcBorders>
            <w:shd w:val="clear" w:color="auto" w:fill="auto"/>
            <w:noWrap/>
            <w:hideMark/>
          </w:tcPr>
          <w:p w14:paraId="5F8A2A0A" w14:textId="77777777" w:rsidR="00CB61B9" w:rsidRPr="00884515" w:rsidRDefault="00CB61B9" w:rsidP="00022C38">
            <w:pPr>
              <w:jc w:val="center"/>
              <w:rPr>
                <w:rFonts w:asciiTheme="majorBidi" w:hAnsiTheme="majorBidi" w:cstheme="majorBidi"/>
                <w:color w:val="000000"/>
                <w:sz w:val="28"/>
                <w:szCs w:val="28"/>
              </w:rPr>
            </w:pPr>
            <w:r w:rsidRPr="00884515">
              <w:rPr>
                <w:rFonts w:asciiTheme="majorBidi" w:hAnsiTheme="majorBidi" w:cstheme="majorBidi"/>
                <w:color w:val="000000"/>
                <w:sz w:val="28"/>
                <w:szCs w:val="28"/>
              </w:rPr>
              <w:fldChar w:fldCharType="begin" w:fldLock="1"/>
            </w:r>
            <w:r w:rsidRPr="00884515">
              <w:rPr>
                <w:rFonts w:asciiTheme="majorBidi" w:hAnsiTheme="majorBidi" w:cstheme="majorBidi"/>
                <w:color w:val="000000"/>
                <w:sz w:val="28"/>
                <w:szCs w:val="28"/>
              </w:rPr>
              <w:instrText>ADDIN CSL_CITATION {"citationItems":[{"id":"ITEM-1","itemData":{"DOI":"10.1109/MP.2005.1368913","ISSN":"02786648","author":[{"dropping-particle":"","family":"McDermott-Wells","given":"Patricia","non-dropping-particle":"","parse-names":false,"suffix":""}],"container-title":"IEEE Potentials","id":"ITEM-1","issue":"5","issued":{"date-parts":[["2004"]]},"title":"What is Bluetooth?","type":"article","volume":"23"},"uris":["http://www.mendeley.com/documents/?uuid=82e46001-dbaa-351b-b4b2-3e551e134475"]}],"mendeley":{"formattedCitation":"&lt;sup&gt;48&lt;/sup&gt;","plainTextFormattedCitation":"48","previouslyFormattedCitation":"(McDermott-Wells, 2004)"},"properties":{"noteIndex":0},"schema":"https://github.com/citation-style-language/schema/raw/master/csl-citation.json"}</w:instrText>
            </w:r>
            <w:r w:rsidRPr="00884515">
              <w:rPr>
                <w:rFonts w:asciiTheme="majorBidi" w:hAnsiTheme="majorBidi" w:cstheme="majorBidi"/>
                <w:color w:val="000000"/>
                <w:sz w:val="28"/>
                <w:szCs w:val="28"/>
              </w:rPr>
              <w:fldChar w:fldCharType="separate"/>
            </w:r>
            <w:r w:rsidRPr="00884515">
              <w:rPr>
                <w:rFonts w:asciiTheme="majorBidi" w:hAnsiTheme="majorBidi" w:cstheme="majorBidi"/>
                <w:noProof/>
                <w:color w:val="000000"/>
                <w:sz w:val="28"/>
                <w:szCs w:val="28"/>
                <w:vertAlign w:val="superscript"/>
              </w:rPr>
              <w:t>48</w:t>
            </w:r>
            <w:r w:rsidRPr="00884515">
              <w:rPr>
                <w:rFonts w:asciiTheme="majorBidi" w:hAnsiTheme="majorBidi" w:cstheme="majorBidi"/>
                <w:color w:val="000000"/>
                <w:sz w:val="28"/>
                <w:szCs w:val="28"/>
              </w:rPr>
              <w:fldChar w:fldCharType="end"/>
            </w:r>
          </w:p>
        </w:tc>
      </w:tr>
    </w:tbl>
    <w:p w14:paraId="6F9D0DDD" w14:textId="77777777" w:rsidR="00CB61B9" w:rsidRDefault="00CB61B9" w:rsidP="00CB61B9">
      <w:pPr>
        <w:jc w:val="both"/>
        <w:rPr>
          <w:rFonts w:asciiTheme="majorBidi" w:hAnsiTheme="majorBidi" w:cstheme="majorBidi"/>
          <w:sz w:val="20"/>
          <w:szCs w:val="20"/>
        </w:rPr>
      </w:pPr>
    </w:p>
    <w:p w14:paraId="6C2124B1" w14:textId="77777777" w:rsidR="00721C95" w:rsidRDefault="00721C95" w:rsidP="00CB61B9">
      <w:pPr>
        <w:jc w:val="both"/>
        <w:rPr>
          <w:rFonts w:asciiTheme="majorBidi" w:hAnsiTheme="majorBidi" w:cstheme="majorBidi"/>
          <w:sz w:val="20"/>
          <w:szCs w:val="20"/>
        </w:rPr>
      </w:pPr>
    </w:p>
    <w:p w14:paraId="102CD649" w14:textId="77777777" w:rsidR="00721C95" w:rsidRDefault="00721C95" w:rsidP="00CB61B9">
      <w:pPr>
        <w:jc w:val="both"/>
        <w:rPr>
          <w:rFonts w:asciiTheme="majorBidi" w:hAnsiTheme="majorBidi" w:cstheme="majorBidi"/>
          <w:sz w:val="20"/>
          <w:szCs w:val="20"/>
        </w:rPr>
      </w:pPr>
    </w:p>
    <w:p w14:paraId="6D8915A8" w14:textId="77777777" w:rsidR="00721C95" w:rsidRDefault="00721C95" w:rsidP="00CB61B9">
      <w:pPr>
        <w:jc w:val="both"/>
        <w:rPr>
          <w:rFonts w:asciiTheme="majorBidi" w:hAnsiTheme="majorBidi" w:cstheme="majorBidi"/>
          <w:sz w:val="20"/>
          <w:szCs w:val="20"/>
        </w:rPr>
      </w:pPr>
    </w:p>
    <w:p w14:paraId="3F10CDDC" w14:textId="77777777" w:rsidR="00721C95" w:rsidRDefault="00721C95" w:rsidP="00576C59">
      <w:pPr>
        <w:pStyle w:val="Heading2"/>
        <w:numPr>
          <w:ilvl w:val="0"/>
          <w:numId w:val="0"/>
        </w:numPr>
        <w:sectPr w:rsidR="00721C95" w:rsidSect="00CB61B9">
          <w:pgSz w:w="11900" w:h="16840"/>
          <w:pgMar w:top="1440" w:right="1440" w:bottom="1440" w:left="1440" w:header="708" w:footer="708" w:gutter="0"/>
          <w:cols w:space="708"/>
          <w:docGrid w:linePitch="360"/>
        </w:sectPr>
      </w:pPr>
    </w:p>
    <w:p w14:paraId="0C503CB3" w14:textId="77777777" w:rsidR="00576C59" w:rsidRPr="0058500A" w:rsidRDefault="00576C59" w:rsidP="00576C59">
      <w:pPr>
        <w:pStyle w:val="Heading2"/>
        <w:numPr>
          <w:ilvl w:val="0"/>
          <w:numId w:val="0"/>
        </w:numPr>
      </w:pPr>
      <w:r w:rsidRPr="0058500A">
        <w:t>4.2 Representative Applications of HDT in Industry 5.0</w:t>
      </w:r>
    </w:p>
    <w:p w14:paraId="057F5011" w14:textId="77777777" w:rsidR="00576C59" w:rsidRPr="0058500A" w:rsidRDefault="00576C59" w:rsidP="00576C59">
      <w:pPr>
        <w:rPr>
          <w:sz w:val="20"/>
          <w:szCs w:val="20"/>
        </w:rPr>
      </w:pPr>
    </w:p>
    <w:p w14:paraId="0EB68D1D" w14:textId="6528CF19" w:rsidR="00576C59" w:rsidRPr="0058500A" w:rsidRDefault="00576C59" w:rsidP="00576C59">
      <w:pPr>
        <w:ind w:firstLine="288"/>
        <w:jc w:val="both"/>
        <w:rPr>
          <w:rFonts w:asciiTheme="majorBidi" w:hAnsiTheme="majorBidi" w:cstheme="majorBidi"/>
          <w:sz w:val="20"/>
          <w:szCs w:val="20"/>
        </w:rPr>
      </w:pPr>
      <w:r w:rsidRPr="0058500A">
        <w:rPr>
          <w:rFonts w:ascii="Times New Roman" w:hAnsi="Times New Roman" w:cs="Times New Roman"/>
          <w:sz w:val="20"/>
          <w:szCs w:val="20"/>
        </w:rPr>
        <w:t xml:space="preserve">Industry 5.0, a manufacturing paradigm, aims to deliver tailored, satisfactory products while liberating humans from strenuous tasks. HDT </w:t>
      </w:r>
      <w:r w:rsidR="005D130A" w:rsidRPr="0058500A">
        <w:rPr>
          <w:rFonts w:ascii="Times New Roman" w:hAnsi="Times New Roman" w:cs="Times New Roman"/>
          <w:sz w:val="20"/>
          <w:szCs w:val="20"/>
        </w:rPr>
        <w:t>plays</w:t>
      </w:r>
      <w:r w:rsidRPr="0058500A">
        <w:rPr>
          <w:rFonts w:ascii="Times New Roman" w:hAnsi="Times New Roman" w:cs="Times New Roman"/>
          <w:sz w:val="20"/>
          <w:szCs w:val="20"/>
        </w:rPr>
        <w:t xml:space="preserve"> a pivotal role by creating real-time versions of people, optimizing and managing services for different human roles. This section explores representative HDT applications in product design, production, optimization, and maintenance.</w:t>
      </w:r>
    </w:p>
    <w:p w14:paraId="37EDA5D5" w14:textId="77777777" w:rsidR="00576C59" w:rsidRPr="0058500A" w:rsidRDefault="00576C59" w:rsidP="00CB61B9">
      <w:pPr>
        <w:jc w:val="both"/>
        <w:rPr>
          <w:rFonts w:asciiTheme="majorBidi" w:hAnsiTheme="majorBidi" w:cstheme="majorBidi"/>
          <w:sz w:val="20"/>
          <w:szCs w:val="20"/>
        </w:rPr>
      </w:pPr>
    </w:p>
    <w:p w14:paraId="208B4340" w14:textId="77777777" w:rsidR="00576C59" w:rsidRPr="0058500A" w:rsidRDefault="00576C59" w:rsidP="00576C59">
      <w:pPr>
        <w:pStyle w:val="Heading3"/>
        <w:numPr>
          <w:ilvl w:val="0"/>
          <w:numId w:val="0"/>
        </w:numPr>
      </w:pPr>
      <w:r w:rsidRPr="0058500A">
        <w:t>4.2.1 HDT in Design</w:t>
      </w:r>
    </w:p>
    <w:p w14:paraId="199FABC5" w14:textId="77777777" w:rsidR="00576C59" w:rsidRPr="0058500A" w:rsidRDefault="00576C59" w:rsidP="00576C59">
      <w:pPr>
        <w:jc w:val="both"/>
        <w:rPr>
          <w:rFonts w:ascii="Times New Roman" w:hAnsi="Times New Roman" w:cs="Times New Roman"/>
          <w:i/>
          <w:sz w:val="20"/>
          <w:szCs w:val="20"/>
        </w:rPr>
      </w:pPr>
      <w:r w:rsidRPr="0058500A">
        <w:rPr>
          <w:rFonts w:ascii="Times New Roman" w:hAnsi="Times New Roman" w:cs="Times New Roman"/>
          <w:i/>
          <w:sz w:val="20"/>
          <w:szCs w:val="20"/>
        </w:rPr>
        <w:t>Application # 1: A cloud-based additive manufacturing and design system</w:t>
      </w:r>
    </w:p>
    <w:p w14:paraId="49679C0F" w14:textId="77777777" w:rsidR="00576C59" w:rsidRPr="0058500A" w:rsidRDefault="00576C59" w:rsidP="00576C59">
      <w:pPr>
        <w:jc w:val="both"/>
        <w:rPr>
          <w:rFonts w:ascii="Times New Roman" w:hAnsi="Times New Roman" w:cs="Times New Roman"/>
          <w:sz w:val="20"/>
          <w:szCs w:val="20"/>
        </w:rPr>
      </w:pPr>
    </w:p>
    <w:p w14:paraId="02B64645" w14:textId="18BB24FE" w:rsidR="00721C95" w:rsidRDefault="00576C59" w:rsidP="00576C59">
      <w:pPr>
        <w:ind w:firstLine="288"/>
        <w:jc w:val="both"/>
        <w:rPr>
          <w:rFonts w:ascii="Times New Roman" w:hAnsi="Times New Roman" w:cs="Times New Roman"/>
          <w:sz w:val="20"/>
          <w:szCs w:val="20"/>
        </w:rPr>
        <w:sectPr w:rsidR="00721C95" w:rsidSect="00721C95">
          <w:type w:val="continuous"/>
          <w:pgSz w:w="11900" w:h="16840"/>
          <w:pgMar w:top="1440" w:right="1440" w:bottom="1440" w:left="1440" w:header="708" w:footer="708" w:gutter="0"/>
          <w:cols w:num="2" w:space="708"/>
          <w:docGrid w:linePitch="360"/>
        </w:sectPr>
      </w:pPr>
      <w:r w:rsidRPr="0058500A">
        <w:rPr>
          <w:rFonts w:ascii="Times New Roman" w:hAnsi="Times New Roman" w:cs="Times New Roman"/>
          <w:sz w:val="20"/>
          <w:szCs w:val="20"/>
        </w:rPr>
        <w:t xml:space="preserve">To tackle this concern, an innovative system </w:t>
      </w:r>
      <w:r w:rsidR="0061390D" w:rsidRPr="0058500A">
        <w:rPr>
          <w:rFonts w:ascii="Times New Roman" w:hAnsi="Times New Roman" w:cs="Times New Roman"/>
          <w:sz w:val="20"/>
          <w:szCs w:val="20"/>
        </w:rPr>
        <w:t>utilizing</w:t>
      </w:r>
      <w:r w:rsidRPr="0058500A">
        <w:rPr>
          <w:rFonts w:ascii="Times New Roman" w:hAnsi="Times New Roman" w:cs="Times New Roman"/>
          <w:sz w:val="20"/>
          <w:szCs w:val="20"/>
        </w:rPr>
        <w:t xml:space="preserve"> cloud-based design and additive manufacturing (CDAM) has been devised to fabricate prototypes of ankle foot orthosis (AFO). The application architecture is depicted in the figure 6 below. This system is user-centric, placing an emphasis on their requirements. An optical scanning </w:t>
      </w:r>
      <w:r w:rsidRPr="0058500A">
        <w:rPr>
          <w:rFonts w:ascii="Times New Roman" w:hAnsi="Times New Roman" w:cs="Times New Roman"/>
          <w:sz w:val="20"/>
          <w:szCs w:val="20"/>
        </w:rPr>
        <w:t xml:space="preserve">process is employed to generate a three-dimensional geometry of the user's foot and limb during their clinic visit. This data is subsequently converted into a designated file format and transmitted to the cyber design </w:t>
      </w:r>
      <w:r w:rsidR="005D130A" w:rsidRPr="0058500A">
        <w:rPr>
          <w:rFonts w:ascii="Times New Roman" w:hAnsi="Times New Roman" w:cs="Times New Roman"/>
          <w:sz w:val="20"/>
          <w:szCs w:val="20"/>
        </w:rPr>
        <w:t>center</w:t>
      </w:r>
      <w:r w:rsidRPr="0058500A">
        <w:rPr>
          <w:rFonts w:ascii="Times New Roman" w:hAnsi="Times New Roman" w:cs="Times New Roman"/>
          <w:sz w:val="20"/>
          <w:szCs w:val="20"/>
        </w:rPr>
        <w:t xml:space="preserve">. Clinicians then </w:t>
      </w:r>
      <w:proofErr w:type="gramStart"/>
      <w:r w:rsidRPr="0058500A">
        <w:rPr>
          <w:rFonts w:ascii="Times New Roman" w:hAnsi="Times New Roman" w:cs="Times New Roman"/>
          <w:sz w:val="20"/>
          <w:szCs w:val="20"/>
        </w:rPr>
        <w:t>have the ability to</w:t>
      </w:r>
      <w:proofErr w:type="gramEnd"/>
      <w:r w:rsidRPr="0058500A">
        <w:rPr>
          <w:rFonts w:ascii="Times New Roman" w:hAnsi="Times New Roman" w:cs="Times New Roman"/>
          <w:sz w:val="20"/>
          <w:szCs w:val="20"/>
        </w:rPr>
        <w:t xml:space="preserve"> modify the </w:t>
      </w:r>
      <w:r w:rsidR="005D130A" w:rsidRPr="0058500A">
        <w:rPr>
          <w:rFonts w:ascii="Times New Roman" w:hAnsi="Times New Roman" w:cs="Times New Roman"/>
          <w:sz w:val="20"/>
          <w:szCs w:val="20"/>
        </w:rPr>
        <w:t>personalized</w:t>
      </w:r>
      <w:r w:rsidRPr="0058500A">
        <w:rPr>
          <w:rFonts w:ascii="Times New Roman" w:hAnsi="Times New Roman" w:cs="Times New Roman"/>
          <w:sz w:val="20"/>
          <w:szCs w:val="20"/>
        </w:rPr>
        <w:t xml:space="preserve"> point cloud data in accordance with the needs of the user by accessing it via a web portal and interface on a cloud server. By making the tool path for validating the HDT design scheme, the additive manufacturing software makes it easier for clinicians to solve difficult engineering analysis and design problems. Continuously executed outside of the clinic </w:t>
      </w:r>
      <w:r w:rsidR="005D130A" w:rsidRPr="0058500A">
        <w:rPr>
          <w:rFonts w:ascii="Times New Roman" w:hAnsi="Times New Roman" w:cs="Times New Roman"/>
          <w:sz w:val="20"/>
          <w:szCs w:val="20"/>
        </w:rPr>
        <w:t>utilizing</w:t>
      </w:r>
      <w:r w:rsidRPr="0058500A">
        <w:rPr>
          <w:rFonts w:ascii="Times New Roman" w:hAnsi="Times New Roman" w:cs="Times New Roman"/>
          <w:sz w:val="20"/>
          <w:szCs w:val="20"/>
        </w:rPr>
        <w:t xml:space="preserve"> embedded IMU, the performance evaluation determines whether additional modifications are required. An expeditious, effortless, and precise </w:t>
      </w:r>
      <w:r w:rsidR="005D130A" w:rsidRPr="0058500A">
        <w:rPr>
          <w:rFonts w:ascii="Times New Roman" w:hAnsi="Times New Roman" w:cs="Times New Roman"/>
          <w:sz w:val="20"/>
          <w:szCs w:val="20"/>
        </w:rPr>
        <w:t>customization</w:t>
      </w:r>
      <w:r w:rsidRPr="0058500A">
        <w:rPr>
          <w:rFonts w:ascii="Times New Roman" w:hAnsi="Times New Roman" w:cs="Times New Roman"/>
          <w:sz w:val="20"/>
          <w:szCs w:val="20"/>
        </w:rPr>
        <w:t xml:space="preserve"> has resulted from the implementation of the CDAM system, thereby enhancing the one-day visitor experience. An HDT </w:t>
      </w:r>
      <w:r w:rsidRPr="0058500A">
        <w:rPr>
          <w:rFonts w:ascii="Times New Roman" w:hAnsi="Times New Roman" w:cs="Times New Roman"/>
          <w:sz w:val="20"/>
          <w:szCs w:val="20"/>
        </w:rPr>
        <w:fldChar w:fldCharType="begin" w:fldLock="1"/>
      </w:r>
      <w:r w:rsidRPr="0058500A">
        <w:rPr>
          <w:rFonts w:ascii="Times New Roman" w:hAnsi="Times New Roman" w:cs="Times New Roman"/>
          <w:sz w:val="20"/>
          <w:szCs w:val="20"/>
        </w:rPr>
        <w:instrText>ADDIN CSL_CITATION {"citationItems":[{"id":"ITEM-1","itemData":{"DOI":"10.1016/j.procir.2017.03.355","ISSN":"22128271","abstract":"This paper presents a cyber design and additive manufacturing (CDAM) system at the University of Michigan Orthotics and Prosthetics Center. This CDAM system aims at shortening the delivery and improving the fit and comfort of custom orthoses and prostheses. The ankle foot orthosis (AFO), a custom made brace that supports muscles and provides control and protection for feet, is selected as an example to demonstrate the CDAM system. Traditionally, custom orthoses are fabricated using plaster molding which requires multiple patient visits and extensive labor and fabrication time. Four key components: 1) the digital scanning of foot and leg geometry using a stand with transparent foot plate and ergonomic procedure for 3D optical scanning, 2) a cloud-based design software that enables clinicians to access scanned point cloud data on the geometry of patients' feet as well as create 3D models for AFOs based on patients' needs, 3) a cloud-based manufacturing software that generates tool paths and process parameters for additive manufacturing to fabricate the AFO, 4) the evaluation using inertia measurement unit (IMU) for measurement of the AFO motion for gait analysis. The feasibility of CDAM system for one-day delivery of AFOs to patients has been demonstrated.","author":[{"dropping-particle":"","family":"Shih","given":"Albert","non-dropping-particle":"","parse-names":false,"suffix":""},{"dropping-particle":"","family":"Park","given":"Dae Woo","non-dropping-particle":"","parse-names":false,"suffix":""},{"dropping-particle":"","family":"Yang","given":"Ya Yu","non-dropping-particle":"","parse-names":false,"suffix":""},{"dropping-particle":"","family":"Chisena","given":"Robert","non-dropping-particle":"","parse-names":false,"suffix":""},{"dropping-particle":"","family":"Wu","given":"Dazhong","non-dropping-particle":"","parse-names":false,"suffix":""}],"container-title":"Procedia CIRP","id":"ITEM-1","issued":{"date-parts":[["2017"]]},"title":"Cloud-based Design and Additive Manufacturing of Custom Orthoses","type":"paper-conference","volume":"63"},"uris":["http://www.mendeley.com/documents/?uuid=e433d822-661b-3445-96b8-c6044bfc5b83"]}],"mendeley":{"formattedCitation":"&lt;sup&gt;50&lt;/sup&gt;","plainTextFormattedCitation":"50","previouslyFormattedCitation":"(Shih &lt;i&gt;et al.&lt;/i&gt;, 2017)"},"properties":{"noteIndex":0},"schema":"https://github.com/citation-style-language/schema/raw/master/csl-citation.json"}</w:instrText>
      </w:r>
      <w:r w:rsidRPr="0058500A">
        <w:rPr>
          <w:rFonts w:ascii="Times New Roman" w:hAnsi="Times New Roman" w:cs="Times New Roman"/>
          <w:sz w:val="20"/>
          <w:szCs w:val="20"/>
        </w:rPr>
        <w:fldChar w:fldCharType="separate"/>
      </w:r>
      <w:r w:rsidRPr="0058500A">
        <w:rPr>
          <w:rFonts w:ascii="Times New Roman" w:hAnsi="Times New Roman" w:cs="Times New Roman"/>
          <w:noProof/>
          <w:sz w:val="20"/>
          <w:szCs w:val="20"/>
          <w:vertAlign w:val="superscript"/>
        </w:rPr>
        <w:t>50</w:t>
      </w:r>
      <w:r w:rsidRPr="0058500A">
        <w:rPr>
          <w:rFonts w:ascii="Times New Roman" w:hAnsi="Times New Roman" w:cs="Times New Roman"/>
          <w:sz w:val="20"/>
          <w:szCs w:val="20"/>
        </w:rPr>
        <w:fldChar w:fldCharType="end"/>
      </w:r>
      <w:r w:rsidRPr="0058500A">
        <w:rPr>
          <w:rFonts w:ascii="Times New Roman" w:hAnsi="Times New Roman" w:cs="Times New Roman"/>
          <w:sz w:val="20"/>
          <w:szCs w:val="20"/>
        </w:rPr>
        <w:t xml:space="preserve"> study that demonstrated the CDAM system's viability indicates a positive outlook for the system's implementation in clinical environments.</w:t>
      </w:r>
    </w:p>
    <w:p w14:paraId="7D076A70" w14:textId="75E16270" w:rsidR="00576C59" w:rsidRPr="0058500A" w:rsidRDefault="00576C59" w:rsidP="00721C95">
      <w:pPr>
        <w:jc w:val="both"/>
        <w:rPr>
          <w:rFonts w:ascii="Times New Roman" w:hAnsi="Times New Roman" w:cs="Times New Roman"/>
          <w:sz w:val="20"/>
          <w:szCs w:val="20"/>
        </w:rPr>
      </w:pPr>
    </w:p>
    <w:p w14:paraId="6A465692" w14:textId="77777777" w:rsidR="00576C59" w:rsidRDefault="00576C59" w:rsidP="00576C59">
      <w:pPr>
        <w:jc w:val="both"/>
        <w:rPr>
          <w:rFonts w:ascii="Times New Roman" w:hAnsi="Times New Roman" w:cs="Times New Roman"/>
        </w:rPr>
      </w:pPr>
    </w:p>
    <w:p w14:paraId="2A081FEB" w14:textId="77777777" w:rsidR="00576C59" w:rsidRDefault="00576C59" w:rsidP="00576C59">
      <w:pPr>
        <w:jc w:val="both"/>
        <w:rPr>
          <w:rFonts w:ascii="Times New Roman" w:hAnsi="Times New Roman" w:cs="Times New Roman"/>
        </w:rPr>
      </w:pPr>
    </w:p>
    <w:p w14:paraId="39890483" w14:textId="39409370" w:rsidR="00576C59" w:rsidRPr="0012787A" w:rsidRDefault="00576C59" w:rsidP="00576C59">
      <w:pPr>
        <w:jc w:val="both"/>
        <w:rPr>
          <w:rFonts w:asciiTheme="majorBidi" w:hAnsiTheme="majorBidi" w:cstheme="majorBidi"/>
          <w:sz w:val="20"/>
          <w:szCs w:val="20"/>
        </w:rPr>
      </w:pPr>
      <w:r w:rsidRPr="00C36419">
        <w:rPr>
          <w:rFonts w:ascii="Times New Roman" w:hAnsi="Times New Roman" w:cs="Times New Roman"/>
          <w:noProof/>
        </w:rPr>
        <w:lastRenderedPageBreak/>
        <w:drawing>
          <wp:inline distT="0" distB="0" distL="0" distR="0" wp14:anchorId="7D64F1C5" wp14:editId="1C300397">
            <wp:extent cx="5727700" cy="2141220"/>
            <wp:effectExtent l="0" t="0" r="6350" b="0"/>
            <wp:docPr id="374433095" name="Picture 37443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8.jpg"/>
                    <pic:cNvPicPr/>
                  </pic:nvPicPr>
                  <pic:blipFill>
                    <a:blip r:embed="rId25">
                      <a:extLst>
                        <a:ext uri="{28A0092B-C50C-407E-A947-70E740481C1C}">
                          <a14:useLocalDpi xmlns:a14="http://schemas.microsoft.com/office/drawing/2010/main" val="0"/>
                        </a:ext>
                      </a:extLst>
                    </a:blip>
                    <a:stretch>
                      <a:fillRect/>
                    </a:stretch>
                  </pic:blipFill>
                  <pic:spPr>
                    <a:xfrm>
                      <a:off x="0" y="0"/>
                      <a:ext cx="5727700" cy="2141220"/>
                    </a:xfrm>
                    <a:prstGeom prst="rect">
                      <a:avLst/>
                    </a:prstGeom>
                  </pic:spPr>
                </pic:pic>
              </a:graphicData>
            </a:graphic>
          </wp:inline>
        </w:drawing>
      </w:r>
    </w:p>
    <w:p w14:paraId="1E23E50A" w14:textId="77777777" w:rsidR="00576C59" w:rsidRPr="00721C95" w:rsidRDefault="00576C59" w:rsidP="00576C59">
      <w:pPr>
        <w:jc w:val="center"/>
        <w:rPr>
          <w:rFonts w:asciiTheme="majorBidi" w:hAnsiTheme="majorBidi" w:cstheme="majorBidi"/>
          <w:b/>
          <w:bCs/>
          <w:sz w:val="6"/>
          <w:szCs w:val="6"/>
        </w:rPr>
      </w:pPr>
    </w:p>
    <w:p w14:paraId="653FB283" w14:textId="435139D1" w:rsidR="00576C59" w:rsidRDefault="00576C59" w:rsidP="00576C59">
      <w:pPr>
        <w:jc w:val="center"/>
        <w:rPr>
          <w:rFonts w:asciiTheme="majorBidi" w:hAnsiTheme="majorBidi" w:cstheme="majorBidi"/>
          <w:sz w:val="20"/>
          <w:szCs w:val="20"/>
        </w:rPr>
      </w:pPr>
      <w:r w:rsidRPr="0058500A">
        <w:rPr>
          <w:rFonts w:asciiTheme="majorBidi" w:hAnsiTheme="majorBidi" w:cstheme="majorBidi"/>
          <w:b/>
          <w:bCs/>
          <w:sz w:val="20"/>
          <w:szCs w:val="20"/>
        </w:rPr>
        <w:t>Fig. 6.</w:t>
      </w:r>
      <w:r w:rsidRPr="0058500A">
        <w:rPr>
          <w:rFonts w:asciiTheme="majorBidi" w:hAnsiTheme="majorBidi" w:cstheme="majorBidi"/>
          <w:sz w:val="20"/>
          <w:szCs w:val="20"/>
        </w:rPr>
        <w:t xml:space="preserve"> A cloud-based additive manufacturing and design system for customizing orthosis prototypes</w:t>
      </w:r>
    </w:p>
    <w:p w14:paraId="1EEA90D8" w14:textId="77777777" w:rsidR="00721C95" w:rsidRDefault="00721C95" w:rsidP="00576C59">
      <w:pPr>
        <w:jc w:val="center"/>
        <w:rPr>
          <w:rFonts w:asciiTheme="majorBidi" w:hAnsiTheme="majorBidi" w:cstheme="majorBidi"/>
          <w:sz w:val="20"/>
          <w:szCs w:val="20"/>
        </w:rPr>
      </w:pPr>
    </w:p>
    <w:p w14:paraId="0F96BB4F" w14:textId="77777777" w:rsidR="00721C95" w:rsidRPr="0058500A" w:rsidRDefault="00721C95" w:rsidP="00576C59">
      <w:pPr>
        <w:jc w:val="center"/>
        <w:rPr>
          <w:rFonts w:asciiTheme="majorBidi" w:hAnsiTheme="majorBidi" w:cstheme="majorBidi"/>
          <w:sz w:val="20"/>
          <w:szCs w:val="20"/>
        </w:rPr>
      </w:pPr>
    </w:p>
    <w:p w14:paraId="13F7E052" w14:textId="77777777" w:rsidR="00576C59" w:rsidRPr="0058500A" w:rsidRDefault="00576C59" w:rsidP="00576C59">
      <w:pPr>
        <w:jc w:val="both"/>
        <w:rPr>
          <w:rFonts w:asciiTheme="majorBidi" w:hAnsiTheme="majorBidi" w:cstheme="majorBidi"/>
          <w:sz w:val="20"/>
          <w:szCs w:val="20"/>
        </w:rPr>
      </w:pPr>
    </w:p>
    <w:p w14:paraId="4BAC3B4C" w14:textId="77777777" w:rsidR="00721C95" w:rsidRDefault="00721C95" w:rsidP="00576C59">
      <w:pPr>
        <w:pStyle w:val="Heading3"/>
        <w:numPr>
          <w:ilvl w:val="0"/>
          <w:numId w:val="0"/>
        </w:numPr>
        <w:sectPr w:rsidR="00721C95" w:rsidSect="00721C95">
          <w:type w:val="continuous"/>
          <w:pgSz w:w="11900" w:h="16840"/>
          <w:pgMar w:top="1440" w:right="1440" w:bottom="1440" w:left="1440" w:header="708" w:footer="708" w:gutter="0"/>
          <w:cols w:space="708"/>
          <w:docGrid w:linePitch="360"/>
        </w:sectPr>
      </w:pPr>
    </w:p>
    <w:p w14:paraId="459FE020" w14:textId="77777777" w:rsidR="00576C59" w:rsidRPr="0058500A" w:rsidRDefault="00576C59" w:rsidP="00576C59">
      <w:pPr>
        <w:pStyle w:val="Heading3"/>
        <w:numPr>
          <w:ilvl w:val="0"/>
          <w:numId w:val="0"/>
        </w:numPr>
      </w:pPr>
      <w:r w:rsidRPr="0058500A">
        <w:t>4.2.2 HDT in Production</w:t>
      </w:r>
    </w:p>
    <w:p w14:paraId="21660444" w14:textId="733A7596" w:rsidR="00576C59" w:rsidRPr="0058500A" w:rsidRDefault="00576C59" w:rsidP="00576C59">
      <w:pPr>
        <w:jc w:val="both"/>
        <w:rPr>
          <w:rFonts w:ascii="Times New Roman" w:hAnsi="Times New Roman" w:cs="Times New Roman"/>
          <w:i/>
          <w:sz w:val="20"/>
          <w:szCs w:val="20"/>
        </w:rPr>
      </w:pPr>
      <w:r w:rsidRPr="0058500A">
        <w:rPr>
          <w:rFonts w:ascii="Times New Roman" w:hAnsi="Times New Roman" w:cs="Times New Roman"/>
          <w:i/>
          <w:sz w:val="20"/>
          <w:szCs w:val="20"/>
        </w:rPr>
        <w:t>Application # 2: Dynamic Collaboration Between Humans and Robots</w:t>
      </w:r>
    </w:p>
    <w:p w14:paraId="1522CDB6" w14:textId="77777777" w:rsidR="00576C59" w:rsidRPr="0058500A" w:rsidRDefault="00576C59" w:rsidP="00576C59">
      <w:pPr>
        <w:jc w:val="both"/>
        <w:rPr>
          <w:rFonts w:ascii="Times New Roman" w:hAnsi="Times New Roman" w:cs="Times New Roman"/>
          <w:sz w:val="20"/>
          <w:szCs w:val="20"/>
        </w:rPr>
      </w:pPr>
    </w:p>
    <w:p w14:paraId="61BE79F8" w14:textId="76DBC93D" w:rsidR="00576C59" w:rsidRPr="0058500A" w:rsidRDefault="00576C59" w:rsidP="00576C59">
      <w:pPr>
        <w:ind w:firstLine="288"/>
        <w:jc w:val="both"/>
        <w:rPr>
          <w:rFonts w:ascii="Times New Roman" w:hAnsi="Times New Roman" w:cs="Times New Roman"/>
          <w:sz w:val="20"/>
          <w:szCs w:val="20"/>
        </w:rPr>
      </w:pPr>
      <w:r w:rsidRPr="0058500A">
        <w:rPr>
          <w:rFonts w:ascii="Times New Roman" w:hAnsi="Times New Roman" w:cs="Times New Roman"/>
          <w:sz w:val="20"/>
          <w:szCs w:val="20"/>
        </w:rPr>
        <w:t xml:space="preserve">In the contemporary world of mass-customized production, collaborative robotics with humans engaged in complex manufacturing tasks must be capable of adapting to their surroundings and rendering prompt decisions. A novel approach for forecasting instances in which humans and machines desire collaboration is the fusion-based spiking neural network (FSNN), a multi-channel information processing method </w:t>
      </w:r>
      <w:r w:rsidRPr="0058500A">
        <w:rPr>
          <w:rFonts w:ascii="Times New Roman" w:hAnsi="Times New Roman" w:cs="Times New Roman"/>
          <w:sz w:val="20"/>
          <w:szCs w:val="20"/>
        </w:rPr>
        <w:fldChar w:fldCharType="begin" w:fldLock="1"/>
      </w:r>
      <w:r w:rsidRPr="0058500A">
        <w:rPr>
          <w:rFonts w:ascii="Times New Roman" w:hAnsi="Times New Roman" w:cs="Times New Roman"/>
          <w:sz w:val="20"/>
          <w:szCs w:val="20"/>
        </w:rPr>
        <w:instrText>ADDIN CSL_CITATION {"citationItems":[{"id":"ITEM-1","itemData":{"DOI":"10.1016/j.rcim.2022.102383","ISSN":"07365845","abstract":"In human-robot collaborative (HRC) manufacturing systems, how the collaborative robots engage in the collaborative tasks and complete the corresponding work in a timely manner according to the actual state has been a critical factor that hinders the efficiency of HRC. Inappropriate collaborative behaviors will result in a poor perceptual experience for human operators (e.g., robots starting action too early or too late). To address this issue, a fusion-based spiking neural networks (FSNNs) approach for collaboration request prediction is proposed, aiming to find the right collaboration timing for robots in HRC assembly system and to minimize human aversion without affecting human operation behaviors. By encoding human behavior, product state and robot pose into spiking signals that can be processed by FSNNs, the spatio-temporal coupling relationship between those three aspects can be comprehensively analyzed, and to solve the appropriate timing of robot participation in collaboration. Finally, demonstrative experiments are carried out on the HRC assembly of generator end caps in the lab environment. Compared with the baseline methods, the decision accuracy of the proposed one is improved by nearly 30%, which further proves its effectiveness.","author":[{"dropping-particle":"","family":"Zhang","given":"Rong","non-dropping-particle":"","parse-names":false,"suffix":""},{"dropping-particle":"","family":"Li","given":"Jie","non-dropping-particle":"","parse-names":false,"suffix":""},{"dropping-particle":"","family":"Zheng","given":"Pai","non-dropping-particle":"","parse-names":false,"suffix":""},{"dropping-particle":"","family":"Lu","given":"Yuqian","non-dropping-particle":"","parse-names":false,"suffix":""},{"dropping-particle":"","family":"Bao","given":"Jinsong","non-dropping-particle":"","parse-names":false,"suffix":""},{"dropping-particle":"","family":"Sun","given":"Xuemin","non-dropping-particle":"","parse-names":false,"suffix":""}],"container-title":"Robotics and Computer-Integrated Manufacturing","id":"ITEM-1","issued":{"date-parts":[["2022"]]},"title":"A fusion-based spiking neural network approach for predicting collaboration request in human-robot collaboration","type":"article-journal","volume":"78"},"uris":["http://www.mendeley.com/documents/?uuid=2b83e776-19ce-3bdb-96f7-6ebfdf55c745"]}],"mendeley":{"formattedCitation":"&lt;sup&gt;51&lt;/sup&gt;","plainTextFormattedCitation":"51","previouslyFormattedCitation":"(Zhang, Li, &lt;i&gt;et al.&lt;/i&gt;, 2022)"},"properties":{"noteIndex":0},"schema":"https://github.com/citation-style-language/schema/raw/master/csl-citation.json"}</w:instrText>
      </w:r>
      <w:r w:rsidRPr="0058500A">
        <w:rPr>
          <w:rFonts w:ascii="Times New Roman" w:hAnsi="Times New Roman" w:cs="Times New Roman"/>
          <w:sz w:val="20"/>
          <w:szCs w:val="20"/>
        </w:rPr>
        <w:fldChar w:fldCharType="separate"/>
      </w:r>
      <w:r w:rsidRPr="0058500A">
        <w:rPr>
          <w:rFonts w:ascii="Times New Roman" w:hAnsi="Times New Roman" w:cs="Times New Roman"/>
          <w:noProof/>
          <w:sz w:val="20"/>
          <w:szCs w:val="20"/>
          <w:vertAlign w:val="superscript"/>
        </w:rPr>
        <w:t>51</w:t>
      </w:r>
      <w:r w:rsidRPr="0058500A">
        <w:rPr>
          <w:rFonts w:ascii="Times New Roman" w:hAnsi="Times New Roman" w:cs="Times New Roman"/>
          <w:sz w:val="20"/>
          <w:szCs w:val="20"/>
        </w:rPr>
        <w:fldChar w:fldCharType="end"/>
      </w:r>
      <w:r w:rsidRPr="0058500A">
        <w:rPr>
          <w:rFonts w:ascii="Times New Roman" w:hAnsi="Times New Roman" w:cs="Times New Roman"/>
          <w:sz w:val="20"/>
          <w:szCs w:val="20"/>
        </w:rPr>
        <w:t xml:space="preserve">. As an instance of real-time monitoring and decision-making, this FSNN-based module initiates robotic responses in response to alterations in the surrounding environment. The inference layer of the system integrates and analyses HDT data acquired via video capturing, fusion, and processing, including information on assembly part status, robot posture sequence, and human </w:t>
      </w:r>
      <w:r w:rsidR="0061390D" w:rsidRPr="0058500A">
        <w:rPr>
          <w:rFonts w:ascii="Times New Roman" w:hAnsi="Times New Roman" w:cs="Times New Roman"/>
          <w:sz w:val="20"/>
          <w:szCs w:val="20"/>
        </w:rPr>
        <w:t>behavior</w:t>
      </w:r>
      <w:r w:rsidRPr="0058500A">
        <w:rPr>
          <w:rFonts w:ascii="Times New Roman" w:hAnsi="Times New Roman" w:cs="Times New Roman"/>
          <w:sz w:val="20"/>
          <w:szCs w:val="20"/>
        </w:rPr>
        <w:t xml:space="preserve">. Decoded output spiking signals pass as instructions to the automaton. In contrast to alternative prediction techniques like LSTM and HMM, the proposed method has achieved an almost 30% improvement in decision accuracy. Robotic systems enhance productivity and operational efficiency by reducing human intervention and facilitating real-time adaptive robot assistance.  </w:t>
      </w:r>
    </w:p>
    <w:p w14:paraId="25A199D4" w14:textId="77777777" w:rsidR="00721C95" w:rsidRDefault="00721C95" w:rsidP="00576C59">
      <w:pPr>
        <w:jc w:val="both"/>
        <w:rPr>
          <w:rFonts w:ascii="Times New Roman" w:hAnsi="Times New Roman" w:cs="Times New Roman"/>
          <w:sz w:val="20"/>
          <w:szCs w:val="20"/>
        </w:rPr>
      </w:pPr>
    </w:p>
    <w:p w14:paraId="7821FB14" w14:textId="21DB6A9D" w:rsidR="00576C59" w:rsidRPr="0058500A" w:rsidRDefault="00576C59" w:rsidP="00721C95">
      <w:pPr>
        <w:ind w:firstLine="288"/>
        <w:jc w:val="both"/>
        <w:rPr>
          <w:rFonts w:ascii="Times New Roman" w:hAnsi="Times New Roman" w:cs="Times New Roman"/>
          <w:sz w:val="20"/>
          <w:szCs w:val="20"/>
        </w:rPr>
      </w:pPr>
      <w:r w:rsidRPr="0058500A">
        <w:rPr>
          <w:rFonts w:ascii="Times New Roman" w:hAnsi="Times New Roman" w:cs="Times New Roman"/>
          <w:sz w:val="20"/>
          <w:szCs w:val="20"/>
        </w:rPr>
        <w:t xml:space="preserve">In conclusion, the proposed multi-channel information processing method using a fusion- based spiking neural network has the potential to </w:t>
      </w:r>
      <w:r w:rsidR="005D130A" w:rsidRPr="0058500A">
        <w:rPr>
          <w:rFonts w:ascii="Times New Roman" w:hAnsi="Times New Roman" w:cs="Times New Roman"/>
          <w:sz w:val="20"/>
          <w:szCs w:val="20"/>
        </w:rPr>
        <w:t>revolutionize</w:t>
      </w:r>
      <w:r w:rsidRPr="0058500A">
        <w:rPr>
          <w:rFonts w:ascii="Times New Roman" w:hAnsi="Times New Roman" w:cs="Times New Roman"/>
          <w:sz w:val="20"/>
          <w:szCs w:val="20"/>
        </w:rPr>
        <w:t xml:space="preserve"> the collaborative task completion process for complex manufacturing tasks. It allows </w:t>
      </w:r>
      <w:r w:rsidRPr="0058500A">
        <w:rPr>
          <w:rFonts w:ascii="Times New Roman" w:hAnsi="Times New Roman" w:cs="Times New Roman"/>
          <w:sz w:val="20"/>
          <w:szCs w:val="20"/>
        </w:rPr>
        <w:t xml:space="preserve">for real-time monitoring and decision-making, increasing accuracy and efficiency. The advent of Industry 5.0 has precipitated a substantial paradigm shift that </w:t>
      </w:r>
      <w:r w:rsidR="005D130A" w:rsidRPr="0058500A">
        <w:rPr>
          <w:rFonts w:ascii="Times New Roman" w:hAnsi="Times New Roman" w:cs="Times New Roman"/>
          <w:sz w:val="20"/>
          <w:szCs w:val="20"/>
        </w:rPr>
        <w:t>prioritizes</w:t>
      </w:r>
      <w:r w:rsidRPr="0058500A">
        <w:rPr>
          <w:rFonts w:ascii="Times New Roman" w:hAnsi="Times New Roman" w:cs="Times New Roman"/>
          <w:sz w:val="20"/>
          <w:szCs w:val="20"/>
        </w:rPr>
        <w:t xml:space="preserve"> the welfare of personnel. Nevertheless, instruments capable of quantitatively assessing and </w:t>
      </w:r>
      <w:r w:rsidR="005D130A" w:rsidRPr="0058500A">
        <w:rPr>
          <w:rFonts w:ascii="Times New Roman" w:hAnsi="Times New Roman" w:cs="Times New Roman"/>
          <w:sz w:val="20"/>
          <w:szCs w:val="20"/>
        </w:rPr>
        <w:t>analyzing</w:t>
      </w:r>
      <w:r w:rsidRPr="0058500A">
        <w:rPr>
          <w:rFonts w:ascii="Times New Roman" w:hAnsi="Times New Roman" w:cs="Times New Roman"/>
          <w:sz w:val="20"/>
          <w:szCs w:val="20"/>
        </w:rPr>
        <w:t xml:space="preserve"> a multitude of factors within the workplace continue to be necessary. As illustrated in Figure 7 </w:t>
      </w:r>
      <w:r w:rsidRPr="0058500A">
        <w:rPr>
          <w:rFonts w:ascii="Times New Roman" w:hAnsi="Times New Roman" w:cs="Times New Roman"/>
          <w:sz w:val="20"/>
          <w:szCs w:val="20"/>
        </w:rPr>
        <w:fldChar w:fldCharType="begin" w:fldLock="1"/>
      </w:r>
      <w:r w:rsidRPr="0058500A">
        <w:rPr>
          <w:rFonts w:ascii="Times New Roman" w:hAnsi="Times New Roman" w:cs="Times New Roman"/>
          <w:sz w:val="20"/>
          <w:szCs w:val="20"/>
        </w:rPr>
        <w:instrText>ADDIN CSL_CITATION {"citationItems":[{"id":"ITEM-1","itemData":{"DOI":"10.1007/978-3-031-16411-8_61","ISSN":"1868422X","abstract":"The value-driven Industry 5.0 has brought a shift in the approach towards worker well-being. However, the understanding of the effects on workers due to technological advancements of Industry 4.0, based on a human-centric approach, is limited. The reason for this limitation is that the tools are scarce, which is quantitatively evaluating and analyzing various factors in the workplace. To solve this problem, we propose a human digital twin system supporting decision-making regarding safety management and work management of workers. The human digital twin system consists of a digital twin module, an analysis module, and a visualization module. The proposed system connects a physical human and a virtual digital human model; analyzes the location, posture, and motion-time of workers; and delivers information about safety and work management. This information enables workers and managers to improve the work environment by making them resilient to workplace factors.","author":[{"dropping-particle":"","family":"Kim","given":"Goo Young","non-dropping-particle":"","parse-names":false,"suffix":""},{"dropping-particle":"","family":"Kim","given":"Donghun","non-dropping-particle":"","parse-names":false,"suffix":""},{"dropping-particle":"","family":"Noh","given":"Sang","non-dropping-particle":"Do","parse-names":false,"suffix":""},{"dropping-particle":"","family":"Han","given":"Hong Ku","non-dropping-particle":"","parse-names":false,"suffix":""},{"dropping-particle":"","family":"Kim","given":"Nam Geun","non-dropping-particle":"","parse-names":false,"suffix":""},{"dropping-particle":"","family":"Kang","given":"Yong Shin","non-dropping-particle":"","parse-names":false,"suffix":""},{"dropping-particle":"","family":"Choi","given":"Seung Hyun","non-dropping-particle":"","parse-names":false,"suffix":""},{"dropping-particle":"","family":"Go","given":"Dong Hyun","non-dropping-particle":"","parse-names":false,"suffix":""},{"dropping-particle":"","family":"Song","given":"Jungmin","non-dropping-particle":"","parse-names":false,"suffix":""},{"dropping-particle":"","family":"Lee","given":"Dae Yub","non-dropping-particle":"","parse-names":false,"suffix":""},{"dropping-particle":"","family":"Kim","given":"Hyung Sun","non-dropping-particle":"","parse-names":false,"suffix":""}],"container-title":"IFIP Advances in Information and Communication Technology","id":"ITEM-1","issued":{"date-parts":[["2022"]]},"title":"Human Digital Twin System for Operator Safety and Work Management","type":"paper-conference","volume":"664 IFIP"},"uris":["http://www.mendeley.com/documents/?uuid=bd5d3ad8-9443-3848-95a1-38790b1da183"]}],"mendeley":{"formattedCitation":"&lt;sup&gt;52&lt;/sup&gt;","plainTextFormattedCitation":"52","previouslyFormattedCitation":"(Kim &lt;i&gt;et al.&lt;/i&gt;, 2022)"},"properties":{"noteIndex":0},"schema":"https://github.com/citation-style-language/schema/raw/master/csl-citation.json"}</w:instrText>
      </w:r>
      <w:r w:rsidRPr="0058500A">
        <w:rPr>
          <w:rFonts w:ascii="Times New Roman" w:hAnsi="Times New Roman" w:cs="Times New Roman"/>
          <w:sz w:val="20"/>
          <w:szCs w:val="20"/>
        </w:rPr>
        <w:fldChar w:fldCharType="separate"/>
      </w:r>
      <w:r w:rsidRPr="0058500A">
        <w:rPr>
          <w:rFonts w:ascii="Times New Roman" w:hAnsi="Times New Roman" w:cs="Times New Roman"/>
          <w:noProof/>
          <w:sz w:val="20"/>
          <w:szCs w:val="20"/>
          <w:vertAlign w:val="superscript"/>
        </w:rPr>
        <w:t>52</w:t>
      </w:r>
      <w:r w:rsidRPr="0058500A">
        <w:rPr>
          <w:rFonts w:ascii="Times New Roman" w:hAnsi="Times New Roman" w:cs="Times New Roman"/>
          <w:sz w:val="20"/>
          <w:szCs w:val="20"/>
        </w:rPr>
        <w:fldChar w:fldCharType="end"/>
      </w:r>
      <w:r w:rsidRPr="0058500A">
        <w:rPr>
          <w:rFonts w:ascii="Times New Roman" w:hAnsi="Times New Roman" w:cs="Times New Roman"/>
          <w:sz w:val="20"/>
          <w:szCs w:val="20"/>
        </w:rPr>
        <w:t xml:space="preserve">, an HDT system for operator safety and </w:t>
      </w:r>
      <w:r w:rsidR="005D130A" w:rsidRPr="0058500A">
        <w:rPr>
          <w:rFonts w:ascii="Times New Roman" w:hAnsi="Times New Roman" w:cs="Times New Roman"/>
          <w:sz w:val="20"/>
          <w:szCs w:val="20"/>
        </w:rPr>
        <w:t>labor</w:t>
      </w:r>
      <w:r w:rsidRPr="0058500A">
        <w:rPr>
          <w:rFonts w:ascii="Times New Roman" w:hAnsi="Times New Roman" w:cs="Times New Roman"/>
          <w:sz w:val="20"/>
          <w:szCs w:val="20"/>
        </w:rPr>
        <w:t xml:space="preserve"> management has been suggested as a solution to this problem. By </w:t>
      </w:r>
      <w:r w:rsidR="005D130A" w:rsidRPr="0058500A">
        <w:rPr>
          <w:rFonts w:ascii="Times New Roman" w:hAnsi="Times New Roman" w:cs="Times New Roman"/>
          <w:sz w:val="20"/>
          <w:szCs w:val="20"/>
        </w:rPr>
        <w:t>utilizing</w:t>
      </w:r>
      <w:r w:rsidRPr="0058500A">
        <w:rPr>
          <w:rFonts w:ascii="Times New Roman" w:hAnsi="Times New Roman" w:cs="Times New Roman"/>
          <w:sz w:val="20"/>
          <w:szCs w:val="20"/>
        </w:rPr>
        <w:t xml:space="preserve"> motion capture apparatus and mobile devices, this system collects musculoskeletal data and real-time location coordinates. Following the collection of data, DHM is implemented within the virtual environment.</w:t>
      </w:r>
    </w:p>
    <w:p w14:paraId="158E6535" w14:textId="77777777" w:rsidR="00721C95" w:rsidRDefault="00721C95" w:rsidP="00576C59">
      <w:pPr>
        <w:jc w:val="both"/>
        <w:rPr>
          <w:rFonts w:ascii="Times New Roman" w:hAnsi="Times New Roman" w:cs="Times New Roman"/>
          <w:sz w:val="20"/>
          <w:szCs w:val="20"/>
        </w:rPr>
      </w:pPr>
    </w:p>
    <w:p w14:paraId="296BB178" w14:textId="44C7B0BF" w:rsidR="00721C95" w:rsidRDefault="00576C59" w:rsidP="00721C95">
      <w:pPr>
        <w:ind w:firstLine="288"/>
        <w:jc w:val="both"/>
        <w:rPr>
          <w:rFonts w:ascii="Times New Roman" w:hAnsi="Times New Roman" w:cs="Times New Roman"/>
          <w:sz w:val="20"/>
          <w:szCs w:val="20"/>
        </w:rPr>
        <w:sectPr w:rsidR="00721C95" w:rsidSect="00721C95">
          <w:type w:val="continuous"/>
          <w:pgSz w:w="11900" w:h="16840"/>
          <w:pgMar w:top="1440" w:right="1440" w:bottom="1440" w:left="1440" w:header="708" w:footer="708" w:gutter="0"/>
          <w:cols w:num="2" w:space="708"/>
          <w:docGrid w:linePitch="360"/>
        </w:sectPr>
      </w:pPr>
      <w:r w:rsidRPr="0058500A">
        <w:rPr>
          <w:rFonts w:ascii="Times New Roman" w:hAnsi="Times New Roman" w:cs="Times New Roman"/>
          <w:sz w:val="20"/>
          <w:szCs w:val="20"/>
        </w:rPr>
        <w:t xml:space="preserve">Additionally, the obtained data is subjected to analysis </w:t>
      </w:r>
      <w:proofErr w:type="gramStart"/>
      <w:r w:rsidRPr="0058500A">
        <w:rPr>
          <w:rFonts w:ascii="Times New Roman" w:hAnsi="Times New Roman" w:cs="Times New Roman"/>
          <w:sz w:val="20"/>
          <w:szCs w:val="20"/>
        </w:rPr>
        <w:t>in order to</w:t>
      </w:r>
      <w:proofErr w:type="gramEnd"/>
      <w:r w:rsidRPr="0058500A">
        <w:rPr>
          <w:rFonts w:ascii="Times New Roman" w:hAnsi="Times New Roman" w:cs="Times New Roman"/>
          <w:sz w:val="20"/>
          <w:szCs w:val="20"/>
        </w:rPr>
        <w:t xml:space="preserve"> assess the safety of the workers, employing rule-based reasoning to ascertain their position and location. An additional function of the skeleton data analysis is the </w:t>
      </w:r>
      <w:r w:rsidR="005D130A" w:rsidRPr="0058500A">
        <w:rPr>
          <w:rFonts w:ascii="Times New Roman" w:hAnsi="Times New Roman" w:cs="Times New Roman"/>
          <w:sz w:val="20"/>
          <w:szCs w:val="20"/>
        </w:rPr>
        <w:t>standardization</w:t>
      </w:r>
      <w:r w:rsidRPr="0058500A">
        <w:rPr>
          <w:rFonts w:ascii="Times New Roman" w:hAnsi="Times New Roman" w:cs="Times New Roman"/>
          <w:sz w:val="20"/>
          <w:szCs w:val="20"/>
        </w:rPr>
        <w:t xml:space="preserve"> of working time and fatigue. Work performance fatigue and accident safety level are the results of this analysis, which empowers employees on the shop floor to promptly alter their posture </w:t>
      </w:r>
      <w:proofErr w:type="gramStart"/>
      <w:r w:rsidRPr="0058500A">
        <w:rPr>
          <w:rFonts w:ascii="Times New Roman" w:hAnsi="Times New Roman" w:cs="Times New Roman"/>
          <w:sz w:val="20"/>
          <w:szCs w:val="20"/>
        </w:rPr>
        <w:t>in order to</w:t>
      </w:r>
      <w:proofErr w:type="gramEnd"/>
      <w:r w:rsidRPr="0058500A">
        <w:rPr>
          <w:rFonts w:ascii="Times New Roman" w:hAnsi="Times New Roman" w:cs="Times New Roman"/>
          <w:sz w:val="20"/>
          <w:szCs w:val="20"/>
        </w:rPr>
        <w:t xml:space="preserve"> maintain a more secure working environment. Additionally, the system empowers safety administrators to oversee employees and implement preventative actions </w:t>
      </w:r>
      <w:proofErr w:type="gramStart"/>
      <w:r w:rsidRPr="0058500A">
        <w:rPr>
          <w:rFonts w:ascii="Times New Roman" w:hAnsi="Times New Roman" w:cs="Times New Roman"/>
          <w:sz w:val="20"/>
          <w:szCs w:val="20"/>
        </w:rPr>
        <w:t>in order to</w:t>
      </w:r>
      <w:proofErr w:type="gramEnd"/>
      <w:r w:rsidRPr="0058500A">
        <w:rPr>
          <w:rFonts w:ascii="Times New Roman" w:hAnsi="Times New Roman" w:cs="Times New Roman"/>
          <w:sz w:val="20"/>
          <w:szCs w:val="20"/>
        </w:rPr>
        <w:t xml:space="preserve"> avert potential incidents. In addition, process administrators </w:t>
      </w:r>
      <w:proofErr w:type="gramStart"/>
      <w:r w:rsidRPr="0058500A">
        <w:rPr>
          <w:rFonts w:ascii="Times New Roman" w:hAnsi="Times New Roman" w:cs="Times New Roman"/>
          <w:sz w:val="20"/>
          <w:szCs w:val="20"/>
        </w:rPr>
        <w:t>have the ability to</w:t>
      </w:r>
      <w:proofErr w:type="gramEnd"/>
      <w:r w:rsidRPr="0058500A">
        <w:rPr>
          <w:rFonts w:ascii="Times New Roman" w:hAnsi="Times New Roman" w:cs="Times New Roman"/>
          <w:sz w:val="20"/>
          <w:szCs w:val="20"/>
        </w:rPr>
        <w:t xml:space="preserve"> safeguard against musculoskeletal injuries and maintain productivity. In general, the suggested HDT</w:t>
      </w:r>
      <w:r w:rsidR="0058500A" w:rsidRPr="0058500A">
        <w:rPr>
          <w:rFonts w:ascii="Times New Roman" w:hAnsi="Times New Roman" w:cs="Times New Roman"/>
          <w:sz w:val="20"/>
          <w:szCs w:val="20"/>
        </w:rPr>
        <w:t xml:space="preserve"> system presents a viable resolution to the obstacles intrinsic in the </w:t>
      </w:r>
      <w:r w:rsidR="0061390D" w:rsidRPr="0058500A">
        <w:rPr>
          <w:rFonts w:ascii="Times New Roman" w:hAnsi="Times New Roman" w:cs="Times New Roman"/>
          <w:sz w:val="20"/>
          <w:szCs w:val="20"/>
        </w:rPr>
        <w:t>industry</w:t>
      </w:r>
      <w:r w:rsidR="0058500A" w:rsidRPr="0058500A">
        <w:rPr>
          <w:rFonts w:ascii="Times New Roman" w:hAnsi="Times New Roman" w:cs="Times New Roman"/>
          <w:sz w:val="20"/>
          <w:szCs w:val="20"/>
        </w:rPr>
        <w:t xml:space="preserve"> 5.0 framework, delivering substantial enhancements in both </w:t>
      </w:r>
      <w:r w:rsidR="005D130A" w:rsidRPr="0058500A">
        <w:rPr>
          <w:rFonts w:ascii="Times New Roman" w:hAnsi="Times New Roman" w:cs="Times New Roman"/>
          <w:sz w:val="20"/>
          <w:szCs w:val="20"/>
        </w:rPr>
        <w:t>labor</w:t>
      </w:r>
      <w:r w:rsidR="0058500A" w:rsidRPr="0058500A">
        <w:rPr>
          <w:rFonts w:ascii="Times New Roman" w:hAnsi="Times New Roman" w:cs="Times New Roman"/>
          <w:sz w:val="20"/>
          <w:szCs w:val="20"/>
        </w:rPr>
        <w:t xml:space="preserve"> force security and efficiency.</w:t>
      </w:r>
    </w:p>
    <w:p w14:paraId="17C4CA4B" w14:textId="19EA74ED" w:rsidR="00576C59" w:rsidRPr="0058500A" w:rsidRDefault="00576C59" w:rsidP="00576C59">
      <w:pPr>
        <w:jc w:val="both"/>
        <w:rPr>
          <w:rFonts w:ascii="Times New Roman" w:hAnsi="Times New Roman" w:cs="Times New Roman"/>
          <w:sz w:val="20"/>
          <w:szCs w:val="20"/>
        </w:rPr>
      </w:pPr>
    </w:p>
    <w:p w14:paraId="228DB26B" w14:textId="77777777" w:rsidR="0058500A" w:rsidRDefault="0058500A" w:rsidP="00576C59">
      <w:pPr>
        <w:jc w:val="both"/>
        <w:rPr>
          <w:rFonts w:ascii="Times New Roman" w:hAnsi="Times New Roman" w:cs="Times New Roman"/>
        </w:rPr>
      </w:pPr>
    </w:p>
    <w:p w14:paraId="480E289C" w14:textId="77777777" w:rsidR="0058500A" w:rsidRDefault="0058500A" w:rsidP="00576C59">
      <w:pPr>
        <w:jc w:val="both"/>
        <w:rPr>
          <w:rFonts w:ascii="Times New Roman" w:hAnsi="Times New Roman" w:cs="Times New Roman"/>
        </w:rPr>
      </w:pPr>
    </w:p>
    <w:p w14:paraId="382BBA83" w14:textId="77777777" w:rsidR="0058500A" w:rsidRDefault="0058500A" w:rsidP="00576C59">
      <w:pPr>
        <w:jc w:val="both"/>
        <w:rPr>
          <w:rFonts w:ascii="Times New Roman" w:hAnsi="Times New Roman" w:cs="Times New Roman"/>
        </w:rPr>
      </w:pPr>
    </w:p>
    <w:p w14:paraId="6D71CD8F" w14:textId="77777777" w:rsidR="0058500A" w:rsidRDefault="0058500A" w:rsidP="00576C59">
      <w:pPr>
        <w:jc w:val="both"/>
        <w:rPr>
          <w:rFonts w:ascii="Times New Roman" w:hAnsi="Times New Roman" w:cs="Times New Roman"/>
        </w:rPr>
      </w:pPr>
    </w:p>
    <w:p w14:paraId="74B62D40" w14:textId="77777777" w:rsidR="0058500A" w:rsidRDefault="0058500A" w:rsidP="00576C59">
      <w:pPr>
        <w:jc w:val="both"/>
        <w:rPr>
          <w:rFonts w:ascii="Times New Roman" w:hAnsi="Times New Roman" w:cs="Times New Roman"/>
        </w:rPr>
      </w:pPr>
    </w:p>
    <w:p w14:paraId="035B342B" w14:textId="5FF04520" w:rsidR="0058500A" w:rsidRDefault="0058500A" w:rsidP="0058500A">
      <w:pPr>
        <w:jc w:val="center"/>
        <w:rPr>
          <w:rFonts w:ascii="Times New Roman" w:hAnsi="Times New Roman" w:cs="Times New Roman"/>
        </w:rPr>
      </w:pPr>
      <w:r w:rsidRPr="00C36419">
        <w:rPr>
          <w:rFonts w:ascii="Times New Roman" w:hAnsi="Times New Roman" w:cs="Times New Roman"/>
          <w:noProof/>
        </w:rPr>
        <w:lastRenderedPageBreak/>
        <w:drawing>
          <wp:inline distT="0" distB="0" distL="0" distR="0" wp14:anchorId="1F98CA2C" wp14:editId="5A3D6D8B">
            <wp:extent cx="5727700" cy="2156460"/>
            <wp:effectExtent l="0" t="0" r="6350" b="0"/>
            <wp:docPr id="595876736" name="Picture 59587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9.jpg"/>
                    <pic:cNvPicPr/>
                  </pic:nvPicPr>
                  <pic:blipFill>
                    <a:blip r:embed="rId26">
                      <a:extLst>
                        <a:ext uri="{28A0092B-C50C-407E-A947-70E740481C1C}">
                          <a14:useLocalDpi xmlns:a14="http://schemas.microsoft.com/office/drawing/2010/main" val="0"/>
                        </a:ext>
                      </a:extLst>
                    </a:blip>
                    <a:stretch>
                      <a:fillRect/>
                    </a:stretch>
                  </pic:blipFill>
                  <pic:spPr>
                    <a:xfrm>
                      <a:off x="0" y="0"/>
                      <a:ext cx="5727700" cy="2156460"/>
                    </a:xfrm>
                    <a:prstGeom prst="rect">
                      <a:avLst/>
                    </a:prstGeom>
                  </pic:spPr>
                </pic:pic>
              </a:graphicData>
            </a:graphic>
          </wp:inline>
        </w:drawing>
      </w:r>
    </w:p>
    <w:p w14:paraId="293D3B99" w14:textId="77777777" w:rsidR="0058500A" w:rsidRPr="0058500A" w:rsidRDefault="0058500A" w:rsidP="0058500A">
      <w:pPr>
        <w:jc w:val="center"/>
        <w:rPr>
          <w:rFonts w:asciiTheme="majorBidi" w:hAnsiTheme="majorBidi" w:cstheme="majorBidi"/>
          <w:b/>
          <w:bCs/>
          <w:sz w:val="6"/>
          <w:szCs w:val="6"/>
        </w:rPr>
      </w:pPr>
    </w:p>
    <w:p w14:paraId="7F1F78CB" w14:textId="0EF64733" w:rsidR="00576C59" w:rsidRDefault="0058500A" w:rsidP="0058500A">
      <w:pPr>
        <w:jc w:val="center"/>
        <w:rPr>
          <w:rFonts w:asciiTheme="majorBidi" w:hAnsiTheme="majorBidi" w:cstheme="majorBidi"/>
          <w:sz w:val="20"/>
          <w:szCs w:val="20"/>
        </w:rPr>
      </w:pPr>
      <w:r w:rsidRPr="0058500A">
        <w:rPr>
          <w:rFonts w:asciiTheme="majorBidi" w:hAnsiTheme="majorBidi" w:cstheme="majorBidi"/>
          <w:b/>
          <w:bCs/>
          <w:sz w:val="20"/>
          <w:szCs w:val="20"/>
        </w:rPr>
        <w:t>Fig. 7.</w:t>
      </w:r>
      <w:r w:rsidRPr="0058500A">
        <w:rPr>
          <w:rFonts w:asciiTheme="majorBidi" w:hAnsiTheme="majorBidi" w:cstheme="majorBidi"/>
          <w:sz w:val="20"/>
          <w:szCs w:val="20"/>
        </w:rPr>
        <w:t xml:space="preserve"> An FSNN-based multichannel information processing method for forecasting collaboration requests.</w:t>
      </w:r>
    </w:p>
    <w:p w14:paraId="39BDA40A" w14:textId="77777777" w:rsidR="00721C95" w:rsidRDefault="00721C95" w:rsidP="0058500A">
      <w:pPr>
        <w:jc w:val="center"/>
        <w:rPr>
          <w:rFonts w:asciiTheme="majorBidi" w:hAnsiTheme="majorBidi" w:cstheme="majorBidi"/>
          <w:sz w:val="20"/>
          <w:szCs w:val="20"/>
        </w:rPr>
      </w:pPr>
    </w:p>
    <w:p w14:paraId="454E4393" w14:textId="77777777" w:rsidR="00721C95" w:rsidRPr="0058500A" w:rsidRDefault="00721C95" w:rsidP="0058500A">
      <w:pPr>
        <w:jc w:val="center"/>
        <w:rPr>
          <w:rFonts w:asciiTheme="majorBidi" w:hAnsiTheme="majorBidi" w:cstheme="majorBidi"/>
          <w:sz w:val="20"/>
          <w:szCs w:val="20"/>
        </w:rPr>
      </w:pPr>
    </w:p>
    <w:p w14:paraId="00C18CD8" w14:textId="77777777" w:rsidR="0058500A" w:rsidRPr="0058500A" w:rsidRDefault="0058500A" w:rsidP="0058500A">
      <w:pPr>
        <w:rPr>
          <w:rFonts w:asciiTheme="majorBidi" w:hAnsiTheme="majorBidi" w:cstheme="majorBidi"/>
          <w:sz w:val="20"/>
          <w:szCs w:val="20"/>
        </w:rPr>
      </w:pPr>
    </w:p>
    <w:p w14:paraId="790685DA" w14:textId="77777777" w:rsidR="00721C95" w:rsidRDefault="00721C95" w:rsidP="0058500A">
      <w:pPr>
        <w:pStyle w:val="Heading3"/>
        <w:numPr>
          <w:ilvl w:val="0"/>
          <w:numId w:val="0"/>
        </w:numPr>
        <w:jc w:val="both"/>
        <w:sectPr w:rsidR="00721C95" w:rsidSect="00721C95">
          <w:type w:val="continuous"/>
          <w:pgSz w:w="11900" w:h="16840"/>
          <w:pgMar w:top="1440" w:right="1440" w:bottom="1440" w:left="1440" w:header="708" w:footer="708" w:gutter="0"/>
          <w:cols w:space="708"/>
          <w:docGrid w:linePitch="360"/>
        </w:sectPr>
      </w:pPr>
    </w:p>
    <w:p w14:paraId="112D82DD" w14:textId="77777777" w:rsidR="0058500A" w:rsidRPr="0058500A" w:rsidRDefault="0058500A" w:rsidP="0058500A">
      <w:pPr>
        <w:pStyle w:val="Heading3"/>
        <w:numPr>
          <w:ilvl w:val="0"/>
          <w:numId w:val="0"/>
        </w:numPr>
        <w:jc w:val="both"/>
      </w:pPr>
      <w:r w:rsidRPr="0058500A">
        <w:t>4.2.3 HDT in Other Lifecycle Stages</w:t>
      </w:r>
    </w:p>
    <w:p w14:paraId="21D299D4" w14:textId="77777777" w:rsidR="0058500A" w:rsidRPr="0058500A" w:rsidRDefault="0058500A" w:rsidP="0058500A">
      <w:pPr>
        <w:jc w:val="both"/>
        <w:rPr>
          <w:rFonts w:ascii="Times New Roman" w:hAnsi="Times New Roman" w:cs="Times New Roman"/>
          <w:sz w:val="20"/>
          <w:szCs w:val="20"/>
        </w:rPr>
      </w:pPr>
    </w:p>
    <w:p w14:paraId="1B802D8E" w14:textId="770F905E" w:rsidR="0058500A" w:rsidRPr="0058500A" w:rsidRDefault="0058500A" w:rsidP="0058500A">
      <w:pPr>
        <w:ind w:firstLine="288"/>
        <w:jc w:val="both"/>
        <w:rPr>
          <w:rFonts w:ascii="Times New Roman" w:hAnsi="Times New Roman" w:cs="Times New Roman"/>
          <w:sz w:val="20"/>
          <w:szCs w:val="20"/>
        </w:rPr>
      </w:pPr>
      <w:proofErr w:type="gramStart"/>
      <w:r w:rsidRPr="0058500A">
        <w:rPr>
          <w:rFonts w:ascii="Times New Roman" w:hAnsi="Times New Roman" w:cs="Times New Roman"/>
          <w:sz w:val="20"/>
          <w:szCs w:val="20"/>
        </w:rPr>
        <w:t>At the present moment</w:t>
      </w:r>
      <w:proofErr w:type="gramEnd"/>
      <w:r w:rsidRPr="0058500A">
        <w:rPr>
          <w:rFonts w:ascii="Times New Roman" w:hAnsi="Times New Roman" w:cs="Times New Roman"/>
          <w:sz w:val="20"/>
          <w:szCs w:val="20"/>
        </w:rPr>
        <w:t xml:space="preserve">, there are a multitude of approaches available to evaluate the potential for biomechanical overload; however, these methods are predominantly methodical, time-intensive, and objective in nature. To improve the precision and consistency of measurements and overcome the shortcomings of these approaches, a methodological framework has been suggested and verified in an assembly scenario. As depicted in figure 8 </w:t>
      </w:r>
      <w:r w:rsidRPr="0058500A">
        <w:rPr>
          <w:rFonts w:ascii="Times New Roman" w:hAnsi="Times New Roman" w:cs="Times New Roman"/>
          <w:sz w:val="20"/>
          <w:szCs w:val="20"/>
        </w:rPr>
        <w:fldChar w:fldCharType="begin" w:fldLock="1"/>
      </w:r>
      <w:r w:rsidRPr="0058500A">
        <w:rPr>
          <w:rFonts w:ascii="Times New Roman" w:hAnsi="Times New Roman" w:cs="Times New Roman"/>
          <w:sz w:val="20"/>
          <w:szCs w:val="20"/>
        </w:rPr>
        <w:instrText>ADDIN CSL_CITATION {"citationItems":[{"id":"ITEM-1","itemData":{"DOI":"10.3390/app10217758","ISSN":"20763417","abstract":"Within the era of smart factories, concerning the ergonomics related to production processes, the Digital Twin (DT) is the key to set up novel models for monitoring the performance of manual work activities, which are able to provide results in near real time and to support the decision-making process for improving the working conditions. This paper aims to propose a methodological framework that, by implementing a human DT, and supports the monitoring and the decision making regarding the ergonomics performances of manual production lines. A case study, carried out in a laboratory, is presented for demonstrating the applicability and the effectiveness of the proposed framework. The results show how it is possible to identify the operational issues of a manual workstation and how it is possible to propose and test improving solutions.","author":[{"dropping-particle":"","family":"Greco","given":"Alessandro","non-dropping-particle":"","parse-names":false,"suffix":""},{"dropping-particle":"","family":"Caterino","given":"Mario","non-dropping-particle":"","parse-names":false,"suffix":""},{"dropping-particle":"","family":"Fera","given":"Marcello","non-dropping-particle":"","parse-names":false,"suffix":""},{"dropping-particle":"","family":"Gerbino","given":"Salvatore","non-dropping-particle":"","parse-names":false,"suffix":""}],"container-title":"Applied Sciences (Switzerland)","id":"ITEM-1","issue":"21","issued":{"date-parts":[["2020"]]},"title":"Digital twin for monitoring ergonomics during manufacturing production","type":"article-journal","volume":"10"},"uris":["http://www.mendeley.com/documents/?uuid=500c1dd0-7a77-381d-855f-455045cc1388"]}],"mendeley":{"formattedCitation":"&lt;sup&gt;53&lt;/sup&gt;","plainTextFormattedCitation":"53","previouslyFormattedCitation":"(Greco &lt;i&gt;et al.&lt;/i&gt;, 2020)"},"properties":{"noteIndex":0},"schema":"https://github.com/citation-style-language/schema/raw/master/csl-citation.json"}</w:instrText>
      </w:r>
      <w:r w:rsidRPr="0058500A">
        <w:rPr>
          <w:rFonts w:ascii="Times New Roman" w:hAnsi="Times New Roman" w:cs="Times New Roman"/>
          <w:sz w:val="20"/>
          <w:szCs w:val="20"/>
        </w:rPr>
        <w:fldChar w:fldCharType="separate"/>
      </w:r>
      <w:r w:rsidRPr="0058500A">
        <w:rPr>
          <w:rFonts w:ascii="Times New Roman" w:hAnsi="Times New Roman" w:cs="Times New Roman"/>
          <w:noProof/>
          <w:sz w:val="20"/>
          <w:szCs w:val="20"/>
          <w:vertAlign w:val="superscript"/>
        </w:rPr>
        <w:t>53</w:t>
      </w:r>
      <w:r w:rsidRPr="0058500A">
        <w:rPr>
          <w:rFonts w:ascii="Times New Roman" w:hAnsi="Times New Roman" w:cs="Times New Roman"/>
          <w:sz w:val="20"/>
          <w:szCs w:val="20"/>
        </w:rPr>
        <w:fldChar w:fldCharType="end"/>
      </w:r>
      <w:r w:rsidRPr="0058500A">
        <w:rPr>
          <w:rFonts w:ascii="Times New Roman" w:hAnsi="Times New Roman" w:cs="Times New Roman"/>
          <w:sz w:val="20"/>
          <w:szCs w:val="20"/>
        </w:rPr>
        <w:t xml:space="preserve">, this framework is intended to facilitate monitoring and decision-making regarding the ergonomic performance of manual production lines. The suggested approach entails gathering data pertaining to working postures throughout consecutive working cycles by means of a wearable inertial motion monitoring system. Following the transmission of the gathered data to commercial software, it is merged with human avatars and </w:t>
      </w:r>
      <w:r w:rsidRPr="0058500A">
        <w:rPr>
          <w:rFonts w:ascii="Times New Roman" w:hAnsi="Times New Roman" w:cs="Times New Roman"/>
          <w:sz w:val="20"/>
          <w:szCs w:val="20"/>
        </w:rPr>
        <w:t>numerically simulated. Four risk indices—working postures, exerted forces, material manual handling, and repetitive actions—are assessed through the analysis of the numerical data. Occupational clinicians and seasoned ergonomists should deliberate on the feasibility of layout modification if the analysis reveals critical issues. Case study results demonstrating the framework's efficacy included a cycle time of four seconds and a risk index reduction of 38.5%. This methodology enables ergonomists to concentrate predominantly on problem identification and solution proposition.</w:t>
      </w:r>
    </w:p>
    <w:p w14:paraId="2A616067" w14:textId="77777777" w:rsidR="0058500A" w:rsidRPr="0058500A" w:rsidRDefault="0058500A" w:rsidP="0058500A">
      <w:pPr>
        <w:jc w:val="both"/>
        <w:rPr>
          <w:rFonts w:ascii="Times New Roman" w:hAnsi="Times New Roman" w:cs="Times New Roman"/>
          <w:sz w:val="20"/>
          <w:szCs w:val="20"/>
        </w:rPr>
      </w:pPr>
    </w:p>
    <w:p w14:paraId="0A49FFC6" w14:textId="77777777" w:rsidR="00721C95" w:rsidRDefault="0058500A" w:rsidP="00721C95">
      <w:pPr>
        <w:ind w:firstLine="288"/>
        <w:jc w:val="both"/>
        <w:rPr>
          <w:rFonts w:ascii="Times New Roman" w:hAnsi="Times New Roman" w:cs="Times New Roman"/>
          <w:sz w:val="20"/>
          <w:szCs w:val="20"/>
        </w:rPr>
        <w:sectPr w:rsidR="00721C95" w:rsidSect="00721C95">
          <w:type w:val="continuous"/>
          <w:pgSz w:w="11900" w:h="16840"/>
          <w:pgMar w:top="1440" w:right="1440" w:bottom="1440" w:left="1440" w:header="708" w:footer="708" w:gutter="0"/>
          <w:cols w:num="2" w:space="708"/>
          <w:docGrid w:linePitch="360"/>
        </w:sectPr>
      </w:pPr>
      <w:r w:rsidRPr="0058500A">
        <w:rPr>
          <w:rFonts w:ascii="Times New Roman" w:hAnsi="Times New Roman" w:cs="Times New Roman"/>
          <w:sz w:val="20"/>
          <w:szCs w:val="20"/>
        </w:rPr>
        <w:t>In its entirety, the suggested methodology offers a holistic strategy to tackle the obstacles faced by traditional approaches in evaluating the risk of biomechanical overload. Moreover, it improves measurement precision and repeatability, as well as monitoring and decision-making pertaining to the ergonomic performance of manual production lines.</w:t>
      </w:r>
    </w:p>
    <w:p w14:paraId="6F9EF0A2" w14:textId="5A1A98E7" w:rsidR="0058500A" w:rsidRPr="0058500A" w:rsidRDefault="0058500A" w:rsidP="00721C95">
      <w:pPr>
        <w:ind w:firstLine="288"/>
        <w:jc w:val="both"/>
        <w:rPr>
          <w:rFonts w:ascii="Times New Roman" w:hAnsi="Times New Roman" w:cs="Times New Roman"/>
          <w:sz w:val="20"/>
          <w:szCs w:val="20"/>
        </w:rPr>
      </w:pPr>
    </w:p>
    <w:p w14:paraId="545E86C8" w14:textId="77777777" w:rsidR="0058500A" w:rsidRPr="0058500A" w:rsidRDefault="0058500A" w:rsidP="0058500A">
      <w:pPr>
        <w:jc w:val="both"/>
        <w:rPr>
          <w:rFonts w:ascii="Times New Roman" w:hAnsi="Times New Roman" w:cs="Times New Roman"/>
          <w:sz w:val="20"/>
          <w:szCs w:val="20"/>
        </w:rPr>
      </w:pPr>
    </w:p>
    <w:p w14:paraId="54EB6639" w14:textId="7D463A13" w:rsidR="0058500A" w:rsidRPr="0058500A" w:rsidRDefault="0058500A" w:rsidP="0058500A">
      <w:pPr>
        <w:jc w:val="both"/>
        <w:rPr>
          <w:rFonts w:asciiTheme="majorBidi" w:hAnsiTheme="majorBidi" w:cstheme="majorBidi"/>
          <w:sz w:val="20"/>
          <w:szCs w:val="20"/>
        </w:rPr>
      </w:pPr>
      <w:r w:rsidRPr="0058500A">
        <w:rPr>
          <w:rFonts w:ascii="Times New Roman" w:hAnsi="Times New Roman" w:cs="Times New Roman"/>
          <w:noProof/>
          <w:sz w:val="20"/>
          <w:szCs w:val="20"/>
        </w:rPr>
        <w:drawing>
          <wp:inline distT="0" distB="0" distL="0" distR="0" wp14:anchorId="0A2ED48E" wp14:editId="4133FB52">
            <wp:extent cx="5727700" cy="1972310"/>
            <wp:effectExtent l="0" t="0" r="6350" b="8890"/>
            <wp:docPr id="741082471" name="Picture 74108247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82471" name="Picture 741082471" descr="A diagram of a 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27700" cy="1972310"/>
                    </a:xfrm>
                    <a:prstGeom prst="rect">
                      <a:avLst/>
                    </a:prstGeom>
                  </pic:spPr>
                </pic:pic>
              </a:graphicData>
            </a:graphic>
          </wp:inline>
        </w:drawing>
      </w:r>
    </w:p>
    <w:p w14:paraId="0D5EC547" w14:textId="77777777" w:rsidR="0058500A" w:rsidRPr="0058500A" w:rsidRDefault="0058500A" w:rsidP="0058500A">
      <w:pPr>
        <w:jc w:val="both"/>
        <w:rPr>
          <w:rFonts w:asciiTheme="majorBidi" w:hAnsiTheme="majorBidi" w:cstheme="majorBidi"/>
          <w:b/>
          <w:bCs/>
          <w:sz w:val="20"/>
          <w:szCs w:val="20"/>
        </w:rPr>
      </w:pPr>
    </w:p>
    <w:p w14:paraId="50B6ABC2" w14:textId="05C5B934" w:rsidR="0058500A" w:rsidRPr="0058500A" w:rsidRDefault="0058500A" w:rsidP="00721C95">
      <w:pPr>
        <w:jc w:val="center"/>
        <w:rPr>
          <w:rFonts w:asciiTheme="majorBidi" w:hAnsiTheme="majorBidi" w:cstheme="majorBidi"/>
          <w:sz w:val="20"/>
          <w:szCs w:val="20"/>
        </w:rPr>
      </w:pPr>
      <w:r w:rsidRPr="0058500A">
        <w:rPr>
          <w:rFonts w:asciiTheme="majorBidi" w:hAnsiTheme="majorBidi" w:cstheme="majorBidi"/>
          <w:b/>
          <w:bCs/>
          <w:sz w:val="20"/>
          <w:szCs w:val="20"/>
        </w:rPr>
        <w:t>Fig. 8.</w:t>
      </w:r>
      <w:r w:rsidRPr="0058500A">
        <w:rPr>
          <w:rFonts w:asciiTheme="majorBidi" w:hAnsiTheme="majorBidi" w:cstheme="majorBidi"/>
          <w:sz w:val="20"/>
          <w:szCs w:val="20"/>
        </w:rPr>
        <w:t xml:space="preserve">  A methodological HDT framework to facilitate decision-making and monitoring with respect to ergonomics performance.</w:t>
      </w:r>
    </w:p>
    <w:p w14:paraId="4FFCAF19" w14:textId="77777777" w:rsidR="0058500A" w:rsidRDefault="0058500A" w:rsidP="0058500A">
      <w:pPr>
        <w:jc w:val="both"/>
        <w:rPr>
          <w:rFonts w:asciiTheme="majorBidi" w:hAnsiTheme="majorBidi" w:cstheme="majorBidi"/>
          <w:sz w:val="20"/>
          <w:szCs w:val="20"/>
        </w:rPr>
      </w:pPr>
    </w:p>
    <w:p w14:paraId="55C35528" w14:textId="77777777" w:rsidR="00721C95" w:rsidRDefault="00721C95" w:rsidP="0058500A">
      <w:pPr>
        <w:jc w:val="both"/>
        <w:rPr>
          <w:rFonts w:asciiTheme="majorBidi" w:hAnsiTheme="majorBidi" w:cstheme="majorBidi"/>
          <w:sz w:val="20"/>
          <w:szCs w:val="20"/>
        </w:rPr>
      </w:pPr>
    </w:p>
    <w:p w14:paraId="3552F57A" w14:textId="77777777" w:rsidR="00721C95" w:rsidRPr="0058500A" w:rsidRDefault="00721C95" w:rsidP="0058500A">
      <w:pPr>
        <w:jc w:val="both"/>
        <w:rPr>
          <w:rFonts w:asciiTheme="majorBidi" w:hAnsiTheme="majorBidi" w:cstheme="majorBidi"/>
          <w:sz w:val="20"/>
          <w:szCs w:val="20"/>
        </w:rPr>
      </w:pPr>
    </w:p>
    <w:p w14:paraId="4AA013E0" w14:textId="77777777" w:rsidR="00721C95" w:rsidRDefault="00721C95" w:rsidP="00721C95">
      <w:pPr>
        <w:pStyle w:val="Heading3"/>
        <w:numPr>
          <w:ilvl w:val="0"/>
          <w:numId w:val="0"/>
        </w:numPr>
        <w:jc w:val="both"/>
        <w:sectPr w:rsidR="00721C95" w:rsidSect="00721C95">
          <w:type w:val="continuous"/>
          <w:pgSz w:w="11900" w:h="16840"/>
          <w:pgMar w:top="1440" w:right="1440" w:bottom="1440" w:left="1440" w:header="708" w:footer="708" w:gutter="0"/>
          <w:cols w:space="708"/>
          <w:docGrid w:linePitch="360"/>
        </w:sectPr>
      </w:pPr>
    </w:p>
    <w:p w14:paraId="6C045157" w14:textId="77777777" w:rsidR="0058500A" w:rsidRPr="0058500A" w:rsidRDefault="0058500A" w:rsidP="00721C95">
      <w:pPr>
        <w:pStyle w:val="Heading3"/>
        <w:numPr>
          <w:ilvl w:val="0"/>
          <w:numId w:val="0"/>
        </w:numPr>
        <w:jc w:val="both"/>
      </w:pPr>
      <w:r w:rsidRPr="0058500A">
        <w:lastRenderedPageBreak/>
        <w:t>4.2.4 Applications Summary</w:t>
      </w:r>
    </w:p>
    <w:p w14:paraId="3BCE8332" w14:textId="77777777" w:rsidR="00721C95" w:rsidRDefault="00721C95" w:rsidP="00721C95">
      <w:pPr>
        <w:jc w:val="both"/>
        <w:rPr>
          <w:rFonts w:ascii="Times New Roman" w:hAnsi="Times New Roman" w:cs="Times New Roman"/>
          <w:sz w:val="20"/>
          <w:szCs w:val="20"/>
        </w:rPr>
      </w:pPr>
    </w:p>
    <w:p w14:paraId="3A596C4C" w14:textId="473D6CC3" w:rsidR="0058500A" w:rsidRDefault="0058500A" w:rsidP="00721C95">
      <w:pPr>
        <w:ind w:firstLine="288"/>
        <w:jc w:val="both"/>
        <w:rPr>
          <w:rFonts w:ascii="Times New Roman" w:hAnsi="Times New Roman" w:cs="Times New Roman"/>
          <w:sz w:val="20"/>
          <w:szCs w:val="20"/>
        </w:rPr>
      </w:pPr>
      <w:r w:rsidRPr="0058500A">
        <w:rPr>
          <w:rFonts w:ascii="Times New Roman" w:hAnsi="Times New Roman" w:cs="Times New Roman"/>
          <w:sz w:val="20"/>
          <w:szCs w:val="20"/>
        </w:rPr>
        <w:t>The table 3 below summarizes the key details of each case study, including the implementation, impact, and lessons learned.</w:t>
      </w:r>
      <w:r w:rsidR="00721C95">
        <w:rPr>
          <w:rFonts w:ascii="Times New Roman" w:hAnsi="Times New Roman" w:cs="Times New Roman"/>
          <w:sz w:val="20"/>
          <w:szCs w:val="20"/>
        </w:rPr>
        <w:t xml:space="preserve"> </w:t>
      </w:r>
      <w:r w:rsidRPr="0058500A">
        <w:rPr>
          <w:rFonts w:ascii="Times New Roman" w:hAnsi="Times New Roman" w:cs="Times New Roman"/>
          <w:sz w:val="20"/>
          <w:szCs w:val="20"/>
        </w:rPr>
        <w:t xml:space="preserve">The Cloud-Based Design and Additive Manufacturing (CDAM) system, a standout implementation of HDT in design, revolutionizes the creation of ankle-foot orthosis prototypes. Utilizing optical scanning during clinic visits, this system generates real-time 3D foot and limb geometry, facilitating seamless modifications through a web portal. </w:t>
      </w:r>
      <w:proofErr w:type="gramStart"/>
      <w:r w:rsidRPr="0058500A">
        <w:rPr>
          <w:rFonts w:ascii="Times New Roman" w:hAnsi="Times New Roman" w:cs="Times New Roman"/>
          <w:sz w:val="20"/>
          <w:szCs w:val="20"/>
        </w:rPr>
        <w:t>In order to</w:t>
      </w:r>
      <w:proofErr w:type="gramEnd"/>
      <w:r w:rsidRPr="0058500A">
        <w:rPr>
          <w:rFonts w:ascii="Times New Roman" w:hAnsi="Times New Roman" w:cs="Times New Roman"/>
          <w:sz w:val="20"/>
          <w:szCs w:val="20"/>
        </w:rPr>
        <w:t xml:space="preserve"> optimize the overall user experience, Inertial Measurement Units (IMU) ensure timely and precise customization via ongoing assessment. Moreover, to </w:t>
      </w:r>
      <w:r w:rsidR="004F2E37" w:rsidRPr="0058500A">
        <w:rPr>
          <w:rFonts w:ascii="Times New Roman" w:hAnsi="Times New Roman" w:cs="Times New Roman"/>
          <w:sz w:val="20"/>
          <w:szCs w:val="20"/>
        </w:rPr>
        <w:t>expand</w:t>
      </w:r>
      <w:r w:rsidRPr="0058500A">
        <w:rPr>
          <w:rFonts w:ascii="Times New Roman" w:hAnsi="Times New Roman" w:cs="Times New Roman"/>
          <w:sz w:val="20"/>
          <w:szCs w:val="20"/>
        </w:rPr>
        <w:t xml:space="preserve"> the capabilities of human-</w:t>
      </w:r>
      <w:proofErr w:type="spellStart"/>
      <w:r w:rsidRPr="0058500A">
        <w:rPr>
          <w:rFonts w:ascii="Times New Roman" w:hAnsi="Times New Roman" w:cs="Times New Roman"/>
          <w:sz w:val="20"/>
          <w:szCs w:val="20"/>
        </w:rPr>
        <w:t>centred</w:t>
      </w:r>
      <w:proofErr w:type="spellEnd"/>
      <w:r w:rsidRPr="0058500A">
        <w:rPr>
          <w:rFonts w:ascii="Times New Roman" w:hAnsi="Times New Roman" w:cs="Times New Roman"/>
          <w:sz w:val="20"/>
          <w:szCs w:val="20"/>
        </w:rPr>
        <w:t xml:space="preserve"> design, the proposed system exhibits its efficacy in a clinical environment that necessitates instantaneous customization and adaptation.</w:t>
      </w:r>
    </w:p>
    <w:p w14:paraId="20AA3C09" w14:textId="77777777" w:rsidR="00721C95" w:rsidRPr="0058500A" w:rsidRDefault="00721C95" w:rsidP="00721C95">
      <w:pPr>
        <w:jc w:val="both"/>
        <w:rPr>
          <w:rFonts w:ascii="Times New Roman" w:hAnsi="Times New Roman" w:cs="Times New Roman"/>
          <w:sz w:val="20"/>
          <w:szCs w:val="20"/>
        </w:rPr>
      </w:pPr>
    </w:p>
    <w:p w14:paraId="51DA2475" w14:textId="2574CB37" w:rsidR="0058500A" w:rsidRDefault="0058500A" w:rsidP="00721C95">
      <w:pPr>
        <w:ind w:firstLine="288"/>
        <w:jc w:val="both"/>
        <w:rPr>
          <w:rFonts w:ascii="Times New Roman" w:hAnsi="Times New Roman" w:cs="Times New Roman"/>
          <w:sz w:val="20"/>
          <w:szCs w:val="20"/>
        </w:rPr>
      </w:pPr>
      <w:r w:rsidRPr="0058500A">
        <w:rPr>
          <w:rFonts w:ascii="Times New Roman" w:hAnsi="Times New Roman" w:cs="Times New Roman"/>
          <w:sz w:val="20"/>
          <w:szCs w:val="20"/>
        </w:rPr>
        <w:t xml:space="preserve">HDT introduces two primary applications into the production process. Initially, the Fusion-Based Spiking Neural Network (FSNN) facilitates real-time collaboration between humans and machines by achieving 30% greater accuracy in decision-making compared to alternative approaches. This utilizes HDT to assist adaptive robots with mass-customized production while simultaneously increasing output and requiring minimal human intervention. Furthermore, HDT systems incorporate mobile devices that gather joint data and motion capture to enhance worker safety and </w:t>
      </w:r>
      <w:r w:rsidRPr="0058500A">
        <w:rPr>
          <w:rFonts w:ascii="Times New Roman" w:hAnsi="Times New Roman" w:cs="Times New Roman"/>
          <w:sz w:val="20"/>
          <w:szCs w:val="20"/>
        </w:rPr>
        <w:t xml:space="preserve">management. The incorporation of Digital Human Modeling (DHM) enables safety managers to monitor employees, implement preventative measures, and safeguard against musculoskeletal accidents. The </w:t>
      </w:r>
      <w:proofErr w:type="gramStart"/>
      <w:r w:rsidRPr="0058500A">
        <w:rPr>
          <w:rFonts w:ascii="Times New Roman" w:hAnsi="Times New Roman" w:cs="Times New Roman"/>
          <w:sz w:val="20"/>
          <w:szCs w:val="20"/>
        </w:rPr>
        <w:t>aforementioned applications</w:t>
      </w:r>
      <w:proofErr w:type="gramEnd"/>
      <w:r w:rsidRPr="0058500A">
        <w:rPr>
          <w:rFonts w:ascii="Times New Roman" w:hAnsi="Times New Roman" w:cs="Times New Roman"/>
          <w:sz w:val="20"/>
          <w:szCs w:val="20"/>
        </w:rPr>
        <w:t xml:space="preserve"> underscore the significance of HDT in enhancing workplace health and safety, productivity, and collaboration.</w:t>
      </w:r>
    </w:p>
    <w:p w14:paraId="27321E02" w14:textId="77777777" w:rsidR="00721C95" w:rsidRPr="0058500A" w:rsidRDefault="00721C95" w:rsidP="00721C95">
      <w:pPr>
        <w:jc w:val="both"/>
        <w:rPr>
          <w:rFonts w:ascii="Times New Roman" w:hAnsi="Times New Roman" w:cs="Times New Roman"/>
          <w:sz w:val="20"/>
          <w:szCs w:val="20"/>
        </w:rPr>
      </w:pPr>
    </w:p>
    <w:p w14:paraId="6542BB04" w14:textId="77777777" w:rsidR="0058500A" w:rsidRPr="0058500A" w:rsidRDefault="0058500A" w:rsidP="00721C95">
      <w:pPr>
        <w:jc w:val="both"/>
        <w:rPr>
          <w:rFonts w:asciiTheme="majorBidi" w:hAnsiTheme="majorBidi" w:cstheme="majorBidi"/>
          <w:sz w:val="20"/>
          <w:szCs w:val="20"/>
        </w:rPr>
      </w:pPr>
    </w:p>
    <w:p w14:paraId="7A2747F2" w14:textId="77777777" w:rsidR="00721C95" w:rsidRDefault="0058500A" w:rsidP="00721C95">
      <w:pPr>
        <w:ind w:firstLine="288"/>
        <w:jc w:val="both"/>
        <w:rPr>
          <w:rFonts w:ascii="Times New Roman" w:hAnsi="Times New Roman" w:cs="Times New Roman"/>
          <w:sz w:val="20"/>
          <w:szCs w:val="20"/>
        </w:rPr>
        <w:sectPr w:rsidR="00721C95" w:rsidSect="00721C95">
          <w:type w:val="continuous"/>
          <w:pgSz w:w="11900" w:h="16840"/>
          <w:pgMar w:top="1440" w:right="1440" w:bottom="1440" w:left="1440" w:header="708" w:footer="708" w:gutter="0"/>
          <w:cols w:num="2" w:space="708"/>
          <w:docGrid w:linePitch="360"/>
        </w:sectPr>
      </w:pPr>
      <w:r w:rsidRPr="0058500A">
        <w:rPr>
          <w:rFonts w:ascii="Times New Roman" w:hAnsi="Times New Roman" w:cs="Times New Roman"/>
          <w:sz w:val="20"/>
          <w:szCs w:val="20"/>
        </w:rPr>
        <w:t>HDT has numerous applications that transcend the manufacturing process and permeate various phases of a product's lifecycle, thereby resolving critical challenges. An assessment framework that integrates wearable technology and numerical simulations successfully reduces risk factors by 38.5% in the context of biomechanical excess potential. This demonstrates that HDT permits a closer examination of ergonomic risks, indicating that it is capable of substantially mitigating the dangers. The application of cloud-based algorithms, digital duplicates, and knowledge databases to human knowledge-based decision support for maintenance is the subject of extensive research. This application facilitates the decision-making process for maintenance managers with an average similarity of 87.1%, demonstrating the utility of HDT in the maintenance domain. These applications demonstrate the adaptability and utility of HDT throughout the product lifecycle. They instruct us in comprehensive methodologies, the utilization of real-time data, and the enhancement of efficiency.</w:t>
      </w:r>
    </w:p>
    <w:p w14:paraId="24F71ABA" w14:textId="50F3E4CD" w:rsidR="0058500A" w:rsidRPr="0058500A" w:rsidRDefault="0058500A" w:rsidP="00721C95">
      <w:pPr>
        <w:ind w:firstLine="288"/>
        <w:jc w:val="both"/>
        <w:rPr>
          <w:rFonts w:ascii="Times New Roman" w:hAnsi="Times New Roman" w:cs="Times New Roman"/>
          <w:sz w:val="20"/>
          <w:szCs w:val="20"/>
        </w:rPr>
      </w:pPr>
    </w:p>
    <w:p w14:paraId="2E704575" w14:textId="77777777" w:rsidR="0058500A" w:rsidRDefault="0058500A" w:rsidP="00721C95">
      <w:pPr>
        <w:jc w:val="both"/>
        <w:rPr>
          <w:rFonts w:ascii="Times New Roman" w:hAnsi="Times New Roman" w:cs="Times New Roman"/>
        </w:rPr>
      </w:pPr>
    </w:p>
    <w:p w14:paraId="49C71FA9" w14:textId="77777777" w:rsidR="0058500A" w:rsidRDefault="0058500A" w:rsidP="0058500A">
      <w:pPr>
        <w:rPr>
          <w:rFonts w:asciiTheme="majorBidi" w:hAnsiTheme="majorBidi" w:cstheme="majorBidi"/>
          <w:sz w:val="20"/>
          <w:szCs w:val="20"/>
        </w:rPr>
      </w:pPr>
    </w:p>
    <w:p w14:paraId="7AA0A78C" w14:textId="77777777" w:rsidR="00576C59" w:rsidRDefault="00576C59" w:rsidP="00576C59">
      <w:pPr>
        <w:jc w:val="both"/>
        <w:rPr>
          <w:rFonts w:asciiTheme="majorBidi" w:hAnsiTheme="majorBidi" w:cstheme="majorBidi"/>
          <w:sz w:val="20"/>
          <w:szCs w:val="20"/>
        </w:rPr>
      </w:pPr>
    </w:p>
    <w:p w14:paraId="7F849535" w14:textId="77777777" w:rsidR="00576C59" w:rsidRDefault="00576C59" w:rsidP="00576C59">
      <w:pPr>
        <w:jc w:val="both"/>
        <w:rPr>
          <w:rFonts w:asciiTheme="majorBidi" w:hAnsiTheme="majorBidi" w:cstheme="majorBidi"/>
          <w:sz w:val="20"/>
          <w:szCs w:val="20"/>
        </w:rPr>
      </w:pPr>
    </w:p>
    <w:p w14:paraId="7729B744" w14:textId="77777777" w:rsidR="00576C59" w:rsidRPr="0012787A" w:rsidRDefault="00576C59" w:rsidP="00CB61B9">
      <w:pPr>
        <w:ind w:left="60"/>
        <w:jc w:val="both"/>
        <w:rPr>
          <w:rFonts w:asciiTheme="majorBidi" w:hAnsiTheme="majorBidi" w:cstheme="majorBidi"/>
          <w:sz w:val="20"/>
          <w:szCs w:val="20"/>
        </w:rPr>
        <w:sectPr w:rsidR="00576C59" w:rsidRPr="0012787A" w:rsidSect="00721C95">
          <w:type w:val="continuous"/>
          <w:pgSz w:w="11900" w:h="16840"/>
          <w:pgMar w:top="1440" w:right="1440" w:bottom="1440" w:left="1440" w:header="708" w:footer="708" w:gutter="0"/>
          <w:cols w:space="708"/>
          <w:docGrid w:linePitch="360"/>
        </w:sectPr>
      </w:pPr>
    </w:p>
    <w:p w14:paraId="17F2C994" w14:textId="77777777" w:rsidR="00C64298" w:rsidRDefault="00C64298" w:rsidP="00C64298">
      <w:pPr>
        <w:jc w:val="center"/>
        <w:rPr>
          <w:rFonts w:ascii="Times New Roman" w:hAnsi="Times New Roman" w:cs="Times New Roman"/>
        </w:rPr>
      </w:pPr>
      <w:r w:rsidRPr="00C36419">
        <w:rPr>
          <w:rFonts w:ascii="Times New Roman" w:hAnsi="Times New Roman" w:cs="Times New Roman"/>
          <w:b/>
        </w:rPr>
        <w:lastRenderedPageBreak/>
        <w:t xml:space="preserve">Table </w:t>
      </w:r>
      <w:r>
        <w:rPr>
          <w:rFonts w:ascii="Times New Roman" w:hAnsi="Times New Roman" w:cs="Times New Roman"/>
          <w:b/>
        </w:rPr>
        <w:t>4</w:t>
      </w:r>
      <w:r w:rsidRPr="00C36419">
        <w:rPr>
          <w:rFonts w:ascii="Times New Roman" w:hAnsi="Times New Roman" w:cs="Times New Roman"/>
          <w:b/>
        </w:rPr>
        <w:t xml:space="preserve">. </w:t>
      </w:r>
      <w:r w:rsidRPr="00C36419">
        <w:rPr>
          <w:rFonts w:ascii="Times New Roman" w:hAnsi="Times New Roman" w:cs="Times New Roman"/>
        </w:rPr>
        <w:t>Summary of Cases based on HDT</w:t>
      </w:r>
    </w:p>
    <w:p w14:paraId="4B63886D" w14:textId="77777777" w:rsidR="00C64298" w:rsidRPr="00C64298" w:rsidRDefault="00C64298" w:rsidP="00C64298">
      <w:pPr>
        <w:jc w:val="center"/>
        <w:rPr>
          <w:rFonts w:ascii="Times New Roman" w:hAnsi="Times New Roman" w:cs="Times New Roman"/>
          <w:b/>
          <w:sz w:val="10"/>
          <w:szCs w:val="10"/>
        </w:rPr>
      </w:pPr>
    </w:p>
    <w:tbl>
      <w:tblPr>
        <w:tblW w:w="14369" w:type="dxa"/>
        <w:jc w:val="center"/>
        <w:tblLook w:val="04A0" w:firstRow="1" w:lastRow="0" w:firstColumn="1" w:lastColumn="0" w:noHBand="0" w:noVBand="1"/>
      </w:tblPr>
      <w:tblGrid>
        <w:gridCol w:w="1673"/>
        <w:gridCol w:w="1849"/>
        <w:gridCol w:w="2255"/>
        <w:gridCol w:w="1885"/>
        <w:gridCol w:w="2554"/>
        <w:gridCol w:w="2924"/>
        <w:gridCol w:w="1229"/>
      </w:tblGrid>
      <w:tr w:rsidR="00C64298" w:rsidRPr="00C36419" w14:paraId="283EAD0D" w14:textId="77777777" w:rsidTr="00C64298">
        <w:trPr>
          <w:trHeight w:val="297"/>
          <w:jc w:val="center"/>
        </w:trPr>
        <w:tc>
          <w:tcPr>
            <w:tcW w:w="1673" w:type="dxa"/>
            <w:tcBorders>
              <w:top w:val="single" w:sz="4" w:space="0" w:color="auto"/>
              <w:left w:val="nil"/>
              <w:bottom w:val="single" w:sz="4" w:space="0" w:color="auto"/>
              <w:right w:val="nil"/>
            </w:tcBorders>
            <w:shd w:val="clear" w:color="auto" w:fill="auto"/>
            <w:noWrap/>
            <w:vAlign w:val="bottom"/>
            <w:hideMark/>
          </w:tcPr>
          <w:p w14:paraId="582BF9F2" w14:textId="77777777" w:rsidR="00C64298" w:rsidRPr="00C36419" w:rsidRDefault="00C64298" w:rsidP="00461C81">
            <w:pPr>
              <w:jc w:val="center"/>
              <w:rPr>
                <w:rFonts w:ascii="Times New Roman" w:hAnsi="Times New Roman" w:cs="Times New Roman"/>
                <w:b/>
                <w:bCs/>
                <w:color w:val="000000"/>
                <w:sz w:val="18"/>
                <w:szCs w:val="18"/>
              </w:rPr>
            </w:pPr>
            <w:r w:rsidRPr="00C36419">
              <w:rPr>
                <w:rFonts w:ascii="Times New Roman" w:hAnsi="Times New Roman" w:cs="Times New Roman"/>
                <w:b/>
                <w:bCs/>
                <w:color w:val="000000"/>
                <w:sz w:val="18"/>
                <w:szCs w:val="18"/>
              </w:rPr>
              <w:t>Cases</w:t>
            </w:r>
          </w:p>
        </w:tc>
        <w:tc>
          <w:tcPr>
            <w:tcW w:w="1849" w:type="dxa"/>
            <w:tcBorders>
              <w:top w:val="single" w:sz="4" w:space="0" w:color="auto"/>
              <w:left w:val="nil"/>
              <w:bottom w:val="single" w:sz="4" w:space="0" w:color="auto"/>
              <w:right w:val="nil"/>
            </w:tcBorders>
            <w:shd w:val="clear" w:color="auto" w:fill="auto"/>
            <w:noWrap/>
            <w:vAlign w:val="bottom"/>
            <w:hideMark/>
          </w:tcPr>
          <w:p w14:paraId="2A20A82F" w14:textId="77777777" w:rsidR="00C64298" w:rsidRPr="00C36419" w:rsidRDefault="00C64298" w:rsidP="00461C81">
            <w:pPr>
              <w:jc w:val="center"/>
              <w:rPr>
                <w:rFonts w:ascii="Times New Roman" w:hAnsi="Times New Roman" w:cs="Times New Roman"/>
                <w:b/>
                <w:bCs/>
                <w:color w:val="000000"/>
                <w:sz w:val="18"/>
                <w:szCs w:val="18"/>
              </w:rPr>
            </w:pPr>
            <w:r w:rsidRPr="00C36419">
              <w:rPr>
                <w:rFonts w:ascii="Times New Roman" w:hAnsi="Times New Roman" w:cs="Times New Roman"/>
                <w:b/>
                <w:bCs/>
                <w:color w:val="000000"/>
                <w:sz w:val="18"/>
                <w:szCs w:val="18"/>
              </w:rPr>
              <w:t>Data Input</w:t>
            </w:r>
          </w:p>
        </w:tc>
        <w:tc>
          <w:tcPr>
            <w:tcW w:w="2255" w:type="dxa"/>
            <w:tcBorders>
              <w:top w:val="single" w:sz="4" w:space="0" w:color="auto"/>
              <w:left w:val="nil"/>
              <w:bottom w:val="single" w:sz="4" w:space="0" w:color="auto"/>
              <w:right w:val="nil"/>
            </w:tcBorders>
            <w:shd w:val="clear" w:color="auto" w:fill="auto"/>
            <w:noWrap/>
            <w:vAlign w:val="bottom"/>
            <w:hideMark/>
          </w:tcPr>
          <w:p w14:paraId="41E0E2CC" w14:textId="77777777" w:rsidR="00C64298" w:rsidRPr="00C36419" w:rsidRDefault="00C64298" w:rsidP="00461C81">
            <w:pPr>
              <w:jc w:val="center"/>
              <w:rPr>
                <w:rFonts w:ascii="Times New Roman" w:hAnsi="Times New Roman" w:cs="Times New Roman"/>
                <w:b/>
                <w:bCs/>
                <w:color w:val="000000"/>
                <w:sz w:val="18"/>
                <w:szCs w:val="18"/>
              </w:rPr>
            </w:pPr>
            <w:r w:rsidRPr="00C36419">
              <w:rPr>
                <w:rFonts w:ascii="Times New Roman" w:hAnsi="Times New Roman" w:cs="Times New Roman"/>
                <w:b/>
                <w:bCs/>
                <w:color w:val="000000"/>
                <w:sz w:val="18"/>
                <w:szCs w:val="18"/>
              </w:rPr>
              <w:t>Computing</w:t>
            </w:r>
          </w:p>
        </w:tc>
        <w:tc>
          <w:tcPr>
            <w:tcW w:w="1885" w:type="dxa"/>
            <w:tcBorders>
              <w:top w:val="single" w:sz="4" w:space="0" w:color="auto"/>
              <w:left w:val="nil"/>
              <w:bottom w:val="single" w:sz="4" w:space="0" w:color="auto"/>
              <w:right w:val="nil"/>
            </w:tcBorders>
            <w:shd w:val="clear" w:color="auto" w:fill="auto"/>
            <w:noWrap/>
            <w:vAlign w:val="bottom"/>
            <w:hideMark/>
          </w:tcPr>
          <w:p w14:paraId="6B699023" w14:textId="77777777" w:rsidR="00C64298" w:rsidRPr="00C36419" w:rsidRDefault="00C64298" w:rsidP="00461C81">
            <w:pPr>
              <w:jc w:val="center"/>
              <w:rPr>
                <w:rFonts w:ascii="Times New Roman" w:hAnsi="Times New Roman" w:cs="Times New Roman"/>
                <w:b/>
                <w:bCs/>
                <w:color w:val="000000"/>
                <w:sz w:val="18"/>
                <w:szCs w:val="18"/>
              </w:rPr>
            </w:pPr>
            <w:r w:rsidRPr="00C36419">
              <w:rPr>
                <w:rFonts w:ascii="Times New Roman" w:hAnsi="Times New Roman" w:cs="Times New Roman"/>
                <w:b/>
                <w:bCs/>
                <w:color w:val="000000"/>
                <w:sz w:val="18"/>
                <w:szCs w:val="18"/>
              </w:rPr>
              <w:t>Modeling</w:t>
            </w:r>
          </w:p>
        </w:tc>
        <w:tc>
          <w:tcPr>
            <w:tcW w:w="2554" w:type="dxa"/>
            <w:tcBorders>
              <w:top w:val="single" w:sz="4" w:space="0" w:color="auto"/>
              <w:left w:val="nil"/>
              <w:bottom w:val="single" w:sz="4" w:space="0" w:color="auto"/>
              <w:right w:val="nil"/>
            </w:tcBorders>
            <w:shd w:val="clear" w:color="auto" w:fill="auto"/>
            <w:noWrap/>
            <w:vAlign w:val="bottom"/>
            <w:hideMark/>
          </w:tcPr>
          <w:p w14:paraId="4BCB7B5C" w14:textId="77777777" w:rsidR="00C64298" w:rsidRPr="00C36419" w:rsidRDefault="00C64298" w:rsidP="00461C81">
            <w:pPr>
              <w:jc w:val="center"/>
              <w:rPr>
                <w:rFonts w:ascii="Times New Roman" w:hAnsi="Times New Roman" w:cs="Times New Roman"/>
                <w:b/>
                <w:bCs/>
                <w:color w:val="000000"/>
                <w:sz w:val="18"/>
                <w:szCs w:val="18"/>
              </w:rPr>
            </w:pPr>
            <w:r w:rsidRPr="00C36419">
              <w:rPr>
                <w:rFonts w:ascii="Times New Roman" w:hAnsi="Times New Roman" w:cs="Times New Roman"/>
                <w:b/>
                <w:bCs/>
                <w:color w:val="000000"/>
                <w:sz w:val="18"/>
                <w:szCs w:val="18"/>
              </w:rPr>
              <w:t>Control &amp; Optimization</w:t>
            </w:r>
          </w:p>
        </w:tc>
        <w:tc>
          <w:tcPr>
            <w:tcW w:w="2924" w:type="dxa"/>
            <w:tcBorders>
              <w:top w:val="single" w:sz="4" w:space="0" w:color="auto"/>
              <w:left w:val="nil"/>
              <w:bottom w:val="single" w:sz="4" w:space="0" w:color="auto"/>
              <w:right w:val="nil"/>
            </w:tcBorders>
            <w:shd w:val="clear" w:color="auto" w:fill="auto"/>
            <w:noWrap/>
            <w:vAlign w:val="bottom"/>
            <w:hideMark/>
          </w:tcPr>
          <w:p w14:paraId="584860F2" w14:textId="77777777" w:rsidR="00C64298" w:rsidRPr="00C36419" w:rsidRDefault="00C64298" w:rsidP="00461C81">
            <w:pPr>
              <w:jc w:val="center"/>
              <w:rPr>
                <w:rFonts w:ascii="Times New Roman" w:hAnsi="Times New Roman" w:cs="Times New Roman"/>
                <w:b/>
                <w:bCs/>
                <w:color w:val="000000"/>
                <w:sz w:val="18"/>
                <w:szCs w:val="18"/>
              </w:rPr>
            </w:pPr>
            <w:r w:rsidRPr="00C36419">
              <w:rPr>
                <w:rFonts w:ascii="Times New Roman" w:hAnsi="Times New Roman" w:cs="Times New Roman"/>
                <w:b/>
                <w:bCs/>
                <w:color w:val="000000"/>
                <w:sz w:val="18"/>
                <w:szCs w:val="18"/>
              </w:rPr>
              <w:t>Services</w:t>
            </w:r>
          </w:p>
        </w:tc>
        <w:tc>
          <w:tcPr>
            <w:tcW w:w="1229" w:type="dxa"/>
            <w:tcBorders>
              <w:top w:val="single" w:sz="4" w:space="0" w:color="auto"/>
              <w:left w:val="nil"/>
              <w:bottom w:val="single" w:sz="4" w:space="0" w:color="auto"/>
              <w:right w:val="nil"/>
            </w:tcBorders>
            <w:shd w:val="clear" w:color="auto" w:fill="auto"/>
            <w:noWrap/>
            <w:vAlign w:val="bottom"/>
            <w:hideMark/>
          </w:tcPr>
          <w:p w14:paraId="6BBC0CA9" w14:textId="77777777" w:rsidR="00C64298" w:rsidRPr="00C36419" w:rsidRDefault="00C64298" w:rsidP="00461C81">
            <w:pPr>
              <w:jc w:val="center"/>
              <w:rPr>
                <w:rFonts w:ascii="Times New Roman" w:hAnsi="Times New Roman" w:cs="Times New Roman"/>
                <w:b/>
                <w:bCs/>
                <w:color w:val="000000"/>
                <w:sz w:val="18"/>
                <w:szCs w:val="18"/>
              </w:rPr>
            </w:pPr>
            <w:r w:rsidRPr="00C36419">
              <w:rPr>
                <w:rFonts w:ascii="Times New Roman" w:hAnsi="Times New Roman" w:cs="Times New Roman"/>
                <w:b/>
                <w:bCs/>
                <w:color w:val="000000"/>
                <w:sz w:val="18"/>
                <w:szCs w:val="18"/>
              </w:rPr>
              <w:t>References</w:t>
            </w:r>
          </w:p>
        </w:tc>
      </w:tr>
      <w:tr w:rsidR="00C64298" w:rsidRPr="00C36419" w14:paraId="38697DBE" w14:textId="77777777" w:rsidTr="005D130A">
        <w:trPr>
          <w:trHeight w:val="1016"/>
          <w:jc w:val="center"/>
        </w:trPr>
        <w:tc>
          <w:tcPr>
            <w:tcW w:w="1673" w:type="dxa"/>
            <w:tcBorders>
              <w:top w:val="nil"/>
              <w:left w:val="nil"/>
              <w:bottom w:val="nil"/>
              <w:right w:val="nil"/>
            </w:tcBorders>
            <w:shd w:val="clear" w:color="auto" w:fill="auto"/>
            <w:vAlign w:val="center"/>
            <w:hideMark/>
          </w:tcPr>
          <w:p w14:paraId="078196BB" w14:textId="77777777" w:rsidR="00C64298" w:rsidRPr="00C36419" w:rsidRDefault="00C64298" w:rsidP="005D130A">
            <w:pPr>
              <w:jc w:val="center"/>
              <w:rPr>
                <w:rFonts w:ascii="Times New Roman" w:hAnsi="Times New Roman" w:cs="Times New Roman"/>
                <w:color w:val="000000"/>
                <w:sz w:val="18"/>
                <w:szCs w:val="18"/>
              </w:rPr>
            </w:pPr>
            <w:r w:rsidRPr="00C36419">
              <w:rPr>
                <w:rFonts w:ascii="Courier New" w:hAnsi="Courier New" w:cs="Courier New"/>
                <w:color w:val="000000"/>
                <w:sz w:val="18"/>
                <w:szCs w:val="18"/>
              </w:rPr>
              <w:t>﻿</w:t>
            </w:r>
            <w:r w:rsidRPr="00C36419">
              <w:rPr>
                <w:rFonts w:ascii="Times New Roman" w:hAnsi="Times New Roman" w:cs="Times New Roman"/>
                <w:color w:val="000000"/>
                <w:sz w:val="18"/>
                <w:szCs w:val="18"/>
              </w:rPr>
              <w:t>Human-centric product prototype customization</w:t>
            </w:r>
          </w:p>
        </w:tc>
        <w:tc>
          <w:tcPr>
            <w:tcW w:w="1849" w:type="dxa"/>
            <w:tcBorders>
              <w:top w:val="nil"/>
              <w:left w:val="nil"/>
              <w:bottom w:val="nil"/>
              <w:right w:val="nil"/>
            </w:tcBorders>
            <w:shd w:val="clear" w:color="auto" w:fill="auto"/>
            <w:vAlign w:val="center"/>
            <w:hideMark/>
          </w:tcPr>
          <w:p w14:paraId="11803098" w14:textId="77777777" w:rsidR="00C64298" w:rsidRPr="00C36419" w:rsidRDefault="00C64298" w:rsidP="005D130A">
            <w:pPr>
              <w:jc w:val="center"/>
              <w:rPr>
                <w:rFonts w:ascii="Times New Roman" w:hAnsi="Times New Roman" w:cs="Times New Roman"/>
                <w:color w:val="000000"/>
                <w:sz w:val="18"/>
                <w:szCs w:val="18"/>
              </w:rPr>
            </w:pPr>
            <w:r w:rsidRPr="00C36419">
              <w:rPr>
                <w:rFonts w:ascii="Courier New" w:hAnsi="Courier New" w:cs="Courier New"/>
                <w:color w:val="000000"/>
                <w:sz w:val="18"/>
                <w:szCs w:val="18"/>
              </w:rPr>
              <w:t>﻿</w:t>
            </w:r>
            <w:r w:rsidRPr="00C36419">
              <w:rPr>
                <w:rFonts w:ascii="Times New Roman" w:hAnsi="Times New Roman" w:cs="Times New Roman"/>
                <w:color w:val="000000"/>
                <w:sz w:val="18"/>
                <w:szCs w:val="18"/>
              </w:rPr>
              <w:t>3D geometry data of human body</w:t>
            </w:r>
          </w:p>
        </w:tc>
        <w:tc>
          <w:tcPr>
            <w:tcW w:w="2255" w:type="dxa"/>
            <w:tcBorders>
              <w:top w:val="nil"/>
              <w:left w:val="nil"/>
              <w:bottom w:val="nil"/>
              <w:right w:val="nil"/>
            </w:tcBorders>
            <w:shd w:val="clear" w:color="auto" w:fill="auto"/>
            <w:vAlign w:val="center"/>
            <w:hideMark/>
          </w:tcPr>
          <w:p w14:paraId="7DD4F495" w14:textId="77777777" w:rsidR="00C64298" w:rsidRPr="00C36419" w:rsidRDefault="00C64298" w:rsidP="005D130A">
            <w:pPr>
              <w:jc w:val="center"/>
              <w:rPr>
                <w:rFonts w:ascii="Times New Roman" w:hAnsi="Times New Roman" w:cs="Times New Roman"/>
                <w:color w:val="000000"/>
                <w:sz w:val="18"/>
                <w:szCs w:val="18"/>
              </w:rPr>
            </w:pPr>
            <w:r w:rsidRPr="00C36419">
              <w:rPr>
                <w:rFonts w:ascii="Courier New" w:hAnsi="Courier New" w:cs="Courier New"/>
                <w:color w:val="000000"/>
                <w:sz w:val="18"/>
                <w:szCs w:val="18"/>
              </w:rPr>
              <w:t>﻿</w:t>
            </w:r>
            <w:r w:rsidRPr="00C36419">
              <w:rPr>
                <w:rFonts w:ascii="Times New Roman" w:hAnsi="Times New Roman" w:cs="Times New Roman"/>
                <w:color w:val="000000"/>
                <w:sz w:val="18"/>
                <w:szCs w:val="18"/>
              </w:rPr>
              <w:t>Tailored tool paths and process parameters in additive manufacturing software.</w:t>
            </w:r>
          </w:p>
        </w:tc>
        <w:tc>
          <w:tcPr>
            <w:tcW w:w="1885" w:type="dxa"/>
            <w:tcBorders>
              <w:top w:val="nil"/>
              <w:left w:val="nil"/>
              <w:bottom w:val="nil"/>
              <w:right w:val="nil"/>
            </w:tcBorders>
            <w:shd w:val="clear" w:color="auto" w:fill="auto"/>
            <w:vAlign w:val="center"/>
            <w:hideMark/>
          </w:tcPr>
          <w:p w14:paraId="6DB7EF43" w14:textId="77777777" w:rsidR="00C64298" w:rsidRPr="00C36419" w:rsidRDefault="00C64298" w:rsidP="005D130A">
            <w:pPr>
              <w:jc w:val="center"/>
              <w:rPr>
                <w:rFonts w:ascii="Times New Roman" w:hAnsi="Times New Roman" w:cs="Times New Roman"/>
                <w:color w:val="000000"/>
                <w:sz w:val="18"/>
                <w:szCs w:val="18"/>
              </w:rPr>
            </w:pPr>
            <w:r w:rsidRPr="00C36419">
              <w:rPr>
                <w:rFonts w:ascii="Courier New" w:hAnsi="Courier New" w:cs="Courier New"/>
                <w:color w:val="000000"/>
                <w:sz w:val="18"/>
                <w:szCs w:val="18"/>
              </w:rPr>
              <w:t>﻿</w:t>
            </w:r>
            <w:r w:rsidRPr="00C36419">
              <w:rPr>
                <w:rFonts w:ascii="Times New Roman" w:hAnsi="Times New Roman" w:cs="Times New Roman"/>
                <w:color w:val="000000"/>
                <w:sz w:val="18"/>
                <w:szCs w:val="18"/>
              </w:rPr>
              <w:t>Anthropometric model for orthosis customization</w:t>
            </w:r>
          </w:p>
        </w:tc>
        <w:tc>
          <w:tcPr>
            <w:tcW w:w="2554" w:type="dxa"/>
            <w:tcBorders>
              <w:top w:val="nil"/>
              <w:left w:val="nil"/>
              <w:bottom w:val="nil"/>
              <w:right w:val="nil"/>
            </w:tcBorders>
            <w:shd w:val="clear" w:color="auto" w:fill="auto"/>
            <w:vAlign w:val="center"/>
            <w:hideMark/>
          </w:tcPr>
          <w:p w14:paraId="4462D659" w14:textId="77777777" w:rsidR="00C64298" w:rsidRPr="00C36419" w:rsidRDefault="00C64298" w:rsidP="005D130A">
            <w:pPr>
              <w:jc w:val="center"/>
              <w:rPr>
                <w:rFonts w:ascii="Times New Roman" w:hAnsi="Times New Roman" w:cs="Times New Roman"/>
                <w:color w:val="000000"/>
                <w:sz w:val="18"/>
                <w:szCs w:val="18"/>
              </w:rPr>
            </w:pPr>
            <w:r w:rsidRPr="00C36419">
              <w:rPr>
                <w:rFonts w:ascii="Courier New" w:hAnsi="Courier New" w:cs="Courier New"/>
                <w:color w:val="000000"/>
                <w:sz w:val="18"/>
                <w:szCs w:val="18"/>
              </w:rPr>
              <w:t>﻿</w:t>
            </w:r>
            <w:r w:rsidRPr="00C36419">
              <w:rPr>
                <w:rFonts w:ascii="Times New Roman" w:hAnsi="Times New Roman" w:cs="Times New Roman"/>
                <w:color w:val="000000"/>
                <w:sz w:val="18"/>
                <w:szCs w:val="18"/>
              </w:rPr>
              <w:t>Prototype model optimization through gait analysis in the usage stage.</w:t>
            </w:r>
          </w:p>
        </w:tc>
        <w:tc>
          <w:tcPr>
            <w:tcW w:w="2924" w:type="dxa"/>
            <w:tcBorders>
              <w:top w:val="nil"/>
              <w:left w:val="nil"/>
              <w:bottom w:val="nil"/>
              <w:right w:val="nil"/>
            </w:tcBorders>
            <w:shd w:val="clear" w:color="auto" w:fill="auto"/>
            <w:vAlign w:val="center"/>
            <w:hideMark/>
          </w:tcPr>
          <w:p w14:paraId="1EC5FBA9" w14:textId="77777777" w:rsidR="00C64298" w:rsidRPr="00C36419" w:rsidRDefault="00C64298" w:rsidP="005D130A">
            <w:pPr>
              <w:jc w:val="center"/>
              <w:rPr>
                <w:rFonts w:ascii="Times New Roman" w:hAnsi="Times New Roman" w:cs="Times New Roman"/>
                <w:color w:val="000000"/>
                <w:sz w:val="18"/>
                <w:szCs w:val="18"/>
              </w:rPr>
            </w:pPr>
            <w:r w:rsidRPr="00C36419">
              <w:rPr>
                <w:rFonts w:ascii="Courier New" w:hAnsi="Courier New" w:cs="Courier New"/>
                <w:color w:val="000000"/>
                <w:sz w:val="18"/>
                <w:szCs w:val="18"/>
              </w:rPr>
              <w:t>﻿</w:t>
            </w:r>
            <w:r w:rsidRPr="00C36419">
              <w:rPr>
                <w:rFonts w:ascii="Times New Roman" w:hAnsi="Times New Roman" w:cs="Times New Roman"/>
                <w:color w:val="000000"/>
                <w:sz w:val="18"/>
                <w:szCs w:val="18"/>
              </w:rPr>
              <w:t>Accurate, easy, and quick customization for designers and a one-day visit experience for users.</w:t>
            </w:r>
          </w:p>
        </w:tc>
        <w:tc>
          <w:tcPr>
            <w:tcW w:w="1229" w:type="dxa"/>
            <w:tcBorders>
              <w:top w:val="nil"/>
              <w:left w:val="nil"/>
              <w:bottom w:val="nil"/>
              <w:right w:val="nil"/>
            </w:tcBorders>
            <w:shd w:val="clear" w:color="auto" w:fill="auto"/>
            <w:vAlign w:val="center"/>
            <w:hideMark/>
          </w:tcPr>
          <w:p w14:paraId="2C544861" w14:textId="77777777" w:rsidR="00C64298" w:rsidRPr="005D130A" w:rsidRDefault="00C64298" w:rsidP="005D130A">
            <w:pPr>
              <w:jc w:val="center"/>
              <w:rPr>
                <w:rFonts w:ascii="Times New Roman" w:hAnsi="Times New Roman" w:cs="Times New Roman"/>
                <w:color w:val="000000"/>
                <w:sz w:val="24"/>
                <w:szCs w:val="24"/>
              </w:rPr>
            </w:pPr>
            <w:r w:rsidRPr="005D130A">
              <w:rPr>
                <w:rFonts w:ascii="Times New Roman" w:hAnsi="Times New Roman" w:cs="Times New Roman"/>
                <w:color w:val="000000"/>
                <w:sz w:val="24"/>
                <w:szCs w:val="24"/>
              </w:rPr>
              <w:fldChar w:fldCharType="begin" w:fldLock="1"/>
            </w:r>
            <w:r w:rsidRPr="005D130A">
              <w:rPr>
                <w:rFonts w:ascii="Times New Roman" w:hAnsi="Times New Roman" w:cs="Times New Roman"/>
                <w:color w:val="000000"/>
                <w:sz w:val="24"/>
                <w:szCs w:val="24"/>
              </w:rPr>
              <w:instrText>ADDIN CSL_CITATION {"citationItems":[{"id":"ITEM-1","itemData":{"DOI":"10.1016/j.procir.2017.03.355","ISSN":"22128271","abstract":"This paper presents a cyber design and additive manufacturing (CDAM) system at the University of Michigan Orthotics and Prosthetics Center. This CDAM system aims at shortening the delivery and improving the fit and comfort of custom orthoses and prostheses. The ankle foot orthosis (AFO), a custom made brace that supports muscles and provides control and protection for feet, is selected as an example to demonstrate the CDAM system. Traditionally, custom orthoses are fabricated using plaster molding which requires multiple patient visits and extensive labor and fabrication time. Four key components: 1) the digital scanning of foot and leg geometry using a stand with transparent foot plate and ergonomic procedure for 3D optical scanning, 2) a cloud-based design software that enables clinicians to access scanned point cloud data on the geometry of patients' feet as well as create 3D models for AFOs based on patients' needs, 3) a cloud-based manufacturing software that generates tool paths and process parameters for additive manufacturing to fabricate the AFO, 4) the evaluation using inertia measurement unit (IMU) for measurement of the AFO motion for gait analysis. The feasibility of CDAM system for one-day delivery of AFOs to patients has been demonstrated.","author":[{"dropping-particle":"","family":"Shih","given":"Albert","non-dropping-particle":"","parse-names":false,"suffix":""},{"dropping-particle":"","family":"Park","given":"Dae Woo","non-dropping-particle":"","parse-names":false,"suffix":""},{"dropping-particle":"","family":"Yang","given":"Ya Yu","non-dropping-particle":"","parse-names":false,"suffix":""},{"dropping-particle":"","family":"Chisena","given":"Robert","non-dropping-particle":"","parse-names":false,"suffix":""},{"dropping-particle":"","family":"Wu","given":"Dazhong","non-dropping-particle":"","parse-names":false,"suffix":""}],"container-title":"Procedia CIRP","id":"ITEM-1","issued":{"date-parts":[["2017"]]},"title":"Cloud-based Design and Additive Manufacturing of Custom Orthoses","type":"paper-conference","volume":"63"},"uris":["http://www.mendeley.com/documents/?uuid=e433d822-661b-3445-96b8-c6044bfc5b83"]}],"mendeley":{"formattedCitation":"&lt;sup&gt;50&lt;/sup&gt;","plainTextFormattedCitation":"50","previouslyFormattedCitation":"(Shih &lt;i&gt;et al.&lt;/i&gt;, 2017)"},"properties":{"noteIndex":0},"schema":"https://github.com/citation-style-language/schema/raw/master/csl-citation.json"}</w:instrText>
            </w:r>
            <w:r w:rsidRPr="005D130A">
              <w:rPr>
                <w:rFonts w:ascii="Times New Roman" w:hAnsi="Times New Roman" w:cs="Times New Roman"/>
                <w:color w:val="000000"/>
                <w:sz w:val="24"/>
                <w:szCs w:val="24"/>
              </w:rPr>
              <w:fldChar w:fldCharType="separate"/>
            </w:r>
            <w:r w:rsidRPr="005D130A">
              <w:rPr>
                <w:rFonts w:ascii="Times New Roman" w:hAnsi="Times New Roman" w:cs="Times New Roman"/>
                <w:noProof/>
                <w:color w:val="000000"/>
                <w:sz w:val="24"/>
                <w:szCs w:val="24"/>
                <w:vertAlign w:val="superscript"/>
              </w:rPr>
              <w:t>50</w:t>
            </w:r>
            <w:r w:rsidRPr="005D130A">
              <w:rPr>
                <w:rFonts w:ascii="Times New Roman" w:hAnsi="Times New Roman" w:cs="Times New Roman"/>
                <w:color w:val="000000"/>
                <w:sz w:val="24"/>
                <w:szCs w:val="24"/>
              </w:rPr>
              <w:fldChar w:fldCharType="end"/>
            </w:r>
          </w:p>
        </w:tc>
      </w:tr>
      <w:tr w:rsidR="00C64298" w:rsidRPr="00C36419" w14:paraId="4B2053FD" w14:textId="77777777" w:rsidTr="005D130A">
        <w:trPr>
          <w:trHeight w:val="1267"/>
          <w:jc w:val="center"/>
        </w:trPr>
        <w:tc>
          <w:tcPr>
            <w:tcW w:w="1673" w:type="dxa"/>
            <w:tcBorders>
              <w:top w:val="nil"/>
              <w:left w:val="nil"/>
              <w:bottom w:val="nil"/>
              <w:right w:val="nil"/>
            </w:tcBorders>
            <w:shd w:val="clear" w:color="auto" w:fill="auto"/>
            <w:vAlign w:val="center"/>
            <w:hideMark/>
          </w:tcPr>
          <w:p w14:paraId="4209A6F5"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Dynamic collaboration between humans and robots</w:t>
            </w:r>
          </w:p>
        </w:tc>
        <w:tc>
          <w:tcPr>
            <w:tcW w:w="1849" w:type="dxa"/>
            <w:tcBorders>
              <w:top w:val="nil"/>
              <w:left w:val="nil"/>
              <w:bottom w:val="nil"/>
              <w:right w:val="nil"/>
            </w:tcBorders>
            <w:shd w:val="clear" w:color="auto" w:fill="auto"/>
            <w:vAlign w:val="center"/>
            <w:hideMark/>
          </w:tcPr>
          <w:p w14:paraId="0756E30B"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Image data of environmental factors affecting human robots</w:t>
            </w:r>
          </w:p>
        </w:tc>
        <w:tc>
          <w:tcPr>
            <w:tcW w:w="2255" w:type="dxa"/>
            <w:tcBorders>
              <w:top w:val="nil"/>
              <w:left w:val="nil"/>
              <w:bottom w:val="nil"/>
              <w:right w:val="nil"/>
            </w:tcBorders>
            <w:shd w:val="clear" w:color="auto" w:fill="auto"/>
            <w:vAlign w:val="center"/>
            <w:hideMark/>
          </w:tcPr>
          <w:p w14:paraId="2B50CEE6" w14:textId="44700926" w:rsidR="00C64298" w:rsidRPr="00C36419" w:rsidRDefault="005D130A"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Utilizing</w:t>
            </w:r>
            <w:r w:rsidR="00C64298" w:rsidRPr="00C36419">
              <w:rPr>
                <w:rFonts w:ascii="Times New Roman" w:hAnsi="Times New Roman" w:cs="Times New Roman"/>
                <w:color w:val="000000"/>
                <w:sz w:val="18"/>
                <w:szCs w:val="18"/>
              </w:rPr>
              <w:t xml:space="preserve"> the FSNNs methodology to map data to neurons and decode the spike signal into robot instructions.</w:t>
            </w:r>
          </w:p>
        </w:tc>
        <w:tc>
          <w:tcPr>
            <w:tcW w:w="1885" w:type="dxa"/>
            <w:tcBorders>
              <w:top w:val="nil"/>
              <w:left w:val="nil"/>
              <w:bottom w:val="nil"/>
              <w:right w:val="nil"/>
            </w:tcBorders>
            <w:shd w:val="clear" w:color="auto" w:fill="auto"/>
            <w:vAlign w:val="center"/>
            <w:hideMark/>
          </w:tcPr>
          <w:p w14:paraId="561E2658"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Cognitive model for predicting collaborative requests</w:t>
            </w:r>
          </w:p>
        </w:tc>
        <w:tc>
          <w:tcPr>
            <w:tcW w:w="2554" w:type="dxa"/>
            <w:tcBorders>
              <w:top w:val="nil"/>
              <w:left w:val="nil"/>
              <w:bottom w:val="nil"/>
              <w:right w:val="nil"/>
            </w:tcBorders>
            <w:shd w:val="clear" w:color="auto" w:fill="auto"/>
            <w:vAlign w:val="center"/>
            <w:hideMark/>
          </w:tcPr>
          <w:p w14:paraId="5DB1E12C" w14:textId="4744F6D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 xml:space="preserve">The update of robot decisions occurs concurrently with the alteration of human </w:t>
            </w:r>
            <w:r w:rsidR="005D130A" w:rsidRPr="00C36419">
              <w:rPr>
                <w:rFonts w:ascii="Times New Roman" w:hAnsi="Times New Roman" w:cs="Times New Roman"/>
                <w:color w:val="000000"/>
                <w:sz w:val="18"/>
                <w:szCs w:val="18"/>
              </w:rPr>
              <w:t>behavior</w:t>
            </w:r>
            <w:r w:rsidRPr="00C36419">
              <w:rPr>
                <w:rFonts w:ascii="Times New Roman" w:hAnsi="Times New Roman" w:cs="Times New Roman"/>
                <w:color w:val="000000"/>
                <w:sz w:val="18"/>
                <w:szCs w:val="18"/>
              </w:rPr>
              <w:t>.</w:t>
            </w:r>
          </w:p>
        </w:tc>
        <w:tc>
          <w:tcPr>
            <w:tcW w:w="2924" w:type="dxa"/>
            <w:tcBorders>
              <w:top w:val="nil"/>
              <w:left w:val="nil"/>
              <w:bottom w:val="nil"/>
              <w:right w:val="nil"/>
            </w:tcBorders>
            <w:shd w:val="clear" w:color="auto" w:fill="auto"/>
            <w:vAlign w:val="center"/>
            <w:hideMark/>
          </w:tcPr>
          <w:p w14:paraId="0C1841B5"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Elimination of repetitious robot monitoring and control tasks and provision of the operator with real-time adaptive robot assistance.</w:t>
            </w:r>
          </w:p>
        </w:tc>
        <w:tc>
          <w:tcPr>
            <w:tcW w:w="1229" w:type="dxa"/>
            <w:tcBorders>
              <w:top w:val="nil"/>
              <w:left w:val="nil"/>
              <w:bottom w:val="nil"/>
              <w:right w:val="nil"/>
            </w:tcBorders>
            <w:shd w:val="clear" w:color="auto" w:fill="auto"/>
            <w:vAlign w:val="center"/>
            <w:hideMark/>
          </w:tcPr>
          <w:p w14:paraId="199D85BD" w14:textId="77777777" w:rsidR="00C64298" w:rsidRPr="005D130A" w:rsidRDefault="00C64298" w:rsidP="005D130A">
            <w:pPr>
              <w:jc w:val="center"/>
              <w:rPr>
                <w:rFonts w:ascii="Times New Roman" w:hAnsi="Times New Roman" w:cs="Times New Roman"/>
                <w:color w:val="000000"/>
                <w:sz w:val="24"/>
                <w:szCs w:val="24"/>
              </w:rPr>
            </w:pPr>
            <w:r w:rsidRPr="005D130A">
              <w:rPr>
                <w:rFonts w:ascii="Times New Roman" w:hAnsi="Times New Roman" w:cs="Times New Roman"/>
                <w:color w:val="000000"/>
                <w:sz w:val="24"/>
                <w:szCs w:val="24"/>
              </w:rPr>
              <w:fldChar w:fldCharType="begin" w:fldLock="1"/>
            </w:r>
            <w:r w:rsidRPr="005D130A">
              <w:rPr>
                <w:rFonts w:ascii="Times New Roman" w:hAnsi="Times New Roman" w:cs="Times New Roman"/>
                <w:color w:val="000000"/>
                <w:sz w:val="24"/>
                <w:szCs w:val="24"/>
              </w:rPr>
              <w:instrText>ADDIN CSL_CITATION {"citationItems":[{"id":"ITEM-1","itemData":{"DOI":"10.1016/j.rcim.2022.102383","ISSN":"07365845","abstract":"In human-robot collaborative (HRC) manufacturing systems, how the collaborative robots engage in the collaborative tasks and complete the corresponding work in a timely manner according to the actual state has been a critical factor that hinders the efficiency of HRC. Inappropriate collaborative behaviors will result in a poor perceptual experience for human operators (e.g., robots starting action too early or too late). To address this issue, a fusion-based spiking neural networks (FSNNs) approach for collaboration request prediction is proposed, aiming to find the right collaboration timing for robots in HRC assembly system and to minimize human aversion without affecting human operation behaviors. By encoding human behavior, product state and robot pose into spiking signals that can be processed by FSNNs, the spatio-temporal coupling relationship between those three aspects can be comprehensively analyzed, and to solve the appropriate timing of robot participation in collaboration. Finally, demonstrative experiments are carried out on the HRC assembly of generator end caps in the lab environment. Compared with the baseline methods, the decision accuracy of the proposed one is improved by nearly 30%, which further proves its effectiveness.","author":[{"dropping-particle":"","family":"Zhang","given":"Rong","non-dropping-particle":"","parse-names":false,"suffix":""},{"dropping-particle":"","family":"Li","given":"Jie","non-dropping-particle":"","parse-names":false,"suffix":""},{"dropping-particle":"","family":"Zheng","given":"Pai","non-dropping-particle":"","parse-names":false,"suffix":""},{"dropping-particle":"","family":"Lu","given":"Yuqian","non-dropping-particle":"","parse-names":false,"suffix":""},{"dropping-particle":"","family":"Bao","given":"Jinsong","non-dropping-particle":"","parse-names":false,"suffix":""},{"dropping-particle":"","family":"Sun","given":"Xuemin","non-dropping-particle":"","parse-names":false,"suffix":""}],"container-title":"Robotics and Computer-Integrated Manufacturing","id":"ITEM-1","issued":{"date-parts":[["2022"]]},"title":"A fusion-based spiking neural network approach for predicting collaboration request in human-robot collaboration","type":"article-journal","volume":"78"},"uris":["http://www.mendeley.com/documents/?uuid=2b83e776-19ce-3bdb-96f7-6ebfdf55c745"]}],"mendeley":{"formattedCitation":"&lt;sup&gt;51&lt;/sup&gt;","plainTextFormattedCitation":"51","previouslyFormattedCitation":"(Zhang, Li, &lt;i&gt;et al.&lt;/i&gt;, 2022)"},"properties":{"noteIndex":0},"schema":"https://github.com/citation-style-language/schema/raw/master/csl-citation.json"}</w:instrText>
            </w:r>
            <w:r w:rsidRPr="005D130A">
              <w:rPr>
                <w:rFonts w:ascii="Times New Roman" w:hAnsi="Times New Roman" w:cs="Times New Roman"/>
                <w:color w:val="000000"/>
                <w:sz w:val="24"/>
                <w:szCs w:val="24"/>
              </w:rPr>
              <w:fldChar w:fldCharType="separate"/>
            </w:r>
            <w:r w:rsidRPr="005D130A">
              <w:rPr>
                <w:rFonts w:ascii="Times New Roman" w:hAnsi="Times New Roman" w:cs="Times New Roman"/>
                <w:noProof/>
                <w:color w:val="000000"/>
                <w:sz w:val="24"/>
                <w:szCs w:val="24"/>
                <w:vertAlign w:val="superscript"/>
              </w:rPr>
              <w:t>51</w:t>
            </w:r>
            <w:r w:rsidRPr="005D130A">
              <w:rPr>
                <w:rFonts w:ascii="Times New Roman" w:hAnsi="Times New Roman" w:cs="Times New Roman"/>
                <w:color w:val="000000"/>
                <w:sz w:val="24"/>
                <w:szCs w:val="24"/>
              </w:rPr>
              <w:fldChar w:fldCharType="end"/>
            </w:r>
          </w:p>
        </w:tc>
      </w:tr>
      <w:tr w:rsidR="00C64298" w:rsidRPr="00C36419" w14:paraId="0320B622" w14:textId="77777777" w:rsidTr="005D130A">
        <w:trPr>
          <w:trHeight w:val="1129"/>
          <w:jc w:val="center"/>
        </w:trPr>
        <w:tc>
          <w:tcPr>
            <w:tcW w:w="1673" w:type="dxa"/>
            <w:tcBorders>
              <w:top w:val="nil"/>
              <w:left w:val="nil"/>
              <w:bottom w:val="nil"/>
              <w:right w:val="nil"/>
            </w:tcBorders>
            <w:shd w:val="clear" w:color="auto" w:fill="auto"/>
            <w:vAlign w:val="center"/>
            <w:hideMark/>
          </w:tcPr>
          <w:p w14:paraId="3242F0D2" w14:textId="77777777" w:rsidR="00C64298" w:rsidRPr="00C36419" w:rsidRDefault="00C64298" w:rsidP="005D130A">
            <w:pPr>
              <w:jc w:val="center"/>
              <w:rPr>
                <w:rFonts w:ascii="Times New Roman" w:hAnsi="Times New Roman" w:cs="Times New Roman"/>
                <w:color w:val="000000"/>
                <w:sz w:val="18"/>
                <w:szCs w:val="18"/>
              </w:rPr>
            </w:pPr>
            <w:r w:rsidRPr="00C36419">
              <w:rPr>
                <w:rFonts w:ascii="Courier New" w:hAnsi="Courier New" w:cs="Courier New"/>
                <w:color w:val="000000"/>
                <w:sz w:val="18"/>
                <w:szCs w:val="18"/>
              </w:rPr>
              <w:t>﻿</w:t>
            </w:r>
            <w:r w:rsidRPr="00C36419">
              <w:rPr>
                <w:rFonts w:ascii="Times New Roman" w:hAnsi="Times New Roman" w:cs="Times New Roman"/>
                <w:color w:val="000000"/>
                <w:sz w:val="18"/>
                <w:szCs w:val="18"/>
              </w:rPr>
              <w:t>Operator safety and worker management</w:t>
            </w:r>
          </w:p>
        </w:tc>
        <w:tc>
          <w:tcPr>
            <w:tcW w:w="1849" w:type="dxa"/>
            <w:tcBorders>
              <w:top w:val="nil"/>
              <w:left w:val="nil"/>
              <w:bottom w:val="nil"/>
              <w:right w:val="nil"/>
            </w:tcBorders>
            <w:shd w:val="clear" w:color="auto" w:fill="auto"/>
            <w:vAlign w:val="center"/>
            <w:hideMark/>
          </w:tcPr>
          <w:p w14:paraId="4D1D6EF2" w14:textId="77777777" w:rsidR="00C64298" w:rsidRPr="00C36419" w:rsidRDefault="00C64298" w:rsidP="005D130A">
            <w:pPr>
              <w:jc w:val="center"/>
              <w:rPr>
                <w:rFonts w:ascii="Times New Roman" w:hAnsi="Times New Roman" w:cs="Times New Roman"/>
                <w:color w:val="000000"/>
                <w:sz w:val="18"/>
                <w:szCs w:val="18"/>
              </w:rPr>
            </w:pPr>
            <w:r w:rsidRPr="00C36419">
              <w:rPr>
                <w:rFonts w:ascii="Courier New" w:hAnsi="Courier New" w:cs="Courier New"/>
                <w:color w:val="000000"/>
                <w:sz w:val="18"/>
                <w:szCs w:val="18"/>
              </w:rPr>
              <w:t>﻿</w:t>
            </w:r>
            <w:r w:rsidRPr="00C36419">
              <w:rPr>
                <w:rFonts w:ascii="Times New Roman" w:hAnsi="Times New Roman" w:cs="Times New Roman"/>
                <w:color w:val="000000"/>
                <w:sz w:val="18"/>
                <w:szCs w:val="18"/>
              </w:rPr>
              <w:t>Real-time location coordinates and musculoskeletal data</w:t>
            </w:r>
          </w:p>
        </w:tc>
        <w:tc>
          <w:tcPr>
            <w:tcW w:w="2255" w:type="dxa"/>
            <w:tcBorders>
              <w:top w:val="nil"/>
              <w:left w:val="nil"/>
              <w:bottom w:val="nil"/>
              <w:right w:val="nil"/>
            </w:tcBorders>
            <w:shd w:val="clear" w:color="auto" w:fill="auto"/>
            <w:vAlign w:val="center"/>
            <w:hideMark/>
          </w:tcPr>
          <w:p w14:paraId="7D361EC4"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Fatigue analysis and safety evaluation via localization and posture detection.</w:t>
            </w:r>
          </w:p>
        </w:tc>
        <w:tc>
          <w:tcPr>
            <w:tcW w:w="1885" w:type="dxa"/>
            <w:tcBorders>
              <w:top w:val="nil"/>
              <w:left w:val="nil"/>
              <w:bottom w:val="nil"/>
              <w:right w:val="nil"/>
            </w:tcBorders>
            <w:shd w:val="clear" w:color="auto" w:fill="auto"/>
            <w:vAlign w:val="center"/>
            <w:hideMark/>
          </w:tcPr>
          <w:p w14:paraId="204731C7"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A physical model including position, ergonomic, and motion detection</w:t>
            </w:r>
          </w:p>
        </w:tc>
        <w:tc>
          <w:tcPr>
            <w:tcW w:w="2554" w:type="dxa"/>
            <w:tcBorders>
              <w:top w:val="nil"/>
              <w:left w:val="nil"/>
              <w:bottom w:val="nil"/>
              <w:right w:val="nil"/>
            </w:tcBorders>
            <w:shd w:val="clear" w:color="auto" w:fill="auto"/>
            <w:vAlign w:val="center"/>
            <w:hideMark/>
          </w:tcPr>
          <w:p w14:paraId="664D5A69"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Precautions, adjusting work posture, and ensuring productivity in accordance with anticipated outcomes.</w:t>
            </w:r>
          </w:p>
        </w:tc>
        <w:tc>
          <w:tcPr>
            <w:tcW w:w="2924" w:type="dxa"/>
            <w:tcBorders>
              <w:top w:val="nil"/>
              <w:left w:val="nil"/>
              <w:bottom w:val="nil"/>
              <w:right w:val="nil"/>
            </w:tcBorders>
            <w:shd w:val="clear" w:color="auto" w:fill="auto"/>
            <w:vAlign w:val="center"/>
            <w:hideMark/>
          </w:tcPr>
          <w:p w14:paraId="4092540C"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Enabling administrators to oversee and render decisions at any moment and in any location.</w:t>
            </w:r>
          </w:p>
        </w:tc>
        <w:tc>
          <w:tcPr>
            <w:tcW w:w="1229" w:type="dxa"/>
            <w:tcBorders>
              <w:top w:val="nil"/>
              <w:left w:val="nil"/>
              <w:bottom w:val="nil"/>
              <w:right w:val="nil"/>
            </w:tcBorders>
            <w:shd w:val="clear" w:color="auto" w:fill="auto"/>
            <w:vAlign w:val="center"/>
            <w:hideMark/>
          </w:tcPr>
          <w:p w14:paraId="48AF2B66" w14:textId="77777777" w:rsidR="00C64298" w:rsidRPr="005D130A" w:rsidRDefault="00C64298" w:rsidP="005D130A">
            <w:pPr>
              <w:jc w:val="center"/>
              <w:rPr>
                <w:rFonts w:ascii="Times New Roman" w:hAnsi="Times New Roman" w:cs="Times New Roman"/>
                <w:color w:val="000000"/>
                <w:sz w:val="24"/>
                <w:szCs w:val="24"/>
              </w:rPr>
            </w:pPr>
            <w:r w:rsidRPr="005D130A">
              <w:rPr>
                <w:rFonts w:ascii="Times New Roman" w:hAnsi="Times New Roman" w:cs="Times New Roman"/>
                <w:color w:val="000000"/>
                <w:sz w:val="24"/>
                <w:szCs w:val="24"/>
              </w:rPr>
              <w:fldChar w:fldCharType="begin" w:fldLock="1"/>
            </w:r>
            <w:r w:rsidRPr="005D130A">
              <w:rPr>
                <w:rFonts w:ascii="Times New Roman" w:hAnsi="Times New Roman" w:cs="Times New Roman"/>
                <w:color w:val="000000"/>
                <w:sz w:val="24"/>
                <w:szCs w:val="24"/>
              </w:rPr>
              <w:instrText>ADDIN CSL_CITATION {"citationItems":[{"id":"ITEM-1","itemData":{"DOI":"10.1007/978-3-031-16411-8_61","ISSN":"1868422X","abstract":"The value-driven Industry 5.0 has brought a shift in the approach towards worker well-being. However, the understanding of the effects on workers due to technological advancements of Industry 4.0, based on a human-centric approach, is limited. The reason for this limitation is that the tools are scarce, which is quantitatively evaluating and analyzing various factors in the workplace. To solve this problem, we propose a human digital twin system supporting decision-making regarding safety management and work management of workers. The human digital twin system consists of a digital twin module, an analysis module, and a visualization module. The proposed system connects a physical human and a virtual digital human model; analyzes the location, posture, and motion-time of workers; and delivers information about safety and work management. This information enables workers and managers to improve the work environment by making them resilient to workplace factors.","author":[{"dropping-particle":"","family":"Kim","given":"Goo Young","non-dropping-particle":"","parse-names":false,"suffix":""},{"dropping-particle":"","family":"Kim","given":"Donghun","non-dropping-particle":"","parse-names":false,"suffix":""},{"dropping-particle":"","family":"Noh","given":"Sang","non-dropping-particle":"Do","parse-names":false,"suffix":""},{"dropping-particle":"","family":"Han","given":"Hong Ku","non-dropping-particle":"","parse-names":false,"suffix":""},{"dropping-particle":"","family":"Kim","given":"Nam Geun","non-dropping-particle":"","parse-names":false,"suffix":""},{"dropping-particle":"","family":"Kang","given":"Yong Shin","non-dropping-particle":"","parse-names":false,"suffix":""},{"dropping-particle":"","family":"Choi","given":"Seung Hyun","non-dropping-particle":"","parse-names":false,"suffix":""},{"dropping-particle":"","family":"Go","given":"Dong Hyun","non-dropping-particle":"","parse-names":false,"suffix":""},{"dropping-particle":"","family":"Song","given":"Jungmin","non-dropping-particle":"","parse-names":false,"suffix":""},{"dropping-particle":"","family":"Lee","given":"Dae Yub","non-dropping-particle":"","parse-names":false,"suffix":""},{"dropping-particle":"","family":"Kim","given":"Hyung Sun","non-dropping-particle":"","parse-names":false,"suffix":""}],"container-title":"IFIP Advances in Information and Communication Technology","id":"ITEM-1","issued":{"date-parts":[["2022"]]},"title":"Human Digital Twin System for Operator Safety and Work Management","type":"paper-conference","volume":"664 IFIP"},"uris":["http://www.mendeley.com/documents/?uuid=bd5d3ad8-9443-3848-95a1-38790b1da183"]}],"mendeley":{"formattedCitation":"&lt;sup&gt;52&lt;/sup&gt;","plainTextFormattedCitation":"52","previouslyFormattedCitation":"(Kim &lt;i&gt;et al.&lt;/i&gt;, 2022)"},"properties":{"noteIndex":0},"schema":"https://github.com/citation-style-language/schema/raw/master/csl-citation.json"}</w:instrText>
            </w:r>
            <w:r w:rsidRPr="005D130A">
              <w:rPr>
                <w:rFonts w:ascii="Times New Roman" w:hAnsi="Times New Roman" w:cs="Times New Roman"/>
                <w:color w:val="000000"/>
                <w:sz w:val="24"/>
                <w:szCs w:val="24"/>
              </w:rPr>
              <w:fldChar w:fldCharType="separate"/>
            </w:r>
            <w:r w:rsidRPr="005D130A">
              <w:rPr>
                <w:rFonts w:ascii="Times New Roman" w:hAnsi="Times New Roman" w:cs="Times New Roman"/>
                <w:noProof/>
                <w:color w:val="000000"/>
                <w:sz w:val="24"/>
                <w:szCs w:val="24"/>
                <w:vertAlign w:val="superscript"/>
              </w:rPr>
              <w:t>52</w:t>
            </w:r>
            <w:r w:rsidRPr="005D130A">
              <w:rPr>
                <w:rFonts w:ascii="Times New Roman" w:hAnsi="Times New Roman" w:cs="Times New Roman"/>
                <w:color w:val="000000"/>
                <w:sz w:val="24"/>
                <w:szCs w:val="24"/>
              </w:rPr>
              <w:fldChar w:fldCharType="end"/>
            </w:r>
          </w:p>
        </w:tc>
      </w:tr>
      <w:tr w:rsidR="00C64298" w:rsidRPr="00C36419" w14:paraId="487D5086" w14:textId="77777777" w:rsidTr="005D130A">
        <w:trPr>
          <w:trHeight w:val="1003"/>
          <w:jc w:val="center"/>
        </w:trPr>
        <w:tc>
          <w:tcPr>
            <w:tcW w:w="1673" w:type="dxa"/>
            <w:tcBorders>
              <w:top w:val="nil"/>
              <w:left w:val="nil"/>
              <w:right w:val="nil"/>
            </w:tcBorders>
            <w:shd w:val="clear" w:color="auto" w:fill="auto"/>
            <w:vAlign w:val="center"/>
            <w:hideMark/>
          </w:tcPr>
          <w:p w14:paraId="18F7F42C"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Adaptation of the layout to ergonomics</w:t>
            </w:r>
          </w:p>
        </w:tc>
        <w:tc>
          <w:tcPr>
            <w:tcW w:w="1849" w:type="dxa"/>
            <w:tcBorders>
              <w:top w:val="nil"/>
              <w:left w:val="nil"/>
              <w:right w:val="nil"/>
            </w:tcBorders>
            <w:shd w:val="clear" w:color="auto" w:fill="auto"/>
            <w:vAlign w:val="center"/>
            <w:hideMark/>
          </w:tcPr>
          <w:p w14:paraId="7B5EE9D7"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Data on posture angles</w:t>
            </w:r>
          </w:p>
        </w:tc>
        <w:tc>
          <w:tcPr>
            <w:tcW w:w="2255" w:type="dxa"/>
            <w:tcBorders>
              <w:top w:val="nil"/>
              <w:left w:val="nil"/>
              <w:right w:val="nil"/>
            </w:tcBorders>
            <w:shd w:val="clear" w:color="auto" w:fill="auto"/>
            <w:vAlign w:val="center"/>
            <w:hideMark/>
          </w:tcPr>
          <w:p w14:paraId="033DD43F"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An ergonomic evaluation using numbers for four distinct risk indices.</w:t>
            </w:r>
          </w:p>
        </w:tc>
        <w:tc>
          <w:tcPr>
            <w:tcW w:w="1885" w:type="dxa"/>
            <w:tcBorders>
              <w:top w:val="nil"/>
              <w:left w:val="nil"/>
              <w:right w:val="nil"/>
            </w:tcBorders>
            <w:shd w:val="clear" w:color="auto" w:fill="auto"/>
            <w:vAlign w:val="center"/>
            <w:hideMark/>
          </w:tcPr>
          <w:p w14:paraId="7604212B"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Physical ergonomic model and dynamic posture model</w:t>
            </w:r>
          </w:p>
        </w:tc>
        <w:tc>
          <w:tcPr>
            <w:tcW w:w="2554" w:type="dxa"/>
            <w:tcBorders>
              <w:top w:val="nil"/>
              <w:left w:val="nil"/>
              <w:right w:val="nil"/>
            </w:tcBorders>
            <w:shd w:val="clear" w:color="auto" w:fill="auto"/>
            <w:vAlign w:val="center"/>
            <w:hideMark/>
          </w:tcPr>
          <w:p w14:paraId="177955E1" w14:textId="5C033165" w:rsidR="00C64298" w:rsidRPr="00C36419" w:rsidRDefault="005D130A"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Analyzing</w:t>
            </w:r>
            <w:r w:rsidR="00C64298" w:rsidRPr="00C36419">
              <w:rPr>
                <w:rFonts w:ascii="Times New Roman" w:hAnsi="Times New Roman" w:cs="Times New Roman"/>
                <w:color w:val="000000"/>
                <w:sz w:val="18"/>
                <w:szCs w:val="18"/>
              </w:rPr>
              <w:t>, implementing, simulating, and assessing modification strategies for identified critical issues.</w:t>
            </w:r>
          </w:p>
        </w:tc>
        <w:tc>
          <w:tcPr>
            <w:tcW w:w="2924" w:type="dxa"/>
            <w:tcBorders>
              <w:top w:val="nil"/>
              <w:left w:val="nil"/>
              <w:right w:val="nil"/>
            </w:tcBorders>
            <w:shd w:val="clear" w:color="auto" w:fill="auto"/>
            <w:vAlign w:val="center"/>
            <w:hideMark/>
          </w:tcPr>
          <w:p w14:paraId="24E04878"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Physicians and ergonomists are then able to concentrate on problem identification and solution proposal.</w:t>
            </w:r>
          </w:p>
        </w:tc>
        <w:tc>
          <w:tcPr>
            <w:tcW w:w="1229" w:type="dxa"/>
            <w:tcBorders>
              <w:top w:val="nil"/>
              <w:left w:val="nil"/>
              <w:right w:val="nil"/>
            </w:tcBorders>
            <w:shd w:val="clear" w:color="auto" w:fill="auto"/>
            <w:vAlign w:val="center"/>
            <w:hideMark/>
          </w:tcPr>
          <w:p w14:paraId="4B48F21E" w14:textId="77777777" w:rsidR="00C64298" w:rsidRPr="005D130A" w:rsidRDefault="00C64298" w:rsidP="005D130A">
            <w:pPr>
              <w:jc w:val="center"/>
              <w:rPr>
                <w:rFonts w:ascii="Times New Roman" w:hAnsi="Times New Roman" w:cs="Times New Roman"/>
                <w:color w:val="000000"/>
                <w:sz w:val="24"/>
                <w:szCs w:val="24"/>
              </w:rPr>
            </w:pPr>
            <w:r w:rsidRPr="005D130A">
              <w:rPr>
                <w:rFonts w:ascii="Times New Roman" w:hAnsi="Times New Roman" w:cs="Times New Roman"/>
                <w:color w:val="000000"/>
                <w:sz w:val="24"/>
                <w:szCs w:val="24"/>
              </w:rPr>
              <w:fldChar w:fldCharType="begin" w:fldLock="1"/>
            </w:r>
            <w:r w:rsidRPr="005D130A">
              <w:rPr>
                <w:rFonts w:ascii="Times New Roman" w:hAnsi="Times New Roman" w:cs="Times New Roman"/>
                <w:color w:val="000000"/>
                <w:sz w:val="24"/>
                <w:szCs w:val="24"/>
              </w:rPr>
              <w:instrText>ADDIN CSL_CITATION {"citationItems":[{"id":"ITEM-1","itemData":{"DOI":"10.3390/app10217758","ISSN":"20763417","abstract":"Within the era of smart factories, concerning the ergonomics related to production processes, the Digital Twin (DT) is the key to set up novel models for monitoring the performance of manual work activities, which are able to provide results in near real time and to support the decision-making process for improving the working conditions. This paper aims to propose a methodological framework that, by implementing a human DT, and supports the monitoring and the decision making regarding the ergonomics performances of manual production lines. A case study, carried out in a laboratory, is presented for demonstrating the applicability and the effectiveness of the proposed framework. The results show how it is possible to identify the operational issues of a manual workstation and how it is possible to propose and test improving solutions.","author":[{"dropping-particle":"","family":"Greco","given":"Alessandro","non-dropping-particle":"","parse-names":false,"suffix":""},{"dropping-particle":"","family":"Caterino","given":"Mario","non-dropping-particle":"","parse-names":false,"suffix":""},{"dropping-particle":"","family":"Fera","given":"Marcello","non-dropping-particle":"","parse-names":false,"suffix":""},{"dropping-particle":"","family":"Gerbino","given":"Salvatore","non-dropping-particle":"","parse-names":false,"suffix":""}],"container-title":"Applied Sciences (Switzerland)","id":"ITEM-1","issue":"21","issued":{"date-parts":[["2020"]]},"title":"Digital twin for monitoring ergonomics during manufacturing production","type":"article-journal","volume":"10"},"uris":["http://www.mendeley.com/documents/?uuid=500c1dd0-7a77-381d-855f-455045cc1388"]}],"mendeley":{"formattedCitation":"&lt;sup&gt;53&lt;/sup&gt;","plainTextFormattedCitation":"53","previouslyFormattedCitation":"(Greco &lt;i&gt;et al.&lt;/i&gt;, 2020)"},"properties":{"noteIndex":0},"schema":"https://github.com/citation-style-language/schema/raw/master/csl-citation.json"}</w:instrText>
            </w:r>
            <w:r w:rsidRPr="005D130A">
              <w:rPr>
                <w:rFonts w:ascii="Times New Roman" w:hAnsi="Times New Roman" w:cs="Times New Roman"/>
                <w:color w:val="000000"/>
                <w:sz w:val="24"/>
                <w:szCs w:val="24"/>
              </w:rPr>
              <w:fldChar w:fldCharType="separate"/>
            </w:r>
            <w:r w:rsidRPr="005D130A">
              <w:rPr>
                <w:rFonts w:ascii="Times New Roman" w:hAnsi="Times New Roman" w:cs="Times New Roman"/>
                <w:noProof/>
                <w:color w:val="000000"/>
                <w:sz w:val="24"/>
                <w:szCs w:val="24"/>
                <w:vertAlign w:val="superscript"/>
              </w:rPr>
              <w:t>53</w:t>
            </w:r>
            <w:r w:rsidRPr="005D130A">
              <w:rPr>
                <w:rFonts w:ascii="Times New Roman" w:hAnsi="Times New Roman" w:cs="Times New Roman"/>
                <w:color w:val="000000"/>
                <w:sz w:val="24"/>
                <w:szCs w:val="24"/>
              </w:rPr>
              <w:fldChar w:fldCharType="end"/>
            </w:r>
          </w:p>
        </w:tc>
      </w:tr>
      <w:tr w:rsidR="00C64298" w:rsidRPr="00C36419" w14:paraId="4E9B6016" w14:textId="77777777" w:rsidTr="005D130A">
        <w:trPr>
          <w:trHeight w:val="1557"/>
          <w:jc w:val="center"/>
        </w:trPr>
        <w:tc>
          <w:tcPr>
            <w:tcW w:w="1673" w:type="dxa"/>
            <w:tcBorders>
              <w:top w:val="nil"/>
              <w:left w:val="nil"/>
              <w:bottom w:val="single" w:sz="4" w:space="0" w:color="auto"/>
              <w:right w:val="nil"/>
            </w:tcBorders>
            <w:shd w:val="clear" w:color="auto" w:fill="auto"/>
            <w:vAlign w:val="center"/>
            <w:hideMark/>
          </w:tcPr>
          <w:p w14:paraId="0A87068A"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Human knowledge-based decision support for maintenance</w:t>
            </w:r>
          </w:p>
        </w:tc>
        <w:tc>
          <w:tcPr>
            <w:tcW w:w="1849" w:type="dxa"/>
            <w:tcBorders>
              <w:top w:val="nil"/>
              <w:left w:val="nil"/>
              <w:bottom w:val="single" w:sz="4" w:space="0" w:color="auto"/>
              <w:right w:val="nil"/>
            </w:tcBorders>
            <w:shd w:val="clear" w:color="auto" w:fill="auto"/>
            <w:vAlign w:val="center"/>
            <w:hideMark/>
          </w:tcPr>
          <w:p w14:paraId="79129826" w14:textId="362BC8E0"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 xml:space="preserve">Textual maintenance requirements </w:t>
            </w:r>
            <w:r w:rsidR="005D130A" w:rsidRPr="00C36419">
              <w:rPr>
                <w:rFonts w:ascii="Times New Roman" w:hAnsi="Times New Roman" w:cs="Times New Roman"/>
                <w:color w:val="000000"/>
                <w:sz w:val="18"/>
                <w:szCs w:val="18"/>
              </w:rPr>
              <w:t>the</w:t>
            </w:r>
            <w:r w:rsidRPr="00C36419">
              <w:rPr>
                <w:rFonts w:ascii="Times New Roman" w:hAnsi="Times New Roman" w:cs="Times New Roman"/>
                <w:color w:val="000000"/>
                <w:sz w:val="18"/>
                <w:szCs w:val="18"/>
              </w:rPr>
              <w:t xml:space="preserve"> process of calculating</w:t>
            </w:r>
          </w:p>
        </w:tc>
        <w:tc>
          <w:tcPr>
            <w:tcW w:w="2255" w:type="dxa"/>
            <w:tcBorders>
              <w:top w:val="nil"/>
              <w:left w:val="nil"/>
              <w:bottom w:val="single" w:sz="4" w:space="0" w:color="auto"/>
              <w:right w:val="nil"/>
            </w:tcBorders>
            <w:shd w:val="clear" w:color="auto" w:fill="auto"/>
            <w:vAlign w:val="center"/>
            <w:hideMark/>
          </w:tcPr>
          <w:p w14:paraId="5963D699" w14:textId="72299328" w:rsidR="00C64298" w:rsidRPr="00C36419" w:rsidRDefault="005D130A"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Analyzing</w:t>
            </w:r>
            <w:r w:rsidR="00C64298" w:rsidRPr="00C36419">
              <w:rPr>
                <w:rFonts w:ascii="Times New Roman" w:hAnsi="Times New Roman" w:cs="Times New Roman"/>
                <w:color w:val="000000"/>
                <w:sz w:val="18"/>
                <w:szCs w:val="18"/>
              </w:rPr>
              <w:t xml:space="preserve"> similarities between current cases and those previously recorded in the knowledge base.</w:t>
            </w:r>
          </w:p>
        </w:tc>
        <w:tc>
          <w:tcPr>
            <w:tcW w:w="1885" w:type="dxa"/>
            <w:tcBorders>
              <w:top w:val="nil"/>
              <w:left w:val="nil"/>
              <w:bottom w:val="single" w:sz="4" w:space="0" w:color="auto"/>
              <w:right w:val="nil"/>
            </w:tcBorders>
            <w:shd w:val="clear" w:color="auto" w:fill="auto"/>
            <w:vAlign w:val="center"/>
            <w:hideMark/>
          </w:tcPr>
          <w:p w14:paraId="662CA1E4"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A cognitive framework for making maintenance decisions based on knowledge</w:t>
            </w:r>
          </w:p>
        </w:tc>
        <w:tc>
          <w:tcPr>
            <w:tcW w:w="2554" w:type="dxa"/>
            <w:tcBorders>
              <w:top w:val="nil"/>
              <w:left w:val="nil"/>
              <w:bottom w:val="single" w:sz="4" w:space="0" w:color="auto"/>
              <w:right w:val="nil"/>
            </w:tcBorders>
            <w:shd w:val="clear" w:color="auto" w:fill="auto"/>
            <w:vAlign w:val="center"/>
            <w:hideMark/>
          </w:tcPr>
          <w:p w14:paraId="594BA0C3" w14:textId="77777777" w:rsidR="00C64298" w:rsidRPr="00C36419" w:rsidRDefault="00C64298" w:rsidP="005D130A">
            <w:pPr>
              <w:jc w:val="center"/>
              <w:rPr>
                <w:rFonts w:ascii="Times New Roman" w:hAnsi="Times New Roman" w:cs="Times New Roman"/>
                <w:color w:val="000000"/>
                <w:sz w:val="18"/>
                <w:szCs w:val="18"/>
              </w:rPr>
            </w:pPr>
            <w:proofErr w:type="gramStart"/>
            <w:r w:rsidRPr="00C36419">
              <w:rPr>
                <w:rFonts w:ascii="Times New Roman" w:hAnsi="Times New Roman" w:cs="Times New Roman"/>
                <w:color w:val="000000"/>
                <w:sz w:val="18"/>
                <w:szCs w:val="18"/>
              </w:rPr>
              <w:t>In order to</w:t>
            </w:r>
            <w:proofErr w:type="gramEnd"/>
            <w:r w:rsidRPr="00C36419">
              <w:rPr>
                <w:rFonts w:ascii="Times New Roman" w:hAnsi="Times New Roman" w:cs="Times New Roman"/>
                <w:color w:val="000000"/>
                <w:sz w:val="18"/>
                <w:szCs w:val="18"/>
              </w:rPr>
              <w:t xml:space="preserve"> update the knowledge base, one may implement a model-recommended strategy or generate, retain, and store a potentially viable new solution.</w:t>
            </w:r>
          </w:p>
        </w:tc>
        <w:tc>
          <w:tcPr>
            <w:tcW w:w="2924" w:type="dxa"/>
            <w:tcBorders>
              <w:top w:val="nil"/>
              <w:left w:val="nil"/>
              <w:bottom w:val="single" w:sz="4" w:space="0" w:color="auto"/>
              <w:right w:val="nil"/>
            </w:tcBorders>
            <w:shd w:val="clear" w:color="auto" w:fill="auto"/>
            <w:vAlign w:val="center"/>
            <w:hideMark/>
          </w:tcPr>
          <w:p w14:paraId="4563391F" w14:textId="77777777" w:rsidR="00C64298" w:rsidRPr="00C36419" w:rsidRDefault="00C64298" w:rsidP="005D130A">
            <w:pPr>
              <w:jc w:val="center"/>
              <w:rPr>
                <w:rFonts w:ascii="Times New Roman" w:hAnsi="Times New Roman" w:cs="Times New Roman"/>
                <w:color w:val="000000"/>
                <w:sz w:val="18"/>
                <w:szCs w:val="18"/>
              </w:rPr>
            </w:pPr>
            <w:r w:rsidRPr="00C36419">
              <w:rPr>
                <w:rFonts w:ascii="Times New Roman" w:hAnsi="Times New Roman" w:cs="Times New Roman"/>
                <w:color w:val="000000"/>
                <w:sz w:val="18"/>
                <w:szCs w:val="18"/>
              </w:rPr>
              <w:t>System value enhancement as an intangible knowledge asset and reduction of the cognitive burden associated with maintenance.</w:t>
            </w:r>
          </w:p>
        </w:tc>
        <w:tc>
          <w:tcPr>
            <w:tcW w:w="1229" w:type="dxa"/>
            <w:tcBorders>
              <w:top w:val="nil"/>
              <w:left w:val="nil"/>
              <w:bottom w:val="single" w:sz="4" w:space="0" w:color="auto"/>
              <w:right w:val="nil"/>
            </w:tcBorders>
            <w:shd w:val="clear" w:color="auto" w:fill="auto"/>
            <w:vAlign w:val="center"/>
          </w:tcPr>
          <w:p w14:paraId="0A9343C4" w14:textId="77777777" w:rsidR="00C64298" w:rsidRPr="005D130A" w:rsidRDefault="00C64298" w:rsidP="005D130A">
            <w:pPr>
              <w:jc w:val="center"/>
              <w:rPr>
                <w:rFonts w:ascii="Times New Roman" w:hAnsi="Times New Roman" w:cs="Times New Roman"/>
                <w:color w:val="000000"/>
                <w:sz w:val="24"/>
                <w:szCs w:val="24"/>
              </w:rPr>
            </w:pPr>
            <w:r w:rsidRPr="005D130A">
              <w:rPr>
                <w:rFonts w:ascii="Times New Roman" w:hAnsi="Times New Roman" w:cs="Times New Roman"/>
                <w:color w:val="000000"/>
                <w:sz w:val="24"/>
                <w:szCs w:val="24"/>
              </w:rPr>
              <w:fldChar w:fldCharType="begin" w:fldLock="1"/>
            </w:r>
            <w:r w:rsidRPr="005D130A">
              <w:rPr>
                <w:rFonts w:ascii="Times New Roman" w:hAnsi="Times New Roman" w:cs="Times New Roman"/>
                <w:color w:val="000000"/>
                <w:sz w:val="24"/>
                <w:szCs w:val="24"/>
              </w:rPr>
              <w:instrText>ADDIN CSL_CITATION {"citationItems":[{"id":"ITEM-1","itemData":{"DOI":"10.1016/j.jmsy.2022.10.003","ISSN":"02786125","abstract":"The transition to Industry 4.0 has improved factories by improving the manufacturing process. With increasing automation, awareness of the role of humans in industrial maintenance management is also important for the realization of the Industrial Internet of Things (IIoT). Today's smart factories use data from various sources for extraction of valuable insights to improve manufacturing processes and avoid failures. These improvements also add to the complexity of resolving different maintenance issues faced during the manufacturing process. There is a need to leverage untapped human knowledge in Maintenance Work Orders (MWOs) to handle these complex challenges using state-of-the-art Natural Language Processing (NLP) techniques. The development of Industry 4.0 technologies is leading to a growing interest in using digital twins in many sectors. Digital twin-based services are revolutionizing design, manufacturing, product use, and maintenance (diagnosis, prognosis, and decision-making). This paper proposes a human knowledge centered intelligent maintenance decision support. The proposed service can find solutions to new maintenance problems using knowledge in past maintenance records in a digital twin environment. The architecture of the proposed service and its connections with Physical Space (PS), Virtual Space (VS) and Digital Twin Data (DTD) are presented in this paper. The performance of the service is validated using a case study on an open-source dataset of real MWOs from mining excavators. Results indicate that state-of-the-art NLP techniques can be used to process human knowledge in MWOs and generates interesting patterns. This study is also a step forward towards application of Technical Language Processing (TLP) in a smart manufacturing setup.","author":[{"dropping-particle":"","family":"Naqvi","given":"Syed Meesam Raza","non-dropping-particle":"","parse-names":false,"suffix":""},{"dropping-particle":"","family":"Ghufran","given":"Mohammad","non-dropping-particle":"","parse-names":false,"suffix":""},{"dropping-particle":"","family":"Meraghni","given":"Safa","non-dropping-particle":"","parse-names":false,"suffix":""},{"dropping-particle":"","family":"Varnier","given":"Christophe","non-dropping-particle":"","parse-names":false,"suffix":""},{"dropping-particle":"","family":"Nicod","given":"Jean Marc","non-dropping-particle":"","parse-names":false,"suffix":""},{"dropping-particle":"","family":"Zerhouni","given":"Noureddine","non-dropping-particle":"","parse-names":false,"suffix":""}],"container-title":"Journal of Manufacturing Systems","id":"ITEM-1","issued":{"date-parts":[["2022"]]},"title":"Human knowledge centered maintenance decision support in digital twin environment","type":"article-journal","volume":"65"},"uris":["http://www.mendeley.com/documents/?uuid=0a52ca4d-eb0f-3347-960f-53b23cb40732"]}],"mendeley":{"formattedCitation":"&lt;sup&gt;54&lt;/sup&gt;","plainTextFormattedCitation":"54","previouslyFormattedCitation":"(Naqvi &lt;i&gt;et al.&lt;/i&gt;, 2022)"},"properties":{"noteIndex":0},"schema":"https://github.com/citation-style-language/schema/raw/master/csl-citation.json"}</w:instrText>
            </w:r>
            <w:r w:rsidRPr="005D130A">
              <w:rPr>
                <w:rFonts w:ascii="Times New Roman" w:hAnsi="Times New Roman" w:cs="Times New Roman"/>
                <w:color w:val="000000"/>
                <w:sz w:val="24"/>
                <w:szCs w:val="24"/>
              </w:rPr>
              <w:fldChar w:fldCharType="separate"/>
            </w:r>
            <w:r w:rsidRPr="005D130A">
              <w:rPr>
                <w:rFonts w:ascii="Times New Roman" w:hAnsi="Times New Roman" w:cs="Times New Roman"/>
                <w:noProof/>
                <w:color w:val="000000"/>
                <w:sz w:val="24"/>
                <w:szCs w:val="24"/>
                <w:vertAlign w:val="superscript"/>
              </w:rPr>
              <w:t>54</w:t>
            </w:r>
            <w:r w:rsidRPr="005D130A">
              <w:rPr>
                <w:rFonts w:ascii="Times New Roman" w:hAnsi="Times New Roman" w:cs="Times New Roman"/>
                <w:color w:val="000000"/>
                <w:sz w:val="24"/>
                <w:szCs w:val="24"/>
              </w:rPr>
              <w:fldChar w:fldCharType="end"/>
            </w:r>
          </w:p>
        </w:tc>
      </w:tr>
    </w:tbl>
    <w:p w14:paraId="00B78433" w14:textId="1D2C5A6E" w:rsidR="005B63F0" w:rsidRPr="0012787A" w:rsidRDefault="005B63F0" w:rsidP="00CB61B9">
      <w:pPr>
        <w:jc w:val="both"/>
        <w:rPr>
          <w:rFonts w:asciiTheme="majorBidi" w:hAnsiTheme="majorBidi" w:cstheme="majorBidi"/>
          <w:sz w:val="20"/>
          <w:szCs w:val="20"/>
        </w:rPr>
      </w:pPr>
    </w:p>
    <w:p w14:paraId="6F2F9905" w14:textId="77777777" w:rsidR="0037226D" w:rsidRDefault="0037226D" w:rsidP="00F83621">
      <w:pPr>
        <w:pStyle w:val="normaltext"/>
        <w:ind w:firstLine="0"/>
      </w:pPr>
    </w:p>
    <w:p w14:paraId="0D7C599F" w14:textId="77777777" w:rsidR="0037226D" w:rsidRDefault="0037226D" w:rsidP="00F83621">
      <w:pPr>
        <w:pStyle w:val="normaltext"/>
        <w:ind w:firstLine="0"/>
      </w:pPr>
    </w:p>
    <w:p w14:paraId="4CEAF99F" w14:textId="77777777" w:rsidR="0037226D" w:rsidRDefault="0037226D" w:rsidP="00F83621">
      <w:pPr>
        <w:pStyle w:val="normaltext"/>
        <w:ind w:firstLine="0"/>
        <w:sectPr w:rsidR="0037226D" w:rsidSect="0037226D">
          <w:pgSz w:w="15840" w:h="12240" w:orient="landscape"/>
          <w:pgMar w:top="1440" w:right="806" w:bottom="1440" w:left="1440" w:header="540" w:footer="2013" w:gutter="0"/>
          <w:cols w:space="708"/>
        </w:sectPr>
      </w:pPr>
    </w:p>
    <w:p w14:paraId="323F995B" w14:textId="1942C453" w:rsidR="0037226D" w:rsidRDefault="0037226D" w:rsidP="00656F97">
      <w:pPr>
        <w:pStyle w:val="normaltext"/>
        <w:ind w:firstLine="288"/>
        <w:rPr>
          <w:rFonts w:asciiTheme="majorBidi" w:hAnsiTheme="majorBidi" w:cstheme="majorBidi"/>
        </w:rPr>
      </w:pPr>
      <w:r w:rsidRPr="002E33D9">
        <w:rPr>
          <w:rFonts w:asciiTheme="majorBidi" w:hAnsiTheme="majorBidi" w:cstheme="majorBidi"/>
        </w:rPr>
        <w:lastRenderedPageBreak/>
        <w:t>These case studies conclude by demonstrating the numerous beneficial and practical applications of Human-Digital Twins in Industry 5.0. During various phases of product lifecycle management, they prioritize safety, efficiency, customization, and collaboration. The insights acquired pertain to the importance of current information, seamless integration, and comprehensive approaches for the successful implementation of HDT.</w:t>
      </w:r>
    </w:p>
    <w:p w14:paraId="2D45632E" w14:textId="77777777" w:rsidR="0061390D" w:rsidRPr="0061390D" w:rsidRDefault="0061390D" w:rsidP="0061390D">
      <w:pPr>
        <w:pStyle w:val="normaltext"/>
        <w:ind w:firstLine="0"/>
        <w:rPr>
          <w:rFonts w:asciiTheme="majorBidi" w:hAnsiTheme="majorBidi" w:cstheme="majorBidi"/>
          <w:sz w:val="2"/>
          <w:szCs w:val="2"/>
        </w:rPr>
      </w:pPr>
    </w:p>
    <w:p w14:paraId="2F16F234" w14:textId="77777777" w:rsidR="0037226D" w:rsidRPr="002E33D9" w:rsidRDefault="0037226D" w:rsidP="002E33D9">
      <w:pPr>
        <w:pStyle w:val="Heading2"/>
        <w:numPr>
          <w:ilvl w:val="0"/>
          <w:numId w:val="0"/>
        </w:numPr>
        <w:jc w:val="both"/>
        <w:rPr>
          <w:rFonts w:asciiTheme="majorBidi" w:hAnsiTheme="majorBidi" w:cstheme="majorBidi"/>
        </w:rPr>
      </w:pPr>
      <w:r w:rsidRPr="002E33D9">
        <w:rPr>
          <w:rFonts w:asciiTheme="majorBidi" w:hAnsiTheme="majorBidi" w:cstheme="majorBidi"/>
        </w:rPr>
        <w:t>4.3 HDT Adoption Challenges</w:t>
      </w:r>
    </w:p>
    <w:p w14:paraId="182F0208" w14:textId="5F7F401C" w:rsidR="0037226D" w:rsidRPr="002E33D9" w:rsidRDefault="0037226D" w:rsidP="00656F97">
      <w:pPr>
        <w:pStyle w:val="normaltext"/>
        <w:ind w:firstLine="288"/>
        <w:rPr>
          <w:rFonts w:asciiTheme="majorBidi" w:hAnsiTheme="majorBidi" w:cstheme="majorBidi"/>
        </w:rPr>
      </w:pPr>
      <w:r w:rsidRPr="002E33D9">
        <w:rPr>
          <w:rFonts w:asciiTheme="majorBidi" w:hAnsiTheme="majorBidi" w:cstheme="majorBidi"/>
        </w:rPr>
        <w:t xml:space="preserve">A foundational technology that facilitates human-centricity within the </w:t>
      </w:r>
      <w:r w:rsidR="0061390D" w:rsidRPr="002E33D9">
        <w:rPr>
          <w:rFonts w:asciiTheme="majorBidi" w:hAnsiTheme="majorBidi" w:cstheme="majorBidi"/>
        </w:rPr>
        <w:t>industry</w:t>
      </w:r>
      <w:r w:rsidRPr="002E33D9">
        <w:rPr>
          <w:rFonts w:asciiTheme="majorBidi" w:hAnsiTheme="majorBidi" w:cstheme="majorBidi"/>
        </w:rPr>
        <w:t xml:space="preserve"> 5.0 framework is human-digital twins. HDT emphasizes </w:t>
      </w:r>
      <w:proofErr w:type="spellStart"/>
      <w:r w:rsidRPr="002E33D9">
        <w:rPr>
          <w:rFonts w:asciiTheme="majorBidi" w:hAnsiTheme="majorBidi" w:cstheme="majorBidi"/>
        </w:rPr>
        <w:t>intelligentization</w:t>
      </w:r>
      <w:proofErr w:type="spellEnd"/>
      <w:r w:rsidRPr="002E33D9">
        <w:rPr>
          <w:rFonts w:asciiTheme="majorBidi" w:hAnsiTheme="majorBidi" w:cstheme="majorBidi"/>
        </w:rPr>
        <w:t xml:space="preserve">, networking, and digitization </w:t>
      </w:r>
      <w:r w:rsidRPr="002E33D9">
        <w:rPr>
          <w:rFonts w:asciiTheme="majorBidi" w:hAnsiTheme="majorBidi" w:cstheme="majorBidi"/>
        </w:rPr>
        <w:fldChar w:fldCharType="begin" w:fldLock="1"/>
      </w:r>
      <w:r w:rsidRPr="002E33D9">
        <w:rPr>
          <w:rFonts w:asciiTheme="majorBidi" w:hAnsiTheme="majorBidi" w:cstheme="majorBidi"/>
        </w:rPr>
        <w:instrText>ADDIN CSL_CITATION {"citationItems":[{"id":"ITEM-1","itemData":{"DOI":"10.1115/1.4054270","ISSN":"15309827","abstract":"Digital twin (DT) emerges as a key concept of the Industry 4.0 paradigm and beyond. However, the current literature lacks focus on humans and human activities as a part of complex system DTs. Acknowledging human aspects in DTs can enhance work performance, well-being, motivation, and personal development of professionals. This study examines emerging requirements for human digital twins (HDTs) in three use cases of industry–academia collaboration on complex systems. The results draw together the overall design problem and four design objectives for HDTs. We propose to combine the machine and human-related aspects of DTs and highlight the need for virtual-to-virtual interoperability between HDTs and machines alike. Furthermore, we outline differences between humans and machines regarding digital twinning by addressing human activities and knowledge-based behavior on systems. Design of HDTs requires understanding of individual professional characteristics, such as skills and information preferences, together with twinning between the physical and digital machine entities and interactions between the human and machine DTs. As the field moves toward including humans as a part of the DT concept, incorporating HDTs in complex systems emerges as an increasingly significant issue.","author":[{"dropping-particle":"","family":"Bomström","given":"Henri","non-dropping-particle":"","parse-names":false,"suffix":""},{"dropping-particle":"","family":"Annanperä","given":"Elina","non-dropping-particle":"","parse-names":false,"suffix":""},{"dropping-particle":"","family":"Kelanti","given":"Markus","non-dropping-particle":"","parse-names":false,"suffix":""},{"dropping-particle":"","family":"Xu","given":"Yueqiang","non-dropping-particle":"","parse-names":false,"suffix":""},{"dropping-particle":"","family":"Mäkelä","given":"Satu Marja","non-dropping-particle":"","parse-names":false,"suffix":""},{"dropping-particle":"","family":"Immonen","given":"Milla","non-dropping-particle":"","parse-names":false,"suffix":""},{"dropping-particle":"","family":"Siirtola","given":"Pekka","non-dropping-particle":"","parse-names":false,"suffix":""},{"dropping-particle":"","family":"Teern","given":"Anna","non-dropping-particle":"","parse-names":false,"suffix":""},{"dropping-particle":"","family":"Liukkunen","given":"Kari","non-dropping-particle":"","parse-names":false,"suffix":""},{"dropping-particle":"","family":"Päivärinta","given":"Tero","non-dropping-particle":"","parse-names":false,"suffix":""}],"container-title":"Journal of Computing and Information Science in Engineering","id":"ITEM-1","issue":"5","issued":{"date-parts":[["2022"]]},"title":"Digital Twins about Humans—Design Objectives from Three Projects","type":"article-journal","volume":"22"},"uris":["http://www.mendeley.com/documents/?uuid=d386223e-975f-3e79-b88a-3197b727684e"]}],"mendeley":{"formattedCitation":"&lt;sup&gt;27&lt;/sup&gt;","plainTextFormattedCitation":"27","previouslyFormattedCitation":"(Bomström &lt;i&gt;et al.&lt;/i&gt;, 2022)"},"properties":{"noteIndex":0},"schema":"https://github.com/citation-style-language/schema/raw/master/csl-citation.json"}</w:instrText>
      </w:r>
      <w:r w:rsidRPr="002E33D9">
        <w:rPr>
          <w:rFonts w:asciiTheme="majorBidi" w:hAnsiTheme="majorBidi" w:cstheme="majorBidi"/>
        </w:rPr>
        <w:fldChar w:fldCharType="separate"/>
      </w:r>
      <w:r w:rsidRPr="002E33D9">
        <w:rPr>
          <w:rFonts w:asciiTheme="majorBidi" w:hAnsiTheme="majorBidi" w:cstheme="majorBidi"/>
          <w:noProof/>
          <w:vertAlign w:val="superscript"/>
        </w:rPr>
        <w:t>27</w:t>
      </w:r>
      <w:r w:rsidRPr="002E33D9">
        <w:rPr>
          <w:rFonts w:asciiTheme="majorBidi" w:hAnsiTheme="majorBidi" w:cstheme="majorBidi"/>
        </w:rPr>
        <w:fldChar w:fldCharType="end"/>
      </w:r>
      <w:r w:rsidRPr="002E33D9">
        <w:rPr>
          <w:rFonts w:asciiTheme="majorBidi" w:hAnsiTheme="majorBidi" w:cstheme="majorBidi"/>
        </w:rPr>
        <w:t xml:space="preserve">. </w:t>
      </w:r>
      <w:proofErr w:type="gramStart"/>
      <w:r w:rsidRPr="002E33D9">
        <w:rPr>
          <w:rFonts w:asciiTheme="majorBidi" w:hAnsiTheme="majorBidi" w:cstheme="majorBidi"/>
        </w:rPr>
        <w:t>In order to</w:t>
      </w:r>
      <w:proofErr w:type="gramEnd"/>
      <w:r w:rsidRPr="002E33D9">
        <w:rPr>
          <w:rFonts w:asciiTheme="majorBidi" w:hAnsiTheme="majorBidi" w:cstheme="majorBidi"/>
        </w:rPr>
        <w:t xml:space="preserve"> facilitate the optimal growth and integration of HDT, it is imperative to address philosophical, social, moral, and empirical challenges. We will discuss the difficulties associated with digitization, networking, and </w:t>
      </w:r>
      <w:proofErr w:type="spellStart"/>
      <w:r w:rsidRPr="002E33D9">
        <w:rPr>
          <w:rFonts w:asciiTheme="majorBidi" w:hAnsiTheme="majorBidi" w:cstheme="majorBidi"/>
        </w:rPr>
        <w:t>intelligentization</w:t>
      </w:r>
      <w:proofErr w:type="spellEnd"/>
      <w:r w:rsidRPr="002E33D9">
        <w:rPr>
          <w:rFonts w:asciiTheme="majorBidi" w:hAnsiTheme="majorBidi" w:cstheme="majorBidi"/>
        </w:rPr>
        <w:t xml:space="preserve"> in the subsequent section. There are technical, organizational, social, and practical challenges involved.</w:t>
      </w:r>
    </w:p>
    <w:p w14:paraId="563A3BFA" w14:textId="77777777" w:rsidR="0037226D" w:rsidRPr="002E33D9" w:rsidRDefault="0037226D" w:rsidP="002E33D9">
      <w:pPr>
        <w:pStyle w:val="Heading3"/>
        <w:numPr>
          <w:ilvl w:val="0"/>
          <w:numId w:val="0"/>
        </w:numPr>
        <w:jc w:val="both"/>
        <w:rPr>
          <w:rFonts w:asciiTheme="majorBidi" w:hAnsiTheme="majorBidi" w:cstheme="majorBidi"/>
        </w:rPr>
      </w:pPr>
      <w:r w:rsidRPr="002E33D9">
        <w:rPr>
          <w:rFonts w:asciiTheme="majorBidi" w:hAnsiTheme="majorBidi" w:cstheme="majorBidi"/>
        </w:rPr>
        <w:t>4.3.1 Making Feedback More Realistic</w:t>
      </w:r>
    </w:p>
    <w:p w14:paraId="7EC494FE" w14:textId="131BB88B" w:rsidR="0037226D" w:rsidRPr="002E33D9" w:rsidRDefault="0037226D" w:rsidP="00656F97">
      <w:pPr>
        <w:pStyle w:val="normaltext"/>
        <w:ind w:firstLine="288"/>
        <w:rPr>
          <w:rFonts w:asciiTheme="majorBidi" w:hAnsiTheme="majorBidi" w:cstheme="majorBidi"/>
        </w:rPr>
      </w:pPr>
      <w:r w:rsidRPr="002E33D9">
        <w:rPr>
          <w:rFonts w:asciiTheme="majorBidi" w:hAnsiTheme="majorBidi" w:cstheme="majorBidi"/>
        </w:rPr>
        <w:t>In HDT, digitization entails the utilization of multimodal sensory technologies to access information from various online sources. To improve the performance of HDT, it is crucial to establish more robust connections with reality in terms of feedback. XR technologies and incorporating additional data sources can bolster HDT, enabling improved decision-making and novel service delivery models.</w:t>
      </w:r>
    </w:p>
    <w:p w14:paraId="6E00ADA8" w14:textId="77777777" w:rsidR="0037226D" w:rsidRPr="002E33D9" w:rsidRDefault="0037226D" w:rsidP="002E33D9">
      <w:pPr>
        <w:pStyle w:val="Heading3"/>
        <w:numPr>
          <w:ilvl w:val="0"/>
          <w:numId w:val="0"/>
        </w:numPr>
        <w:jc w:val="both"/>
        <w:rPr>
          <w:rFonts w:asciiTheme="majorBidi" w:hAnsiTheme="majorBidi" w:cstheme="majorBidi"/>
        </w:rPr>
      </w:pPr>
      <w:r w:rsidRPr="002E33D9">
        <w:rPr>
          <w:rFonts w:asciiTheme="majorBidi" w:hAnsiTheme="majorBidi" w:cstheme="majorBidi"/>
        </w:rPr>
        <w:t>4.3.2 Embracing Web 3.0 for Networking</w:t>
      </w:r>
    </w:p>
    <w:p w14:paraId="325A96FC" w14:textId="2B130197" w:rsidR="0037226D" w:rsidRPr="002E33D9" w:rsidRDefault="0037226D" w:rsidP="00656F97">
      <w:pPr>
        <w:pStyle w:val="normaltext"/>
        <w:ind w:firstLine="288"/>
        <w:rPr>
          <w:rFonts w:asciiTheme="majorBidi" w:hAnsiTheme="majorBidi" w:cstheme="majorBidi"/>
        </w:rPr>
      </w:pPr>
      <w:r w:rsidRPr="002E33D9">
        <w:rPr>
          <w:rFonts w:asciiTheme="majorBidi" w:hAnsiTheme="majorBidi" w:cstheme="majorBidi"/>
        </w:rPr>
        <w:t>HDT requires a network to administer and distribute digital resources. Implementing the user-friendly and highly decentralized Web 3.0 could be an asset to the digital twin system. The incorporation of IoT sensors and Web 3.0 could enhance HDT in a variety of sectors and domains, fostering transparency and adaptability in the setting.</w:t>
      </w:r>
    </w:p>
    <w:p w14:paraId="4079528B" w14:textId="77777777" w:rsidR="0037226D" w:rsidRPr="002E33D9" w:rsidRDefault="0037226D" w:rsidP="002E33D9">
      <w:pPr>
        <w:pStyle w:val="Heading3"/>
        <w:numPr>
          <w:ilvl w:val="0"/>
          <w:numId w:val="0"/>
        </w:numPr>
        <w:jc w:val="both"/>
        <w:rPr>
          <w:rFonts w:asciiTheme="majorBidi" w:hAnsiTheme="majorBidi" w:cstheme="majorBidi"/>
        </w:rPr>
      </w:pPr>
      <w:r w:rsidRPr="002E33D9">
        <w:rPr>
          <w:rFonts w:asciiTheme="majorBidi" w:hAnsiTheme="majorBidi" w:cstheme="majorBidi"/>
        </w:rPr>
        <w:t xml:space="preserve">4.3.3 Leveraging Generative AI for </w:t>
      </w:r>
      <w:proofErr w:type="spellStart"/>
      <w:r w:rsidRPr="002E33D9">
        <w:rPr>
          <w:rFonts w:asciiTheme="majorBidi" w:hAnsiTheme="majorBidi" w:cstheme="majorBidi"/>
        </w:rPr>
        <w:t>Intelligentization</w:t>
      </w:r>
      <w:proofErr w:type="spellEnd"/>
    </w:p>
    <w:p w14:paraId="52DE5FD1" w14:textId="5099B617" w:rsidR="0037226D" w:rsidRDefault="0037226D" w:rsidP="00656F97">
      <w:pPr>
        <w:pStyle w:val="normaltext"/>
        <w:ind w:firstLine="288"/>
        <w:rPr>
          <w:rFonts w:asciiTheme="majorBidi" w:hAnsiTheme="majorBidi" w:cstheme="majorBidi"/>
        </w:rPr>
      </w:pPr>
      <w:r w:rsidRPr="002E33D9">
        <w:rPr>
          <w:rFonts w:asciiTheme="majorBidi" w:hAnsiTheme="majorBidi" w:cstheme="majorBidi"/>
        </w:rPr>
        <w:t xml:space="preserve">By utilizing innovative AI technologies like ChatGPT, HDT may become more intelligent. Generative AI, through simulating scenarios and constructing virtual physical system models, can predict events while maintaining data on-premises, secure, and private. This technology has the potential to significantly impact the design and construction of </w:t>
      </w:r>
      <w:r w:rsidRPr="002E33D9">
        <w:rPr>
          <w:rFonts w:asciiTheme="majorBidi" w:hAnsiTheme="majorBidi" w:cstheme="majorBidi"/>
        </w:rPr>
        <w:t xml:space="preserve">HDT models. Developing digitization and </w:t>
      </w:r>
      <w:proofErr w:type="spellStart"/>
      <w:r w:rsidRPr="002E33D9">
        <w:rPr>
          <w:rFonts w:asciiTheme="majorBidi" w:hAnsiTheme="majorBidi" w:cstheme="majorBidi"/>
        </w:rPr>
        <w:t>intelligentization</w:t>
      </w:r>
      <w:proofErr w:type="spellEnd"/>
      <w:r w:rsidRPr="002E33D9">
        <w:rPr>
          <w:rFonts w:asciiTheme="majorBidi" w:hAnsiTheme="majorBidi" w:cstheme="majorBidi"/>
        </w:rPr>
        <w:t xml:space="preserve"> in HDT presents challenges, including technological, application, and organizational societal issues.</w:t>
      </w:r>
    </w:p>
    <w:p w14:paraId="02728FA1" w14:textId="77777777" w:rsidR="0061390D" w:rsidRPr="0061390D" w:rsidRDefault="0061390D" w:rsidP="0061390D">
      <w:pPr>
        <w:pStyle w:val="normaltext"/>
        <w:ind w:firstLine="0"/>
        <w:rPr>
          <w:rFonts w:asciiTheme="majorBidi" w:hAnsiTheme="majorBidi" w:cstheme="majorBidi"/>
          <w:sz w:val="2"/>
          <w:szCs w:val="2"/>
        </w:rPr>
      </w:pPr>
    </w:p>
    <w:p w14:paraId="7BE77ACE" w14:textId="77777777" w:rsidR="0037226D" w:rsidRPr="002E33D9" w:rsidRDefault="0037226D" w:rsidP="002E33D9">
      <w:pPr>
        <w:pStyle w:val="Heading2"/>
        <w:numPr>
          <w:ilvl w:val="0"/>
          <w:numId w:val="0"/>
        </w:numPr>
        <w:jc w:val="both"/>
        <w:rPr>
          <w:rFonts w:asciiTheme="majorBidi" w:hAnsiTheme="majorBidi" w:cstheme="majorBidi"/>
        </w:rPr>
      </w:pPr>
      <w:r w:rsidRPr="002E33D9">
        <w:rPr>
          <w:rFonts w:asciiTheme="majorBidi" w:hAnsiTheme="majorBidi" w:cstheme="majorBidi"/>
        </w:rPr>
        <w:t>4.4 HDT Technological Challenges</w:t>
      </w:r>
    </w:p>
    <w:p w14:paraId="18485390" w14:textId="77777777" w:rsidR="0037226D" w:rsidRPr="0061390D" w:rsidRDefault="0037226D" w:rsidP="002E33D9">
      <w:pPr>
        <w:jc w:val="both"/>
        <w:rPr>
          <w:rFonts w:asciiTheme="majorBidi" w:hAnsiTheme="majorBidi" w:cstheme="majorBidi"/>
          <w:sz w:val="10"/>
          <w:szCs w:val="10"/>
        </w:rPr>
      </w:pPr>
    </w:p>
    <w:p w14:paraId="7A5F1E14" w14:textId="77777777" w:rsidR="0037226D" w:rsidRPr="002E33D9" w:rsidRDefault="0037226D" w:rsidP="002E33D9">
      <w:pPr>
        <w:pStyle w:val="Heading3"/>
        <w:numPr>
          <w:ilvl w:val="0"/>
          <w:numId w:val="0"/>
        </w:numPr>
        <w:jc w:val="both"/>
        <w:rPr>
          <w:rFonts w:asciiTheme="majorBidi" w:hAnsiTheme="majorBidi" w:cstheme="majorBidi"/>
        </w:rPr>
      </w:pPr>
      <w:r w:rsidRPr="002E33D9">
        <w:rPr>
          <w:rFonts w:asciiTheme="majorBidi" w:hAnsiTheme="majorBidi" w:cstheme="majorBidi"/>
        </w:rPr>
        <w:t>4.4.1 Standardization of Technologies</w:t>
      </w:r>
    </w:p>
    <w:p w14:paraId="286C9382" w14:textId="2E11DF2D" w:rsidR="0037226D" w:rsidRPr="002E33D9" w:rsidRDefault="0037226D" w:rsidP="00656F97">
      <w:pPr>
        <w:pStyle w:val="normaltext"/>
        <w:ind w:firstLine="288"/>
        <w:rPr>
          <w:rFonts w:asciiTheme="majorBidi" w:hAnsiTheme="majorBidi" w:cstheme="majorBidi"/>
        </w:rPr>
      </w:pPr>
      <w:r w:rsidRPr="002E33D9">
        <w:rPr>
          <w:rFonts w:asciiTheme="majorBidi" w:hAnsiTheme="majorBidi" w:cstheme="majorBidi"/>
        </w:rPr>
        <w:t>Standardization is crucial for managing diverse systems efficiently. HDT, as a comprehensive development platform, faces challenges in standardizing data formats, interfaces, communication protocols, etc. The adherence of current systems to unique standards hinders effective communication, necessitating global collaborative standards to facilitate HDT integration</w:t>
      </w:r>
      <w:r w:rsidRPr="002E33D9">
        <w:rPr>
          <w:rFonts w:asciiTheme="majorBidi" w:hAnsiTheme="majorBidi" w:cstheme="majorBidi"/>
        </w:rPr>
        <w:fldChar w:fldCharType="begin" w:fldLock="1"/>
      </w:r>
      <w:r w:rsidRPr="002E33D9">
        <w:rPr>
          <w:rFonts w:asciiTheme="majorBidi" w:hAnsiTheme="majorBidi" w:cstheme="majorBidi"/>
        </w:rPr>
        <w:instrText>ADDIN CSL_CITATION {"citationItems":[{"id":"ITEM-1","itemData":{"abstract":"The last decade saw the emergence of highly autonomous, flexible, re-configurable Cyber-Physical Systems. Research in this domain has been enhanced by the use of high-fidelity simulations, including Digital Twins, which are virtual representations connected to real assets. Digital Twins have been used for process supervision, prediction, or interaction with physical assets. Interaction with Digital Twins is enhanced by Virtual Reality and Augmented Reality, and Industry 5.0-focused research is evolving with the involvement of the human aspect in Digital Twins. This paper aims to review recent research on Human-Centric Digital Twins (HCDTs) and their enabling technologies. A systematic literature review is performed using the VOSviewer keyword mapping technique. Current technologies such as motion sensors, biological sensors, computational intelligence, simulation, and visualization tools are studied for the development of HCDTs in promising application areas. Domain-specific frameworks and guidelines are formed for different HCDT applications that highlight the workflow and desired outcomes, such as the training of AI models, the optimization of ergonomics, the security policy, task allocation, etc. A guideline and comparative analysis for the effective development of HCDTs are created based on the criteria of Machine Learning requirements, sensors, interfaces, and Human Digital Twin inputs.","author":[{"dropping-particle":"","family":"Strategies","given":"Implementation","non-dropping-particle":"","parse-names":false,"suffix":""}],"id":"ITEM-1","issued":{"date-parts":[["2023"]]},"title":"Human-CentricDigital Twins in Industry :","type":"article-journal"},"uris":["http://www.mendeley.com/documents/?uuid=4ea59bf8-953b-4754-a2a8-37aa5a902efe"]}],"mendeley":{"formattedCitation":"&lt;sup&gt;55&lt;/sup&gt;","plainTextFormattedCitation":"55","previouslyFormattedCitation":"(Strategies, 2023)"},"properties":{"noteIndex":0},"schema":"https://github.com/citation-style-language/schema/raw/master/csl-citation.json"}</w:instrText>
      </w:r>
      <w:r w:rsidRPr="002E33D9">
        <w:rPr>
          <w:rFonts w:asciiTheme="majorBidi" w:hAnsiTheme="majorBidi" w:cstheme="majorBidi"/>
        </w:rPr>
        <w:fldChar w:fldCharType="separate"/>
      </w:r>
      <w:r w:rsidRPr="002E33D9">
        <w:rPr>
          <w:rFonts w:asciiTheme="majorBidi" w:hAnsiTheme="majorBidi" w:cstheme="majorBidi"/>
          <w:noProof/>
          <w:vertAlign w:val="superscript"/>
        </w:rPr>
        <w:t>55</w:t>
      </w:r>
      <w:r w:rsidRPr="002E33D9">
        <w:rPr>
          <w:rFonts w:asciiTheme="majorBidi" w:hAnsiTheme="majorBidi" w:cstheme="majorBidi"/>
        </w:rPr>
        <w:fldChar w:fldCharType="end"/>
      </w:r>
      <w:r w:rsidRPr="002E33D9">
        <w:rPr>
          <w:rFonts w:asciiTheme="majorBidi" w:hAnsiTheme="majorBidi" w:cstheme="majorBidi"/>
        </w:rPr>
        <w:t>.</w:t>
      </w:r>
    </w:p>
    <w:p w14:paraId="64F595A2" w14:textId="77777777" w:rsidR="0037226D" w:rsidRPr="002E33D9" w:rsidRDefault="0037226D" w:rsidP="002E33D9">
      <w:pPr>
        <w:pStyle w:val="Heading3"/>
        <w:numPr>
          <w:ilvl w:val="0"/>
          <w:numId w:val="0"/>
        </w:numPr>
        <w:jc w:val="both"/>
        <w:rPr>
          <w:rFonts w:asciiTheme="majorBidi" w:hAnsiTheme="majorBidi" w:cstheme="majorBidi"/>
        </w:rPr>
      </w:pPr>
      <w:r w:rsidRPr="002E33D9">
        <w:rPr>
          <w:rFonts w:asciiTheme="majorBidi" w:hAnsiTheme="majorBidi" w:cstheme="majorBidi"/>
        </w:rPr>
        <w:t>4.4.2 Transparency and Explainability</w:t>
      </w:r>
    </w:p>
    <w:p w14:paraId="1077F4C3" w14:textId="3C7A5BEB" w:rsidR="0037226D" w:rsidRDefault="0037226D" w:rsidP="00656F97">
      <w:pPr>
        <w:pStyle w:val="normaltext"/>
        <w:ind w:firstLine="288"/>
        <w:rPr>
          <w:rFonts w:asciiTheme="majorBidi" w:hAnsiTheme="majorBidi" w:cstheme="majorBidi"/>
        </w:rPr>
      </w:pPr>
      <w:r w:rsidRPr="002E33D9">
        <w:rPr>
          <w:rFonts w:asciiTheme="majorBidi" w:hAnsiTheme="majorBidi" w:cstheme="majorBidi"/>
        </w:rPr>
        <w:t>Transparency and explainability are critical for personalized HDT, demanding algorithmic decisions to be explicit and easily understood. The current system lacks transparency, hindering the establishment of trust between individuals and the physical system. Ensuring consumers understand data origins and algorithmic ramifications is essential for credibility and comprehensibility.</w:t>
      </w:r>
    </w:p>
    <w:p w14:paraId="21F6460D" w14:textId="77777777" w:rsidR="0061390D" w:rsidRPr="0061390D" w:rsidRDefault="0061390D" w:rsidP="0061390D">
      <w:pPr>
        <w:pStyle w:val="normaltext"/>
        <w:ind w:firstLine="0"/>
        <w:rPr>
          <w:rFonts w:asciiTheme="majorBidi" w:hAnsiTheme="majorBidi" w:cstheme="majorBidi"/>
          <w:sz w:val="2"/>
          <w:szCs w:val="2"/>
        </w:rPr>
      </w:pPr>
    </w:p>
    <w:p w14:paraId="77B7BF66" w14:textId="77777777" w:rsidR="0037226D" w:rsidRPr="002E33D9" w:rsidRDefault="0037226D" w:rsidP="002E33D9">
      <w:pPr>
        <w:pStyle w:val="Heading2"/>
        <w:numPr>
          <w:ilvl w:val="0"/>
          <w:numId w:val="0"/>
        </w:numPr>
        <w:jc w:val="both"/>
        <w:rPr>
          <w:rFonts w:asciiTheme="majorBidi" w:hAnsiTheme="majorBidi" w:cstheme="majorBidi"/>
        </w:rPr>
      </w:pPr>
      <w:r w:rsidRPr="002E33D9">
        <w:rPr>
          <w:rFonts w:asciiTheme="majorBidi" w:hAnsiTheme="majorBidi" w:cstheme="majorBidi"/>
        </w:rPr>
        <w:t>4.5 HDT Application Challenges</w:t>
      </w:r>
    </w:p>
    <w:p w14:paraId="5093D6CC" w14:textId="77777777" w:rsidR="0037226D" w:rsidRPr="0061390D" w:rsidRDefault="0037226D" w:rsidP="002E33D9">
      <w:pPr>
        <w:jc w:val="both"/>
        <w:rPr>
          <w:rFonts w:asciiTheme="majorBidi" w:hAnsiTheme="majorBidi" w:cstheme="majorBidi"/>
          <w:sz w:val="10"/>
          <w:szCs w:val="10"/>
        </w:rPr>
      </w:pPr>
    </w:p>
    <w:p w14:paraId="5F36B0D3" w14:textId="77777777" w:rsidR="0037226D" w:rsidRPr="002E33D9" w:rsidRDefault="0037226D" w:rsidP="002E33D9">
      <w:pPr>
        <w:pStyle w:val="Heading3"/>
        <w:numPr>
          <w:ilvl w:val="0"/>
          <w:numId w:val="0"/>
        </w:numPr>
        <w:jc w:val="both"/>
        <w:rPr>
          <w:rFonts w:asciiTheme="majorBidi" w:hAnsiTheme="majorBidi" w:cstheme="majorBidi"/>
        </w:rPr>
      </w:pPr>
      <w:r w:rsidRPr="002E33D9">
        <w:rPr>
          <w:rFonts w:asciiTheme="majorBidi" w:hAnsiTheme="majorBidi" w:cstheme="majorBidi"/>
        </w:rPr>
        <w:t>4.5.1 Human-centric Approach</w:t>
      </w:r>
    </w:p>
    <w:p w14:paraId="162A92B0" w14:textId="502A89C2" w:rsidR="0037226D" w:rsidRPr="002E33D9" w:rsidRDefault="0037226D" w:rsidP="00656F97">
      <w:pPr>
        <w:pStyle w:val="normaltext"/>
        <w:ind w:firstLine="288"/>
        <w:rPr>
          <w:rFonts w:asciiTheme="majorBidi" w:hAnsiTheme="majorBidi" w:cstheme="majorBidi"/>
        </w:rPr>
      </w:pPr>
      <w:r w:rsidRPr="002E33D9">
        <w:rPr>
          <w:rFonts w:asciiTheme="majorBidi" w:hAnsiTheme="majorBidi" w:cstheme="majorBidi"/>
        </w:rPr>
        <w:t xml:space="preserve">While systems claim to be human-centric, achieving genuinely human-centric methodologies in HDT remains a challenge. HDT prioritizes human rights, sustainability, and resilience, emphasizing its potential benefits for human well-being </w:t>
      </w:r>
      <w:r w:rsidRPr="002E33D9">
        <w:rPr>
          <w:rFonts w:asciiTheme="majorBidi" w:hAnsiTheme="majorBidi" w:cstheme="majorBidi"/>
        </w:rPr>
        <w:fldChar w:fldCharType="begin" w:fldLock="1"/>
      </w:r>
      <w:r w:rsidRPr="002E33D9">
        <w:rPr>
          <w:rFonts w:asciiTheme="majorBidi" w:hAnsiTheme="majorBidi" w:cstheme="majorBidi"/>
        </w:rPr>
        <w:instrText>ADDIN CSL_CITATION {"citationItems":[{"id":"ITEM-1","itemData":{"DOI":"10.1108/K-04-2021-0275","ISSN":"0368492X","abstract":"Purpose: With the global outbreak of COVID-19 that has made the economic activities standstill, countries have taken immediate measures to safeguard not only the human lives but also the economies. This study investigates empirically the lockdown impact of current pandemic on the Saudi economy. Design/methodology/approach: The study employs inoperability input–output model (IIOM) on the input–output table (IOT) of Saudi Arabia for the analysis. Findings: Findings show that with the closure of few sectors for the period of two months, the GDP declined to 6.49%. Findings also show a negative impact on consumption, investments and exports. Research limitations/implications: One limitation of current study is that it uses IOTs which lack primary and secondary income distribution that is vital for presenting complete interindustry connections in the analysis. The interindustry structures relate to the consumption structures which ultimately lead to the income distribution and affect the consumption behaviors of economic agents. Hence, the complete income circular flow is not incorporated in IIOM using IOT. The findings of current study would be well grounded if it endogenized the primary and secondary income distribution. Practical implications: The practical implication of this study is the use of IIOM for anticipating the potential loss against the backdrop of catastrophes and pandemics. The IIOM has the capability to predict the economic effects of disruptive events and hence the policy-makers can better predict and devise prudent policies to avoid the likely threats to the economy. Originality/value: The current situation is unprecedented, and it is challenging for governments to forecast the economic repercussions. Several economic sectors have been inoperative due to lockdown implemented by the governments. This study empirically estimated the inoperability produced by the current pandemic. The findings are consistent with other estimated statistics, thereby proving the efficacy of IIOM to anticipate the economic repercussions of natural hazards.","author":[{"dropping-particle":"","family":"Ahmed","given":"Irfan","non-dropping-particle":"","parse-names":false,"suffix":""},{"dropping-particle":"","family":"Medabesh","given":"Ali Mohammad","non-dropping-particle":"","parse-names":false,"suffix":""},{"dropping-particle":"","family":"Mehrez","given":"Khadija H.","non-dropping-particle":"","parse-names":false,"suffix":""},{"dropping-particle":"","family":"Shili","given":"Nedra","non-dropping-particle":"","parse-names":false,"suffix":""},{"dropping-particle":"","family":"Socci","given":"Claudio","non-dropping-particle":"","parse-names":false,"suffix":""},{"dropping-particle":"","family":"Deriu","given":"Stefano","non-dropping-particle":"","parse-names":false,"suffix":""}],"container-title":"Kybernetes","id":"ITEM-1","issue":"3","issued":{"date-parts":[["2023"]]},"title":"Socioeconomic spillovers of COVID-19: case of Saudi Arabia","type":"article-journal","volume":"52"},"uris":["http://www.mendeley.com/documents/?uuid=ad916780-13c4-3aba-9fa1-3ca42246659b"]}],"mendeley":{"formattedCitation":"&lt;sup&gt;56&lt;/sup&gt;","plainTextFormattedCitation":"56","previouslyFormattedCitation":"(Ahmed &lt;i&gt;et al.&lt;/i&gt;, 2023)"},"properties":{"noteIndex":0},"schema":"https://github.com/citation-style-language/schema/raw/master/csl-citation.json"}</w:instrText>
      </w:r>
      <w:r w:rsidRPr="002E33D9">
        <w:rPr>
          <w:rFonts w:asciiTheme="majorBidi" w:hAnsiTheme="majorBidi" w:cstheme="majorBidi"/>
        </w:rPr>
        <w:fldChar w:fldCharType="separate"/>
      </w:r>
      <w:r w:rsidRPr="002E33D9">
        <w:rPr>
          <w:rFonts w:asciiTheme="majorBidi" w:hAnsiTheme="majorBidi" w:cstheme="majorBidi"/>
          <w:noProof/>
          <w:vertAlign w:val="superscript"/>
        </w:rPr>
        <w:t>56</w:t>
      </w:r>
      <w:r w:rsidRPr="002E33D9">
        <w:rPr>
          <w:rFonts w:asciiTheme="majorBidi" w:hAnsiTheme="majorBidi" w:cstheme="majorBidi"/>
        </w:rPr>
        <w:fldChar w:fldCharType="end"/>
      </w:r>
      <w:r w:rsidRPr="002E33D9">
        <w:rPr>
          <w:rFonts w:asciiTheme="majorBidi" w:hAnsiTheme="majorBidi" w:cstheme="majorBidi"/>
        </w:rPr>
        <w:t>. Existing systems fall short in fully incorporating human factors, necessitating a precise definition to facilitate classification and comprehension.</w:t>
      </w:r>
    </w:p>
    <w:p w14:paraId="2FA08AD0" w14:textId="77777777" w:rsidR="0037226D" w:rsidRPr="002E33D9" w:rsidRDefault="0037226D" w:rsidP="002E33D9">
      <w:pPr>
        <w:pStyle w:val="Heading3"/>
        <w:numPr>
          <w:ilvl w:val="0"/>
          <w:numId w:val="0"/>
        </w:numPr>
        <w:jc w:val="both"/>
        <w:rPr>
          <w:rFonts w:asciiTheme="majorBidi" w:hAnsiTheme="majorBidi" w:cstheme="majorBidi"/>
        </w:rPr>
      </w:pPr>
      <w:r w:rsidRPr="002E33D9">
        <w:rPr>
          <w:rFonts w:asciiTheme="majorBidi" w:hAnsiTheme="majorBidi" w:cstheme="majorBidi"/>
        </w:rPr>
        <w:t>4.5.2 Exhaustive Modeling</w:t>
      </w:r>
    </w:p>
    <w:p w14:paraId="01D57F54" w14:textId="3CFA1F76" w:rsidR="0037226D" w:rsidRPr="002E33D9" w:rsidRDefault="0037226D" w:rsidP="00656F97">
      <w:pPr>
        <w:pStyle w:val="normaltext"/>
        <w:ind w:firstLine="288"/>
        <w:rPr>
          <w:rFonts w:asciiTheme="majorBidi" w:hAnsiTheme="majorBidi" w:cstheme="majorBidi"/>
        </w:rPr>
      </w:pPr>
      <w:r w:rsidRPr="002E33D9">
        <w:rPr>
          <w:rFonts w:asciiTheme="majorBidi" w:hAnsiTheme="majorBidi" w:cstheme="majorBidi"/>
        </w:rPr>
        <w:t xml:space="preserve">Digital Human Modeling (DHM) in congruence with HDT specifications requires interactive environments supporting diverse physical characteristics and effective communication functionalities. Addressing Human-Robot Collaboration (HRC) in relation to efficiency, security, and planning sequences is essential for Industry 5.0 development </w:t>
      </w:r>
      <w:r w:rsidRPr="002E33D9">
        <w:rPr>
          <w:rFonts w:asciiTheme="majorBidi" w:hAnsiTheme="majorBidi" w:cstheme="majorBidi"/>
        </w:rPr>
        <w:fldChar w:fldCharType="begin" w:fldLock="1"/>
      </w:r>
      <w:r w:rsidRPr="002E33D9">
        <w:rPr>
          <w:rFonts w:asciiTheme="majorBidi" w:hAnsiTheme="majorBidi" w:cstheme="majorBidi"/>
        </w:rPr>
        <w:instrText>ADDIN CSL_CITATION {"citationItems":[{"id":"ITEM-1","itemData":{"DOI":"10.1016/j.rcim.2020.101998","ISSN":"07365845","abstract":"Human–robot collaboration is a main technology of Industry 4.0 and is currently changing the shop floor of manufacturing companies. Collaborative robots are innovative industrial technologies introduced to help operators to perform manual activities in so called cyber-physical production systems and combine human inimitable abilities with smart machines strengths. Occupational health and safety criteria are of crucial importance in the implementation of collaborative robotics. Therefore, it is necessary to assess the state of the art for the design of safe and ergonomic collaborative robotic workcells. Emerging research fields beyond the state of the art are also of special interest. To achieve this goal this paper uses a systematic literature review methodology to review recent technical scientific bibliography and to identify current and future research fields. Main research themes addressed in the recent scientific literature regarding safety and ergonomics (or human factors) for industrial collaborative robotics were identified and categorized. The emerging research challenges and research fields were identified and analyzed based on the development of publications over time (annual growth).","author":[{"dropping-particle":"","family":"Gualtieri","given":"Luca","non-dropping-particle":"","parse-names":false,"suffix":""},{"dropping-particle":"","family":"Rauch","given":"Erwin","non-dropping-particle":"","parse-names":false,"suffix":""},{"dropping-particle":"","family":"Vidoni","given":"Renato","non-dropping-particle":"","parse-names":false,"suffix":""}],"container-title":"Robotics and Computer-Integrated Manufacturing","id":"ITEM-1","issued":{"date-parts":[["2021"]]},"title":"Emerging research fields in safety and ergonomics in industrial collaborative robotics: A systematic literature review","type":"article","volume":"67"},"uris":["http://www.mendeley.com/documents/?uuid=9ebb7169-c6df-3999-bad2-a46f41600fdb"]}],"mendeley":{"formattedCitation":"&lt;sup&gt;57&lt;/sup&gt;","plainTextFormattedCitation":"57","previouslyFormattedCitation":"(Gualtieri, Rauch and Vidoni, 2021)"},"properties":{"noteIndex":0},"schema":"https://github.com/citation-style-language/schema/raw/master/csl-citation.json"}</w:instrText>
      </w:r>
      <w:r w:rsidRPr="002E33D9">
        <w:rPr>
          <w:rFonts w:asciiTheme="majorBidi" w:hAnsiTheme="majorBidi" w:cstheme="majorBidi"/>
        </w:rPr>
        <w:fldChar w:fldCharType="separate"/>
      </w:r>
      <w:r w:rsidRPr="002E33D9">
        <w:rPr>
          <w:rFonts w:asciiTheme="majorBidi" w:hAnsiTheme="majorBidi" w:cstheme="majorBidi"/>
          <w:noProof/>
          <w:vertAlign w:val="superscript"/>
        </w:rPr>
        <w:t>57</w:t>
      </w:r>
      <w:r w:rsidRPr="002E33D9">
        <w:rPr>
          <w:rFonts w:asciiTheme="majorBidi" w:hAnsiTheme="majorBidi" w:cstheme="majorBidi"/>
        </w:rPr>
        <w:fldChar w:fldCharType="end"/>
      </w:r>
      <w:r w:rsidRPr="002E33D9">
        <w:rPr>
          <w:rFonts w:asciiTheme="majorBidi" w:hAnsiTheme="majorBidi" w:cstheme="majorBidi"/>
        </w:rPr>
        <w:t>. Enhancing DHM research with dynamic interaction is crucial for electronic systems' development in HDT.</w:t>
      </w:r>
    </w:p>
    <w:p w14:paraId="37EBC067" w14:textId="15A60F1B" w:rsidR="0037226D" w:rsidRDefault="0037226D" w:rsidP="002E33D9">
      <w:pPr>
        <w:pStyle w:val="Heading2"/>
        <w:numPr>
          <w:ilvl w:val="1"/>
          <w:numId w:val="52"/>
        </w:numPr>
        <w:jc w:val="both"/>
        <w:rPr>
          <w:rFonts w:asciiTheme="majorBidi" w:hAnsiTheme="majorBidi" w:cstheme="majorBidi"/>
        </w:rPr>
      </w:pPr>
      <w:r w:rsidRPr="002E33D9">
        <w:rPr>
          <w:rFonts w:asciiTheme="majorBidi" w:hAnsiTheme="majorBidi" w:cstheme="majorBidi"/>
        </w:rPr>
        <w:lastRenderedPageBreak/>
        <w:t>Challenges of Organizational and Societal Nature</w:t>
      </w:r>
    </w:p>
    <w:p w14:paraId="5340ACC0" w14:textId="77777777" w:rsidR="0061390D" w:rsidRPr="0061390D" w:rsidRDefault="0061390D" w:rsidP="0061390D">
      <w:pPr>
        <w:rPr>
          <w:sz w:val="10"/>
          <w:szCs w:val="10"/>
        </w:rPr>
      </w:pPr>
    </w:p>
    <w:p w14:paraId="6A410116" w14:textId="747FC375" w:rsidR="0037226D" w:rsidRPr="002E33D9" w:rsidRDefault="0037226D" w:rsidP="002E33D9">
      <w:pPr>
        <w:pStyle w:val="Heading3"/>
        <w:numPr>
          <w:ilvl w:val="0"/>
          <w:numId w:val="0"/>
        </w:numPr>
        <w:jc w:val="both"/>
        <w:rPr>
          <w:rFonts w:asciiTheme="majorBidi" w:hAnsiTheme="majorBidi" w:cstheme="majorBidi"/>
        </w:rPr>
      </w:pPr>
      <w:r w:rsidRPr="002E33D9">
        <w:rPr>
          <w:rFonts w:asciiTheme="majorBidi" w:hAnsiTheme="majorBidi" w:cstheme="majorBidi"/>
        </w:rPr>
        <w:t>4.6.1 Security and Privacy Considerations</w:t>
      </w:r>
    </w:p>
    <w:p w14:paraId="62ECF7D0" w14:textId="5AD3A8BE" w:rsidR="0037226D" w:rsidRPr="002E33D9" w:rsidRDefault="0037226D" w:rsidP="00656F97">
      <w:pPr>
        <w:pStyle w:val="normaltext"/>
        <w:ind w:firstLine="288"/>
        <w:rPr>
          <w:rFonts w:asciiTheme="majorBidi" w:hAnsiTheme="majorBidi" w:cstheme="majorBidi"/>
        </w:rPr>
      </w:pPr>
      <w:r w:rsidRPr="002E33D9">
        <w:rPr>
          <w:rFonts w:asciiTheme="majorBidi" w:hAnsiTheme="majorBidi" w:cstheme="majorBidi"/>
        </w:rPr>
        <w:t>Developing a Human-Centric Production System (HCPS) in HDT requires collaboration beyond technical aspects. Legal, political, and ethical dimensions become imperative for innovative manufacturing systems operating in diverse contexts. Protecting personal information, privacy, and security against cyber-attacks necessitates advanced technologies and novel system architecture designs.</w:t>
      </w:r>
    </w:p>
    <w:p w14:paraId="1314AC7E" w14:textId="77777777" w:rsidR="0037226D" w:rsidRPr="002E33D9" w:rsidRDefault="0037226D" w:rsidP="002E33D9">
      <w:pPr>
        <w:pStyle w:val="Heading3"/>
        <w:numPr>
          <w:ilvl w:val="0"/>
          <w:numId w:val="0"/>
        </w:numPr>
        <w:jc w:val="both"/>
        <w:rPr>
          <w:rFonts w:asciiTheme="majorBidi" w:hAnsiTheme="majorBidi" w:cstheme="majorBidi"/>
        </w:rPr>
      </w:pPr>
      <w:r w:rsidRPr="002E33D9">
        <w:rPr>
          <w:rFonts w:asciiTheme="majorBidi" w:hAnsiTheme="majorBidi" w:cstheme="majorBidi"/>
        </w:rPr>
        <w:t>4.6.2 Market Awareness within the Trade</w:t>
      </w:r>
    </w:p>
    <w:p w14:paraId="566C581B" w14:textId="1B2A15F9" w:rsidR="0037226D" w:rsidRPr="002E33D9" w:rsidRDefault="0037226D" w:rsidP="00656F97">
      <w:pPr>
        <w:pStyle w:val="normaltext"/>
        <w:ind w:firstLine="288"/>
        <w:rPr>
          <w:rFonts w:asciiTheme="majorBidi" w:hAnsiTheme="majorBidi" w:cstheme="majorBidi"/>
        </w:rPr>
      </w:pPr>
      <w:r w:rsidRPr="002E33D9">
        <w:rPr>
          <w:rFonts w:asciiTheme="majorBidi" w:hAnsiTheme="majorBidi" w:cstheme="majorBidi"/>
        </w:rPr>
        <w:t xml:space="preserve">Ensuring the rights of laborers and establishing them as significant contributors </w:t>
      </w:r>
      <w:proofErr w:type="gramStart"/>
      <w:r w:rsidRPr="002E33D9">
        <w:rPr>
          <w:rFonts w:asciiTheme="majorBidi" w:hAnsiTheme="majorBidi" w:cstheme="majorBidi"/>
        </w:rPr>
        <w:t>require</w:t>
      </w:r>
      <w:proofErr w:type="gramEnd"/>
      <w:r w:rsidRPr="002E33D9">
        <w:rPr>
          <w:rFonts w:asciiTheme="majorBidi" w:hAnsiTheme="majorBidi" w:cstheme="majorBidi"/>
        </w:rPr>
        <w:t xml:space="preserve"> integrating socio-centric and human-centric perspectives into industrial policies. Restructuring social policies, including health protection and welfare systems, is necessary for substantial collaboration between businesses and educational institutions.</w:t>
      </w:r>
    </w:p>
    <w:p w14:paraId="5041F196" w14:textId="54F925FE" w:rsidR="0037226D" w:rsidRDefault="0037226D" w:rsidP="00656F97">
      <w:pPr>
        <w:pStyle w:val="normaltext"/>
        <w:ind w:firstLine="288"/>
        <w:rPr>
          <w:rFonts w:asciiTheme="majorBidi" w:hAnsiTheme="majorBidi" w:cstheme="majorBidi"/>
        </w:rPr>
      </w:pPr>
      <w:r w:rsidRPr="002E33D9">
        <w:rPr>
          <w:rFonts w:asciiTheme="majorBidi" w:hAnsiTheme="majorBidi" w:cstheme="majorBidi"/>
        </w:rPr>
        <w:t xml:space="preserve">HDT adoption challenges span technological, application, organizational, and societal dimensions. Standardizing technologies, ensuring transparency, and embracing a human-centric approach are vital for optimal HDT development. Overcoming challenges in networking, </w:t>
      </w:r>
      <w:proofErr w:type="spellStart"/>
      <w:r w:rsidRPr="002E33D9">
        <w:rPr>
          <w:rFonts w:asciiTheme="majorBidi" w:hAnsiTheme="majorBidi" w:cstheme="majorBidi"/>
        </w:rPr>
        <w:t>intelligentization</w:t>
      </w:r>
      <w:proofErr w:type="spellEnd"/>
      <w:r w:rsidRPr="002E33D9">
        <w:rPr>
          <w:rFonts w:asciiTheme="majorBidi" w:hAnsiTheme="majorBidi" w:cstheme="majorBidi"/>
        </w:rPr>
        <w:t>, and organizational awareness is essential for HDT to continue promoting human-centricity and meet the evolving demands of the modern world in the industry 5.0 landscape.</w:t>
      </w:r>
    </w:p>
    <w:p w14:paraId="1696CD6E" w14:textId="77777777" w:rsidR="0061390D" w:rsidRPr="002E33D9" w:rsidRDefault="0061390D" w:rsidP="0061390D">
      <w:pPr>
        <w:pStyle w:val="normaltext"/>
        <w:ind w:firstLine="0"/>
        <w:rPr>
          <w:rFonts w:asciiTheme="majorBidi" w:hAnsiTheme="majorBidi" w:cstheme="majorBidi"/>
        </w:rPr>
      </w:pPr>
    </w:p>
    <w:p w14:paraId="127F10D3" w14:textId="478A41FB" w:rsidR="0037226D" w:rsidRPr="002E33D9" w:rsidRDefault="0037226D" w:rsidP="002E33D9">
      <w:pPr>
        <w:pStyle w:val="Heading1"/>
        <w:jc w:val="both"/>
        <w:rPr>
          <w:rFonts w:asciiTheme="majorBidi" w:hAnsiTheme="majorBidi" w:cstheme="majorBidi"/>
        </w:rPr>
      </w:pPr>
      <w:r w:rsidRPr="002E33D9">
        <w:rPr>
          <w:rFonts w:asciiTheme="majorBidi" w:hAnsiTheme="majorBidi" w:cstheme="majorBidi"/>
        </w:rPr>
        <w:t>Discussion</w:t>
      </w:r>
    </w:p>
    <w:p w14:paraId="5DD8F365" w14:textId="77777777" w:rsidR="0037226D" w:rsidRPr="002E33D9" w:rsidRDefault="0037226D" w:rsidP="002E33D9">
      <w:pPr>
        <w:pStyle w:val="Heading2"/>
        <w:numPr>
          <w:ilvl w:val="0"/>
          <w:numId w:val="0"/>
        </w:numPr>
        <w:jc w:val="both"/>
        <w:rPr>
          <w:rFonts w:asciiTheme="majorBidi" w:hAnsiTheme="majorBidi" w:cstheme="majorBidi"/>
        </w:rPr>
      </w:pPr>
      <w:r w:rsidRPr="002E33D9">
        <w:rPr>
          <w:rFonts w:asciiTheme="majorBidi" w:hAnsiTheme="majorBidi" w:cstheme="majorBidi"/>
        </w:rPr>
        <w:t>5.1 Integration of HDT in Industry 5.0</w:t>
      </w:r>
    </w:p>
    <w:p w14:paraId="3F2D965C" w14:textId="77777777" w:rsidR="0037226D" w:rsidRPr="002E33D9" w:rsidRDefault="0037226D" w:rsidP="002E33D9">
      <w:pPr>
        <w:jc w:val="both"/>
        <w:rPr>
          <w:rFonts w:asciiTheme="majorBidi" w:hAnsiTheme="majorBidi" w:cstheme="majorBidi"/>
          <w:sz w:val="20"/>
          <w:szCs w:val="20"/>
        </w:rPr>
      </w:pPr>
    </w:p>
    <w:p w14:paraId="3543CB1D" w14:textId="51B8F220" w:rsidR="0037226D" w:rsidRPr="002E33D9" w:rsidRDefault="0037226D" w:rsidP="00656F97">
      <w:pPr>
        <w:ind w:firstLine="288"/>
        <w:jc w:val="both"/>
        <w:rPr>
          <w:rFonts w:asciiTheme="majorBidi" w:hAnsiTheme="majorBidi" w:cstheme="majorBidi"/>
          <w:sz w:val="20"/>
          <w:szCs w:val="20"/>
        </w:rPr>
      </w:pPr>
      <w:r w:rsidRPr="002E33D9">
        <w:rPr>
          <w:rFonts w:asciiTheme="majorBidi" w:hAnsiTheme="majorBidi" w:cstheme="majorBidi"/>
          <w:sz w:val="20"/>
          <w:szCs w:val="20"/>
        </w:rPr>
        <w:t>The integration of HDT within the Industry 5.0 paradigm is a strategic move towards a more human-centric and interconnected manufacturing landscape. HDT's role in creating real-time digital replicas of individuals aligns with the overarching goal of Industry 5.0 – the convergence of physical and digital systems. By providing a dynamic, human-centric system that enables bidirectional communication between the physical and digital realms, HDT addresses the need for personalized, efficient, and safe industrial processes. The adoption of HDT reflects a conscious effort to eliminate barriers between the actual and virtual worlds, emphasizing the centrality of human intelligence and capabilities in Industry 5.0.</w:t>
      </w:r>
    </w:p>
    <w:p w14:paraId="150E928C" w14:textId="77777777" w:rsidR="0037226D" w:rsidRPr="002E33D9" w:rsidRDefault="0037226D" w:rsidP="002E33D9">
      <w:pPr>
        <w:jc w:val="both"/>
        <w:rPr>
          <w:rFonts w:asciiTheme="majorBidi" w:hAnsiTheme="majorBidi" w:cstheme="majorBidi"/>
          <w:sz w:val="20"/>
          <w:szCs w:val="20"/>
        </w:rPr>
      </w:pPr>
    </w:p>
    <w:p w14:paraId="31F0E40C" w14:textId="5284134B" w:rsidR="0037226D" w:rsidRDefault="0037226D" w:rsidP="00656F97">
      <w:pPr>
        <w:ind w:firstLine="288"/>
        <w:jc w:val="both"/>
        <w:rPr>
          <w:rFonts w:asciiTheme="majorBidi" w:hAnsiTheme="majorBidi" w:cstheme="majorBidi"/>
          <w:sz w:val="20"/>
          <w:szCs w:val="20"/>
        </w:rPr>
      </w:pPr>
      <w:r w:rsidRPr="002E33D9">
        <w:rPr>
          <w:rFonts w:asciiTheme="majorBidi" w:hAnsiTheme="majorBidi" w:cstheme="majorBidi"/>
          <w:sz w:val="20"/>
          <w:szCs w:val="20"/>
        </w:rPr>
        <w:t>HDT seamlessly fits into the broader Industry 5.0 framework by augmenting traditional Digital Twin concepts with a distinct focus on human elements. While DT emphasizes intangible physical entities, HDT extends this by integrating intelligent interpretation, analysis, and visualization of industrial work floors with a specific emphasis on virtual representations of humans. Adhering to the comprehensive approach of Industry 5.0 is consistent with the three dimensions of HDT's theoretical framework: HE, VE, and IS. A collaborative ecosystem fostering collaboration, communication, and efficiency is established through the interplay between the Interactive System (IS), the Human Entity (HE), and the Virtual Entity (VE). This is consistent with Industry 5.0's notion of human-centric intelligent manufacturing systems.</w:t>
      </w:r>
    </w:p>
    <w:p w14:paraId="4DB9AAA3" w14:textId="77777777" w:rsidR="0061390D" w:rsidRPr="0061390D" w:rsidRDefault="0061390D" w:rsidP="0061390D">
      <w:pPr>
        <w:jc w:val="both"/>
        <w:rPr>
          <w:rFonts w:asciiTheme="majorBidi" w:hAnsiTheme="majorBidi" w:cstheme="majorBidi"/>
          <w:sz w:val="2"/>
          <w:szCs w:val="2"/>
        </w:rPr>
      </w:pPr>
    </w:p>
    <w:p w14:paraId="5E344D57" w14:textId="77777777" w:rsidR="0037226D" w:rsidRPr="002E33D9" w:rsidRDefault="0037226D" w:rsidP="002E33D9">
      <w:pPr>
        <w:jc w:val="both"/>
        <w:rPr>
          <w:rFonts w:asciiTheme="majorBidi" w:hAnsiTheme="majorBidi" w:cstheme="majorBidi"/>
          <w:sz w:val="20"/>
          <w:szCs w:val="20"/>
        </w:rPr>
      </w:pPr>
    </w:p>
    <w:p w14:paraId="2F523BE0" w14:textId="77777777" w:rsidR="0037226D" w:rsidRPr="002E33D9" w:rsidRDefault="0037226D" w:rsidP="002E33D9">
      <w:pPr>
        <w:pStyle w:val="Heading2"/>
        <w:numPr>
          <w:ilvl w:val="0"/>
          <w:numId w:val="0"/>
        </w:numPr>
        <w:jc w:val="both"/>
        <w:rPr>
          <w:rFonts w:asciiTheme="majorBidi" w:hAnsiTheme="majorBidi" w:cstheme="majorBidi"/>
        </w:rPr>
      </w:pPr>
      <w:r w:rsidRPr="002E33D9">
        <w:rPr>
          <w:rFonts w:asciiTheme="majorBidi" w:hAnsiTheme="majorBidi" w:cstheme="majorBidi"/>
        </w:rPr>
        <w:t>5.2 Possible benefits and connections</w:t>
      </w:r>
    </w:p>
    <w:p w14:paraId="027A5497" w14:textId="77777777" w:rsidR="0037226D" w:rsidRPr="002E33D9" w:rsidRDefault="0037226D" w:rsidP="002E33D9">
      <w:pPr>
        <w:jc w:val="both"/>
        <w:rPr>
          <w:rFonts w:asciiTheme="majorBidi" w:hAnsiTheme="majorBidi" w:cstheme="majorBidi"/>
          <w:sz w:val="20"/>
          <w:szCs w:val="20"/>
        </w:rPr>
      </w:pPr>
    </w:p>
    <w:p w14:paraId="560EE5D2" w14:textId="65798899" w:rsidR="0037226D" w:rsidRPr="002E33D9" w:rsidRDefault="0037226D" w:rsidP="00656F97">
      <w:pPr>
        <w:ind w:firstLine="288"/>
        <w:jc w:val="both"/>
        <w:rPr>
          <w:rFonts w:asciiTheme="majorBidi" w:hAnsiTheme="majorBidi" w:cstheme="majorBidi"/>
          <w:sz w:val="20"/>
          <w:szCs w:val="20"/>
        </w:rPr>
      </w:pPr>
      <w:r w:rsidRPr="002E33D9">
        <w:rPr>
          <w:rFonts w:asciiTheme="majorBidi" w:hAnsiTheme="majorBidi" w:cstheme="majorBidi"/>
          <w:sz w:val="20"/>
          <w:szCs w:val="20"/>
        </w:rPr>
        <w:t>The potential advantages and opportunities of integrating HDT into Industry 5.0 are enormous. HDT enables real-time collaboration between humans and machines, thereby enhancing predictive analysis, decision-making, and overall operational efficiency. The multidimensional database of HDT, considering human interactions with other resources, ensures a comprehensive representation of human attributes, leading to personalized and adaptive manufacturing processes. The integration of technologies like IoT, AI, machine learning, AR/VR, and data analytics within the HDT framework enhances its capabilities, offering benefits such as improved safety, optimized production, and a user-centric approach. The elimination of barriers between physical and virtual realms fosters an environment where humans and machines coexist, collaborate, and mutually benefit, creating a symbiotic relationship within Industry 5.0.</w:t>
      </w:r>
    </w:p>
    <w:p w14:paraId="22C7AE72" w14:textId="77777777" w:rsidR="0037226D" w:rsidRPr="002E33D9" w:rsidRDefault="0037226D" w:rsidP="002E33D9">
      <w:pPr>
        <w:jc w:val="both"/>
        <w:rPr>
          <w:rFonts w:asciiTheme="majorBidi" w:hAnsiTheme="majorBidi" w:cstheme="majorBidi"/>
          <w:sz w:val="20"/>
          <w:szCs w:val="20"/>
        </w:rPr>
      </w:pPr>
    </w:p>
    <w:p w14:paraId="1A57993D" w14:textId="77777777" w:rsidR="0037226D" w:rsidRPr="002E33D9" w:rsidRDefault="0037226D" w:rsidP="002E33D9">
      <w:pPr>
        <w:pStyle w:val="Heading2"/>
        <w:numPr>
          <w:ilvl w:val="0"/>
          <w:numId w:val="0"/>
        </w:numPr>
        <w:jc w:val="both"/>
        <w:rPr>
          <w:rFonts w:asciiTheme="majorBidi" w:hAnsiTheme="majorBidi" w:cstheme="majorBidi"/>
        </w:rPr>
      </w:pPr>
      <w:r w:rsidRPr="002E33D9">
        <w:rPr>
          <w:rFonts w:asciiTheme="majorBidi" w:hAnsiTheme="majorBidi" w:cstheme="majorBidi"/>
        </w:rPr>
        <w:t>5.3 Comparative Analysis of case studies</w:t>
      </w:r>
    </w:p>
    <w:p w14:paraId="3CB1A842" w14:textId="77777777" w:rsidR="00656F97" w:rsidRDefault="00656F97" w:rsidP="00656F97">
      <w:pPr>
        <w:ind w:firstLine="288"/>
        <w:jc w:val="both"/>
        <w:rPr>
          <w:rFonts w:asciiTheme="majorBidi" w:hAnsiTheme="majorBidi" w:cstheme="majorBidi"/>
          <w:sz w:val="20"/>
          <w:szCs w:val="20"/>
        </w:rPr>
      </w:pPr>
    </w:p>
    <w:p w14:paraId="6DBD3930" w14:textId="322B2831" w:rsidR="0037226D" w:rsidRPr="002E33D9" w:rsidRDefault="0037226D" w:rsidP="00656F97">
      <w:pPr>
        <w:ind w:firstLine="288"/>
        <w:jc w:val="both"/>
        <w:rPr>
          <w:rFonts w:asciiTheme="majorBidi" w:hAnsiTheme="majorBidi" w:cstheme="majorBidi"/>
          <w:sz w:val="20"/>
          <w:szCs w:val="20"/>
        </w:rPr>
      </w:pPr>
      <w:r w:rsidRPr="002E33D9">
        <w:rPr>
          <w:rFonts w:asciiTheme="majorBidi" w:hAnsiTheme="majorBidi" w:cstheme="majorBidi"/>
          <w:sz w:val="20"/>
          <w:szCs w:val="20"/>
        </w:rPr>
        <w:t xml:space="preserve">The case studies present a diverse range of applications showcasing the versatility of HDT in Industry 5.0. In the design domain, the CDAM system exemplifies how HDT can optimize and manage services by creating customized orthosis prototypes, highlighting the significance of real-time versions for user-centric design. In production, the FSNN-based collaboration method and the HDT system for operator safety demonstrate the potential for enhanced decision-making, efficiency, and worker well-being. The ergonomic evaluation and maintenance decision </w:t>
      </w:r>
      <w:r w:rsidRPr="002E33D9">
        <w:rPr>
          <w:rFonts w:asciiTheme="majorBidi" w:hAnsiTheme="majorBidi" w:cstheme="majorBidi"/>
          <w:sz w:val="20"/>
          <w:szCs w:val="20"/>
        </w:rPr>
        <w:lastRenderedPageBreak/>
        <w:t>support case studies further underscore the adaptability and effectiveness of HDT in different lifecycle stages. Commonalities include the emphasis on real-time data, user-centric approaches, and safety, while differences lie in specific applications and methodologies.</w:t>
      </w:r>
    </w:p>
    <w:p w14:paraId="45837433" w14:textId="77777777" w:rsidR="00CC294B" w:rsidRPr="002E33D9" w:rsidRDefault="00CC294B" w:rsidP="002E33D9">
      <w:pPr>
        <w:jc w:val="both"/>
        <w:rPr>
          <w:rFonts w:asciiTheme="majorBidi" w:hAnsiTheme="majorBidi" w:cstheme="majorBidi"/>
          <w:sz w:val="20"/>
          <w:szCs w:val="20"/>
        </w:rPr>
      </w:pPr>
    </w:p>
    <w:p w14:paraId="73C33702" w14:textId="77777777" w:rsidR="00CC294B" w:rsidRPr="002E33D9" w:rsidRDefault="00CC294B" w:rsidP="002E33D9">
      <w:pPr>
        <w:pStyle w:val="Heading2"/>
        <w:numPr>
          <w:ilvl w:val="0"/>
          <w:numId w:val="0"/>
        </w:numPr>
        <w:jc w:val="both"/>
        <w:rPr>
          <w:rFonts w:asciiTheme="majorBidi" w:hAnsiTheme="majorBidi" w:cstheme="majorBidi"/>
        </w:rPr>
      </w:pPr>
      <w:r w:rsidRPr="002E33D9">
        <w:rPr>
          <w:rFonts w:asciiTheme="majorBidi" w:hAnsiTheme="majorBidi" w:cstheme="majorBidi"/>
        </w:rPr>
        <w:t>5.4 Findings</w:t>
      </w:r>
    </w:p>
    <w:p w14:paraId="09EC4273" w14:textId="77777777" w:rsidR="00CC294B" w:rsidRPr="002E33D9" w:rsidRDefault="00CC294B" w:rsidP="002E33D9">
      <w:pPr>
        <w:jc w:val="both"/>
        <w:rPr>
          <w:rFonts w:asciiTheme="majorBidi" w:hAnsiTheme="majorBidi" w:cstheme="majorBidi"/>
          <w:sz w:val="20"/>
          <w:szCs w:val="20"/>
        </w:rPr>
      </w:pPr>
    </w:p>
    <w:p w14:paraId="2806CE3D" w14:textId="204ECBC7" w:rsidR="00CC294B" w:rsidRDefault="00CC294B" w:rsidP="00656F97">
      <w:pPr>
        <w:ind w:firstLine="288"/>
        <w:jc w:val="both"/>
        <w:rPr>
          <w:rFonts w:asciiTheme="majorBidi" w:hAnsiTheme="majorBidi" w:cstheme="majorBidi"/>
          <w:sz w:val="20"/>
          <w:szCs w:val="20"/>
        </w:rPr>
      </w:pPr>
      <w:r w:rsidRPr="002E33D9">
        <w:rPr>
          <w:rFonts w:asciiTheme="majorBidi" w:hAnsiTheme="majorBidi" w:cstheme="majorBidi"/>
          <w:sz w:val="20"/>
          <w:szCs w:val="20"/>
        </w:rPr>
        <w:t>The implications of the case studies are potentially applicable across various industries. In the manufacturing industry, safety, efficiency, user-centered design, and real-time collaboration are all prevalent objectives. Assuring security and privacy concerns and adopting a genuinely human-centric approach are a few of the issues that are likely to impact a wide variety of business categories. The adaptable nature of HDT enables its utility to transcend numerous contexts. Consequently, it serves as a critical underpinning for the objective of Industry 5.0, which is to enhance the efficiency, safety, and collaboration of manufacturing processes. Despite the constant evolution of technology, HDT's fundamental principles and procedures should continue to be applicable in various industrial contexts.</w:t>
      </w:r>
    </w:p>
    <w:p w14:paraId="28ED15B3" w14:textId="77777777" w:rsidR="0061390D" w:rsidRPr="002E33D9" w:rsidRDefault="0061390D" w:rsidP="0061390D">
      <w:pPr>
        <w:jc w:val="both"/>
        <w:rPr>
          <w:rFonts w:asciiTheme="majorBidi" w:hAnsiTheme="majorBidi" w:cstheme="majorBidi"/>
          <w:sz w:val="20"/>
          <w:szCs w:val="20"/>
        </w:rPr>
      </w:pPr>
    </w:p>
    <w:p w14:paraId="5C9029F0" w14:textId="77777777" w:rsidR="00CC294B" w:rsidRPr="002E33D9" w:rsidRDefault="00CC294B" w:rsidP="002E33D9">
      <w:pPr>
        <w:jc w:val="both"/>
        <w:rPr>
          <w:rFonts w:asciiTheme="majorBidi" w:hAnsiTheme="majorBidi" w:cstheme="majorBidi"/>
          <w:sz w:val="20"/>
          <w:szCs w:val="20"/>
        </w:rPr>
      </w:pPr>
    </w:p>
    <w:p w14:paraId="6F89A217" w14:textId="24E91667" w:rsidR="00CC294B" w:rsidRPr="002E33D9" w:rsidRDefault="00CC294B" w:rsidP="002E33D9">
      <w:pPr>
        <w:pStyle w:val="Heading1"/>
        <w:jc w:val="both"/>
        <w:rPr>
          <w:rFonts w:asciiTheme="majorBidi" w:hAnsiTheme="majorBidi" w:cstheme="majorBidi"/>
        </w:rPr>
      </w:pPr>
      <w:r w:rsidRPr="002E33D9">
        <w:rPr>
          <w:rFonts w:asciiTheme="majorBidi" w:hAnsiTheme="majorBidi" w:cstheme="majorBidi"/>
        </w:rPr>
        <w:t>Conclusion</w:t>
      </w:r>
    </w:p>
    <w:p w14:paraId="1EB34056" w14:textId="1128EC2E" w:rsidR="00CC294B" w:rsidRPr="002E33D9" w:rsidRDefault="00CC294B" w:rsidP="00656F97">
      <w:pPr>
        <w:ind w:firstLine="288"/>
        <w:jc w:val="both"/>
        <w:rPr>
          <w:rFonts w:asciiTheme="majorBidi" w:hAnsiTheme="majorBidi" w:cstheme="majorBidi"/>
          <w:sz w:val="20"/>
          <w:szCs w:val="20"/>
        </w:rPr>
      </w:pPr>
      <w:r w:rsidRPr="002E33D9">
        <w:rPr>
          <w:rFonts w:asciiTheme="majorBidi" w:hAnsiTheme="majorBidi" w:cstheme="majorBidi"/>
          <w:sz w:val="20"/>
          <w:szCs w:val="20"/>
        </w:rPr>
        <w:t>In short, the case studies and analysis show how human-digital twins can change things in the setting of Industry 5.0. Key results include how HDT can be used in many ways at different stages of product development and production, focusing on user-centered design, real-time collaboration, improving safety, and making things run more smoothly. The problems that were named, like making sure that the method is truly human-centered and taking security into account, show how challenging it is to implement HDT in industrial settings.</w:t>
      </w:r>
    </w:p>
    <w:p w14:paraId="5867643A" w14:textId="77777777" w:rsidR="00CC294B" w:rsidRPr="002E33D9" w:rsidRDefault="00CC294B" w:rsidP="002E33D9">
      <w:pPr>
        <w:jc w:val="both"/>
        <w:rPr>
          <w:rFonts w:asciiTheme="majorBidi" w:hAnsiTheme="majorBidi" w:cstheme="majorBidi"/>
          <w:sz w:val="20"/>
          <w:szCs w:val="20"/>
        </w:rPr>
      </w:pPr>
    </w:p>
    <w:p w14:paraId="0265D572" w14:textId="4A9A0DF7" w:rsidR="00CC294B" w:rsidRPr="002E33D9" w:rsidRDefault="00CC294B" w:rsidP="00656F97">
      <w:pPr>
        <w:ind w:firstLine="288"/>
        <w:jc w:val="both"/>
        <w:rPr>
          <w:rFonts w:asciiTheme="majorBidi" w:hAnsiTheme="majorBidi" w:cstheme="majorBidi"/>
          <w:sz w:val="20"/>
          <w:szCs w:val="20"/>
        </w:rPr>
      </w:pPr>
      <w:r w:rsidRPr="002E33D9">
        <w:rPr>
          <w:rFonts w:asciiTheme="majorBidi" w:hAnsiTheme="majorBidi" w:cstheme="majorBidi"/>
          <w:sz w:val="20"/>
          <w:szCs w:val="20"/>
        </w:rPr>
        <w:t xml:space="preserve">This study greatly improves our knowledge of HDT in Industry 5.0 by looking into </w:t>
      </w:r>
      <w:proofErr w:type="gramStart"/>
      <w:r w:rsidRPr="002E33D9">
        <w:rPr>
          <w:rFonts w:asciiTheme="majorBidi" w:hAnsiTheme="majorBidi" w:cstheme="majorBidi"/>
          <w:sz w:val="20"/>
          <w:szCs w:val="20"/>
        </w:rPr>
        <w:t>all of</w:t>
      </w:r>
      <w:proofErr w:type="gramEnd"/>
      <w:r w:rsidRPr="002E33D9">
        <w:rPr>
          <w:rFonts w:asciiTheme="majorBidi" w:hAnsiTheme="majorBidi" w:cstheme="majorBidi"/>
          <w:sz w:val="20"/>
          <w:szCs w:val="20"/>
        </w:rPr>
        <w:t xml:space="preserve"> its uses, difficulties, and how it fits into the bigger picture of manufacturing. A comparison of case studies shows similarities and variations, giving a more complete picture of HDT's flexibility. The idea behind HDT(HE, VE, and IS) is based on a theoretical framework that fits with Industry 5.0's goal of an integrated, smart, and human-centered manufacturing ecosystem.</w:t>
      </w:r>
    </w:p>
    <w:p w14:paraId="72C6D522" w14:textId="77777777" w:rsidR="00CC294B" w:rsidRPr="002E33D9" w:rsidRDefault="00CC294B" w:rsidP="002E33D9">
      <w:pPr>
        <w:jc w:val="both"/>
        <w:rPr>
          <w:rFonts w:asciiTheme="majorBidi" w:hAnsiTheme="majorBidi" w:cstheme="majorBidi"/>
          <w:sz w:val="20"/>
          <w:szCs w:val="20"/>
        </w:rPr>
      </w:pPr>
    </w:p>
    <w:p w14:paraId="73781BC8" w14:textId="3F52DB0D" w:rsidR="00CC294B" w:rsidRPr="002E33D9" w:rsidRDefault="00CC294B" w:rsidP="00656F97">
      <w:pPr>
        <w:ind w:firstLine="288"/>
        <w:jc w:val="both"/>
        <w:rPr>
          <w:rFonts w:asciiTheme="majorBidi" w:hAnsiTheme="majorBidi" w:cstheme="majorBidi"/>
          <w:sz w:val="20"/>
          <w:szCs w:val="20"/>
        </w:rPr>
      </w:pPr>
      <w:r w:rsidRPr="002E33D9">
        <w:rPr>
          <w:rFonts w:asciiTheme="majorBidi" w:hAnsiTheme="majorBidi" w:cstheme="majorBidi"/>
          <w:sz w:val="20"/>
          <w:szCs w:val="20"/>
        </w:rPr>
        <w:t xml:space="preserve">The practical applications and effects of this study on people who work in the field are immense. The </w:t>
      </w:r>
      <w:r w:rsidRPr="002E33D9">
        <w:rPr>
          <w:rFonts w:asciiTheme="majorBidi" w:hAnsiTheme="majorBidi" w:cstheme="majorBidi"/>
          <w:sz w:val="20"/>
          <w:szCs w:val="20"/>
        </w:rPr>
        <w:t>results show that HDT has the potential to help people make better decisions, improve production methods, and put people's health first. Practitioners can use what they have learned about problems, like the need for a more human-centered approach and security issues, to make their plans for implementing HDT more effectively. Real-time collaboration and safety are important in many applications. This shows that using HDT can make manufacturing more efficient, flexible, and safe.</w:t>
      </w:r>
    </w:p>
    <w:p w14:paraId="4FF1FD96" w14:textId="77777777" w:rsidR="00CC294B" w:rsidRPr="002E33D9" w:rsidRDefault="00CC294B" w:rsidP="002E33D9">
      <w:pPr>
        <w:jc w:val="both"/>
        <w:rPr>
          <w:rFonts w:asciiTheme="majorBidi" w:hAnsiTheme="majorBidi" w:cstheme="majorBidi"/>
          <w:sz w:val="20"/>
          <w:szCs w:val="20"/>
        </w:rPr>
      </w:pPr>
    </w:p>
    <w:p w14:paraId="64CDFBF2" w14:textId="79B0F98B" w:rsidR="00CC294B" w:rsidRPr="002E33D9" w:rsidRDefault="00CC294B" w:rsidP="00656F97">
      <w:pPr>
        <w:ind w:firstLine="288"/>
        <w:jc w:val="both"/>
        <w:rPr>
          <w:rFonts w:asciiTheme="majorBidi" w:hAnsiTheme="majorBidi" w:cstheme="majorBidi"/>
          <w:sz w:val="20"/>
          <w:szCs w:val="20"/>
        </w:rPr>
      </w:pPr>
      <w:r w:rsidRPr="002E33D9">
        <w:rPr>
          <w:rFonts w:asciiTheme="majorBidi" w:hAnsiTheme="majorBidi" w:cstheme="majorBidi"/>
          <w:sz w:val="20"/>
          <w:szCs w:val="20"/>
        </w:rPr>
        <w:t xml:space="preserve">There are a lot of interesting directions that studies in HDT and Industry 5.0 can go in the future. More research into solving the problems found, especially how to make the method truly human-centered and how to deal with security issues, will help improve HDT applications. Additional research into HDT's use in different industries and its adaptability to various production settings will make it more useful in a wider range of situations. For a complete picture, it is also important to </w:t>
      </w:r>
      <w:proofErr w:type="gramStart"/>
      <w:r w:rsidRPr="002E33D9">
        <w:rPr>
          <w:rFonts w:asciiTheme="majorBidi" w:hAnsiTheme="majorBidi" w:cstheme="majorBidi"/>
          <w:sz w:val="20"/>
          <w:szCs w:val="20"/>
        </w:rPr>
        <w:t>look into</w:t>
      </w:r>
      <w:proofErr w:type="gramEnd"/>
      <w:r w:rsidRPr="002E33D9">
        <w:rPr>
          <w:rFonts w:asciiTheme="majorBidi" w:hAnsiTheme="majorBidi" w:cstheme="majorBidi"/>
          <w:sz w:val="20"/>
          <w:szCs w:val="20"/>
        </w:rPr>
        <w:t xml:space="preserve"> the moral issues connected to implementing HDT and how it affects society. It will be important to study how the relationship between people and digital </w:t>
      </w:r>
      <w:proofErr w:type="gramStart"/>
      <w:r w:rsidRPr="002E33D9">
        <w:rPr>
          <w:rFonts w:asciiTheme="majorBidi" w:hAnsiTheme="majorBidi" w:cstheme="majorBidi"/>
          <w:sz w:val="20"/>
          <w:szCs w:val="20"/>
        </w:rPr>
        <w:t>twins</w:t>
      </w:r>
      <w:proofErr w:type="gramEnd"/>
      <w:r w:rsidRPr="002E33D9">
        <w:rPr>
          <w:rFonts w:asciiTheme="majorBidi" w:hAnsiTheme="majorBidi" w:cstheme="majorBidi"/>
          <w:sz w:val="20"/>
          <w:szCs w:val="20"/>
        </w:rPr>
        <w:t xml:space="preserve"> changes as technology keeps getting better if you want to stay ahead of the changes in Industry 5.0.</w:t>
      </w:r>
    </w:p>
    <w:p w14:paraId="469F0E66" w14:textId="77777777" w:rsidR="00CC294B" w:rsidRPr="002E33D9" w:rsidRDefault="00CC294B" w:rsidP="002E33D9">
      <w:pPr>
        <w:jc w:val="both"/>
        <w:rPr>
          <w:rFonts w:asciiTheme="majorBidi" w:hAnsiTheme="majorBidi" w:cstheme="majorBidi"/>
          <w:sz w:val="20"/>
          <w:szCs w:val="20"/>
        </w:rPr>
      </w:pPr>
    </w:p>
    <w:p w14:paraId="74B3EEF6" w14:textId="70CF2A78" w:rsidR="00CC294B" w:rsidRPr="002E33D9" w:rsidRDefault="00CC294B" w:rsidP="00656F97">
      <w:pPr>
        <w:ind w:firstLine="288"/>
        <w:jc w:val="both"/>
        <w:rPr>
          <w:rFonts w:asciiTheme="majorBidi" w:hAnsiTheme="majorBidi" w:cstheme="majorBidi"/>
          <w:sz w:val="20"/>
          <w:szCs w:val="20"/>
        </w:rPr>
      </w:pPr>
      <w:r w:rsidRPr="002E33D9">
        <w:rPr>
          <w:rFonts w:asciiTheme="majorBidi" w:hAnsiTheme="majorBidi" w:cstheme="majorBidi"/>
          <w:sz w:val="20"/>
          <w:szCs w:val="20"/>
        </w:rPr>
        <w:t>In conclusion, this study helps us learn more about HDT in Industry 5.0, which is useful for both education and business. The multifaceted contributions, real-world implications, and ideas for future study all add to the ongoing conversation about HDT's role in shaping the future of manufacturing.</w:t>
      </w:r>
    </w:p>
    <w:p w14:paraId="65418EED" w14:textId="77777777" w:rsidR="00CC294B" w:rsidRPr="002E33D9" w:rsidRDefault="00CC294B" w:rsidP="002E33D9">
      <w:pPr>
        <w:jc w:val="both"/>
        <w:rPr>
          <w:rFonts w:asciiTheme="majorBidi" w:hAnsiTheme="majorBidi" w:cstheme="majorBidi"/>
          <w:sz w:val="20"/>
          <w:szCs w:val="20"/>
        </w:rPr>
      </w:pPr>
    </w:p>
    <w:p w14:paraId="06097FE2" w14:textId="77777777" w:rsidR="00CC294B" w:rsidRPr="002E33D9" w:rsidRDefault="00CC294B" w:rsidP="002E33D9">
      <w:pPr>
        <w:jc w:val="both"/>
        <w:rPr>
          <w:rFonts w:asciiTheme="majorBidi" w:hAnsiTheme="majorBidi" w:cstheme="majorBidi"/>
          <w:sz w:val="20"/>
          <w:szCs w:val="20"/>
        </w:rPr>
      </w:pPr>
    </w:p>
    <w:p w14:paraId="6691BA83" w14:textId="1DCF4EA6" w:rsidR="00CC294B" w:rsidRPr="002E33D9" w:rsidRDefault="00CC294B" w:rsidP="002E33D9">
      <w:pPr>
        <w:pStyle w:val="Heading1"/>
        <w:numPr>
          <w:ilvl w:val="0"/>
          <w:numId w:val="0"/>
        </w:numPr>
        <w:ind w:left="360" w:hanging="360"/>
        <w:jc w:val="both"/>
        <w:rPr>
          <w:rFonts w:asciiTheme="majorBidi" w:hAnsiTheme="majorBidi" w:cstheme="majorBidi"/>
        </w:rPr>
      </w:pPr>
      <w:r w:rsidRPr="002E33D9">
        <w:rPr>
          <w:rFonts w:asciiTheme="majorBidi" w:hAnsiTheme="majorBidi" w:cstheme="majorBidi"/>
        </w:rPr>
        <w:t>References</w:t>
      </w:r>
    </w:p>
    <w:p w14:paraId="00F5E81C" w14:textId="737F4CB4"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Cotta J, Breque M, Nul L De, Petridis A. Towards a sustainable, human- centric and resilient European industry. </w:t>
      </w:r>
      <w:r w:rsidRPr="00A60F8E">
        <w:rPr>
          <w:rFonts w:asciiTheme="majorBidi" w:hAnsiTheme="majorBidi" w:cstheme="majorBidi"/>
          <w:i/>
          <w:iCs/>
          <w:noProof/>
          <w:sz w:val="16"/>
          <w:szCs w:val="16"/>
        </w:rPr>
        <w:t>Luxemb Publ Off Eur Union</w:t>
      </w:r>
      <w:r w:rsidRPr="00A60F8E">
        <w:rPr>
          <w:rFonts w:asciiTheme="majorBidi" w:hAnsiTheme="majorBidi" w:cstheme="majorBidi"/>
          <w:noProof/>
          <w:sz w:val="16"/>
          <w:szCs w:val="16"/>
        </w:rPr>
        <w:t>. Published online 2021. doi:10.2777/308407</w:t>
      </w:r>
    </w:p>
    <w:p w14:paraId="41E505A0"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74D61A3D" w14:textId="0D17FE46"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Nahavandi S. Industry 5 . 0 — A Human-Centric Solution. </w:t>
      </w:r>
      <w:r w:rsidRPr="00A60F8E">
        <w:rPr>
          <w:rFonts w:asciiTheme="majorBidi" w:hAnsiTheme="majorBidi" w:cstheme="majorBidi"/>
          <w:i/>
          <w:iCs/>
          <w:noProof/>
          <w:sz w:val="16"/>
          <w:szCs w:val="16"/>
        </w:rPr>
        <w:t>Sustain</w:t>
      </w:r>
      <w:r w:rsidRPr="00A60F8E">
        <w:rPr>
          <w:rFonts w:asciiTheme="majorBidi" w:hAnsiTheme="majorBidi" w:cstheme="majorBidi"/>
          <w:noProof/>
          <w:sz w:val="16"/>
          <w:szCs w:val="16"/>
        </w:rPr>
        <w:t>. Published online 2019.</w:t>
      </w:r>
    </w:p>
    <w:p w14:paraId="17386FF4"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54B98C79" w14:textId="015FB670"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Zizic MC, Mladineo M, Gjeldum N, Celent L. of Paradigm Shift for the People , Organization and Technology. </w:t>
      </w:r>
      <w:r w:rsidRPr="00A60F8E">
        <w:rPr>
          <w:rFonts w:asciiTheme="majorBidi" w:hAnsiTheme="majorBidi" w:cstheme="majorBidi"/>
          <w:i/>
          <w:iCs/>
          <w:noProof/>
          <w:sz w:val="16"/>
          <w:szCs w:val="16"/>
        </w:rPr>
        <w:t>Energies</w:t>
      </w:r>
      <w:r w:rsidRPr="00A60F8E">
        <w:rPr>
          <w:rFonts w:asciiTheme="majorBidi" w:hAnsiTheme="majorBidi" w:cstheme="majorBidi"/>
          <w:noProof/>
          <w:sz w:val="16"/>
          <w:szCs w:val="16"/>
        </w:rPr>
        <w:t>. Published online 2022.</w:t>
      </w:r>
    </w:p>
    <w:p w14:paraId="5D698C29"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6D4EDC24" w14:textId="0AFB1537"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Alves J, Lima TM, Gaspar PD. Is Industry 5.0 a Human-Centred Approach? A Systematic Review. </w:t>
      </w:r>
      <w:r w:rsidRPr="00A60F8E">
        <w:rPr>
          <w:rFonts w:asciiTheme="majorBidi" w:hAnsiTheme="majorBidi" w:cstheme="majorBidi"/>
          <w:i/>
          <w:iCs/>
          <w:noProof/>
          <w:sz w:val="16"/>
          <w:szCs w:val="16"/>
        </w:rPr>
        <w:t>Processes</w:t>
      </w:r>
      <w:r w:rsidRPr="00A60F8E">
        <w:rPr>
          <w:rFonts w:asciiTheme="majorBidi" w:hAnsiTheme="majorBidi" w:cstheme="majorBidi"/>
          <w:noProof/>
          <w:sz w:val="16"/>
          <w:szCs w:val="16"/>
        </w:rPr>
        <w:t>. 2023;11(1):0-15. doi:10.3390/pr11010193</w:t>
      </w:r>
    </w:p>
    <w:p w14:paraId="021B58B3" w14:textId="77777777" w:rsidR="00CC294B" w:rsidRPr="00A60F8E" w:rsidRDefault="00CC294B" w:rsidP="002E33D9">
      <w:pPr>
        <w:jc w:val="both"/>
        <w:rPr>
          <w:rFonts w:asciiTheme="majorBidi" w:hAnsiTheme="majorBidi" w:cstheme="majorBidi"/>
          <w:noProof/>
          <w:sz w:val="16"/>
          <w:szCs w:val="16"/>
        </w:rPr>
      </w:pPr>
    </w:p>
    <w:p w14:paraId="378FB3A3" w14:textId="5E9E832E" w:rsidR="00CC294B" w:rsidRPr="00A60F8E" w:rsidRDefault="00CC294B" w:rsidP="00A60F8E">
      <w:pPr>
        <w:pStyle w:val="ListParagraph"/>
        <w:numPr>
          <w:ilvl w:val="0"/>
          <w:numId w:val="53"/>
        </w:numPr>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Zhou J, Zhou Y, Wang B, Zang J. Human–Cyber–Physical Systems (HCPSs) in the Context of New-Generation Intelligent Manufacturing. </w:t>
      </w:r>
      <w:r w:rsidRPr="00A60F8E">
        <w:rPr>
          <w:rFonts w:asciiTheme="majorBidi" w:hAnsiTheme="majorBidi" w:cstheme="majorBidi"/>
          <w:i/>
          <w:iCs/>
          <w:noProof/>
          <w:sz w:val="16"/>
          <w:szCs w:val="16"/>
        </w:rPr>
        <w:t>Engineering</w:t>
      </w:r>
      <w:r w:rsidRPr="00A60F8E">
        <w:rPr>
          <w:rFonts w:asciiTheme="majorBidi" w:hAnsiTheme="majorBidi" w:cstheme="majorBidi"/>
          <w:noProof/>
          <w:sz w:val="16"/>
          <w:szCs w:val="16"/>
        </w:rPr>
        <w:t>. 2019;5(4). doi:10.1016/j.eng.2019.07.015</w:t>
      </w:r>
    </w:p>
    <w:p w14:paraId="7AB7CDFB" w14:textId="77777777"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lastRenderedPageBreak/>
        <w:t xml:space="preserve">Alam S, Bhatia S, Shuaib M, et al. An Overview of Blockchain and IoT Integration for Secure and Reliable Health Records Monitoring. </w:t>
      </w:r>
      <w:r w:rsidRPr="00A60F8E">
        <w:rPr>
          <w:rFonts w:asciiTheme="majorBidi" w:hAnsiTheme="majorBidi" w:cstheme="majorBidi"/>
          <w:i/>
          <w:iCs/>
          <w:noProof/>
          <w:sz w:val="16"/>
          <w:szCs w:val="16"/>
        </w:rPr>
        <w:t>Sustain</w:t>
      </w:r>
      <w:r w:rsidRPr="00A60F8E">
        <w:rPr>
          <w:rFonts w:asciiTheme="majorBidi" w:hAnsiTheme="majorBidi" w:cstheme="majorBidi"/>
          <w:noProof/>
          <w:sz w:val="16"/>
          <w:szCs w:val="16"/>
        </w:rPr>
        <w:t>. 2023;15(7). doi:10.3390/su15075660</w:t>
      </w:r>
    </w:p>
    <w:p w14:paraId="632D0CB6"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78661F39" w14:textId="0DADE4BE"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Huang S, Wang B, Li X, Zheng P, Mourtzis D, Wang L. Industry 5.0 and Society 5.0—Comparison, complementation and co-evolution. </w:t>
      </w:r>
      <w:r w:rsidRPr="00A60F8E">
        <w:rPr>
          <w:rFonts w:asciiTheme="majorBidi" w:hAnsiTheme="majorBidi" w:cstheme="majorBidi"/>
          <w:i/>
          <w:iCs/>
          <w:noProof/>
          <w:sz w:val="16"/>
          <w:szCs w:val="16"/>
        </w:rPr>
        <w:t>J Manuf Syst</w:t>
      </w:r>
      <w:r w:rsidRPr="00A60F8E">
        <w:rPr>
          <w:rFonts w:asciiTheme="majorBidi" w:hAnsiTheme="majorBidi" w:cstheme="majorBidi"/>
          <w:noProof/>
          <w:sz w:val="16"/>
          <w:szCs w:val="16"/>
        </w:rPr>
        <w:t>. 2022;64. doi:10.1016/j.jmsy.2022.07.010</w:t>
      </w:r>
    </w:p>
    <w:p w14:paraId="0C5C2DAB"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00C8D675" w14:textId="2A800568"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Kolade O, Owoseni A. Employment 5.0: The work of the future and the future of work. </w:t>
      </w:r>
      <w:r w:rsidRPr="00A60F8E">
        <w:rPr>
          <w:rFonts w:asciiTheme="majorBidi" w:hAnsiTheme="majorBidi" w:cstheme="majorBidi"/>
          <w:i/>
          <w:iCs/>
          <w:noProof/>
          <w:sz w:val="16"/>
          <w:szCs w:val="16"/>
        </w:rPr>
        <w:t>Technol Soc</w:t>
      </w:r>
      <w:r w:rsidRPr="00A60F8E">
        <w:rPr>
          <w:rFonts w:asciiTheme="majorBidi" w:hAnsiTheme="majorBidi" w:cstheme="majorBidi"/>
          <w:noProof/>
          <w:sz w:val="16"/>
          <w:szCs w:val="16"/>
        </w:rPr>
        <w:t>. 2022;71. doi:10.1016/j.techsoc.2022.102086</w:t>
      </w:r>
    </w:p>
    <w:p w14:paraId="66B60A95"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33D7E6A6" w14:textId="634CE2F9"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Lorenzini M, Lagomarsino M, Fortini L, Gholami S, Ajoudani A. Ergonomic human-robot collaboration in industry:</w:t>
      </w:r>
      <w:r w:rsidR="002E33D9" w:rsidRPr="00A60F8E">
        <w:rPr>
          <w:rFonts w:asciiTheme="majorBidi" w:hAnsiTheme="majorBidi" w:cstheme="majorBidi"/>
          <w:noProof/>
          <w:sz w:val="16"/>
          <w:szCs w:val="16"/>
        </w:rPr>
        <w:t xml:space="preserve"> </w:t>
      </w:r>
      <w:r w:rsidRPr="00A60F8E">
        <w:rPr>
          <w:rFonts w:asciiTheme="majorBidi" w:hAnsiTheme="majorBidi" w:cstheme="majorBidi"/>
          <w:noProof/>
          <w:sz w:val="16"/>
          <w:szCs w:val="16"/>
        </w:rPr>
        <w:t xml:space="preserve">A review. </w:t>
      </w:r>
      <w:r w:rsidRPr="00A60F8E">
        <w:rPr>
          <w:rFonts w:asciiTheme="majorBidi" w:hAnsiTheme="majorBidi" w:cstheme="majorBidi"/>
          <w:i/>
          <w:iCs/>
          <w:noProof/>
          <w:sz w:val="16"/>
          <w:szCs w:val="16"/>
        </w:rPr>
        <w:t>Front Robot AI</w:t>
      </w:r>
      <w:r w:rsidRPr="00A60F8E">
        <w:rPr>
          <w:rFonts w:asciiTheme="majorBidi" w:hAnsiTheme="majorBidi" w:cstheme="majorBidi"/>
          <w:noProof/>
          <w:sz w:val="16"/>
          <w:szCs w:val="16"/>
        </w:rPr>
        <w:t>. 2023;9. doi:10.3389/frobt.2022.813907</w:t>
      </w:r>
    </w:p>
    <w:p w14:paraId="1EE8913C"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7CB84538" w14:textId="21CBB4EC"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Li X, Koren Y, Epureanu BI. Complementary learning-team machines to enlighten and exploit human expertise. </w:t>
      </w:r>
      <w:r w:rsidRPr="00A60F8E">
        <w:rPr>
          <w:rFonts w:asciiTheme="majorBidi" w:hAnsiTheme="majorBidi" w:cstheme="majorBidi"/>
          <w:i/>
          <w:iCs/>
          <w:noProof/>
          <w:sz w:val="16"/>
          <w:szCs w:val="16"/>
        </w:rPr>
        <w:t>CIRP Ann</w:t>
      </w:r>
      <w:r w:rsidRPr="00A60F8E">
        <w:rPr>
          <w:rFonts w:asciiTheme="majorBidi" w:hAnsiTheme="majorBidi" w:cstheme="majorBidi"/>
          <w:noProof/>
          <w:sz w:val="16"/>
          <w:szCs w:val="16"/>
        </w:rPr>
        <w:t>. 2022;71(1). doi:10.1016/j.cirp.2022.04.019</w:t>
      </w:r>
    </w:p>
    <w:p w14:paraId="0ACBE24B"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444475A9" w14:textId="4D211FC0"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Leng J, Sha W, Wang B, et al. Industry 5.0: Prospect and retrospect. </w:t>
      </w:r>
      <w:r w:rsidRPr="00A60F8E">
        <w:rPr>
          <w:rFonts w:asciiTheme="majorBidi" w:hAnsiTheme="majorBidi" w:cstheme="majorBidi"/>
          <w:i/>
          <w:iCs/>
          <w:noProof/>
          <w:sz w:val="16"/>
          <w:szCs w:val="16"/>
        </w:rPr>
        <w:t>J Manuf Syst</w:t>
      </w:r>
      <w:r w:rsidRPr="00A60F8E">
        <w:rPr>
          <w:rFonts w:asciiTheme="majorBidi" w:hAnsiTheme="majorBidi" w:cstheme="majorBidi"/>
          <w:noProof/>
          <w:sz w:val="16"/>
          <w:szCs w:val="16"/>
        </w:rPr>
        <w:t>. 2022;65. doi:10.1016/j.jmsy.2022.09.017</w:t>
      </w:r>
    </w:p>
    <w:p w14:paraId="75D7A919"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11629D74" w14:textId="01F6D861"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Lu Y, Zheng H, Chand S, et al. Outlook on human-centric manufacturing towards Industry 5.0. </w:t>
      </w:r>
      <w:r w:rsidRPr="00A60F8E">
        <w:rPr>
          <w:rFonts w:asciiTheme="majorBidi" w:hAnsiTheme="majorBidi" w:cstheme="majorBidi"/>
          <w:i/>
          <w:iCs/>
          <w:noProof/>
          <w:sz w:val="16"/>
          <w:szCs w:val="16"/>
        </w:rPr>
        <w:t>J Manuf Syst</w:t>
      </w:r>
      <w:r w:rsidRPr="00A60F8E">
        <w:rPr>
          <w:rFonts w:asciiTheme="majorBidi" w:hAnsiTheme="majorBidi" w:cstheme="majorBidi"/>
          <w:noProof/>
          <w:sz w:val="16"/>
          <w:szCs w:val="16"/>
        </w:rPr>
        <w:t>. 2022;62. doi:10.1016/j.jmsy.2022.02.001</w:t>
      </w:r>
    </w:p>
    <w:p w14:paraId="26AEB9DB"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0F3F2271" w14:textId="18699CBD"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Wang B, Zhou H, Yang G, Li X, Yang H. Human Digital Twin (HDT) Driven Human-Cyber-Physical Systems: Key Technologies and Applications. </w:t>
      </w:r>
      <w:r w:rsidRPr="00A60F8E">
        <w:rPr>
          <w:rFonts w:asciiTheme="majorBidi" w:hAnsiTheme="majorBidi" w:cstheme="majorBidi"/>
          <w:i/>
          <w:iCs/>
          <w:noProof/>
          <w:sz w:val="16"/>
          <w:szCs w:val="16"/>
        </w:rPr>
        <w:t>Chinese J Mech Eng (English Ed</w:t>
      </w:r>
      <w:r w:rsidRPr="00A60F8E">
        <w:rPr>
          <w:rFonts w:asciiTheme="majorBidi" w:hAnsiTheme="majorBidi" w:cstheme="majorBidi"/>
          <w:noProof/>
          <w:sz w:val="16"/>
          <w:szCs w:val="16"/>
        </w:rPr>
        <w:t>. 2022;35(1). doi:10.1186/s10033-022-00680-w</w:t>
      </w:r>
    </w:p>
    <w:p w14:paraId="4F0C2A5B" w14:textId="77777777" w:rsidR="00CC294B" w:rsidRPr="00A60F8E" w:rsidRDefault="00CC294B" w:rsidP="002E33D9">
      <w:pPr>
        <w:jc w:val="both"/>
        <w:rPr>
          <w:rFonts w:asciiTheme="majorBidi" w:hAnsiTheme="majorBidi" w:cstheme="majorBidi"/>
          <w:noProof/>
          <w:sz w:val="16"/>
          <w:szCs w:val="16"/>
        </w:rPr>
      </w:pPr>
    </w:p>
    <w:p w14:paraId="2206AF9C" w14:textId="59272D92" w:rsidR="00CC294B" w:rsidRPr="00A60F8E" w:rsidRDefault="00CC294B" w:rsidP="00A60F8E">
      <w:pPr>
        <w:pStyle w:val="ListParagraph"/>
        <w:numPr>
          <w:ilvl w:val="0"/>
          <w:numId w:val="53"/>
        </w:numPr>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Wang B, Zheng P, Yin Y, Shih A, Wang L. Toward human-centric smart manufacturing: A human-cyber-physical systems (HCPS) perspective. </w:t>
      </w:r>
      <w:r w:rsidRPr="00A60F8E">
        <w:rPr>
          <w:rFonts w:asciiTheme="majorBidi" w:hAnsiTheme="majorBidi" w:cstheme="majorBidi"/>
          <w:i/>
          <w:iCs/>
          <w:noProof/>
          <w:sz w:val="16"/>
          <w:szCs w:val="16"/>
        </w:rPr>
        <w:t>J Manuf Syst</w:t>
      </w:r>
      <w:r w:rsidRPr="00A60F8E">
        <w:rPr>
          <w:rFonts w:asciiTheme="majorBidi" w:hAnsiTheme="majorBidi" w:cstheme="majorBidi"/>
          <w:noProof/>
          <w:sz w:val="16"/>
          <w:szCs w:val="16"/>
        </w:rPr>
        <w:t>. 2022;63. doi:10.1016/j.jmsy.2022.05.005</w:t>
      </w:r>
    </w:p>
    <w:p w14:paraId="45605CBC" w14:textId="77777777" w:rsidR="00CC294B" w:rsidRPr="00A60F8E" w:rsidRDefault="00CC294B" w:rsidP="002E33D9">
      <w:pPr>
        <w:jc w:val="both"/>
        <w:rPr>
          <w:rFonts w:asciiTheme="majorBidi" w:hAnsiTheme="majorBidi" w:cstheme="majorBidi"/>
          <w:noProof/>
          <w:sz w:val="16"/>
          <w:szCs w:val="16"/>
        </w:rPr>
      </w:pPr>
    </w:p>
    <w:p w14:paraId="4E4C7316" w14:textId="299300F7" w:rsidR="00CC294B" w:rsidRPr="00A60F8E" w:rsidRDefault="00CC294B" w:rsidP="00A60F8E">
      <w:pPr>
        <w:pStyle w:val="ListParagraph"/>
        <w:numPr>
          <w:ilvl w:val="0"/>
          <w:numId w:val="53"/>
        </w:numPr>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Ghobakhloo M, Iranmanesh M, Mubarak MF, Mubarik M, Rejeb A, Nilashi M. Identifying industry 5.0 contributions to sustainable development: A strategy roadmap for delivering sustainability values. </w:t>
      </w:r>
      <w:r w:rsidRPr="00A60F8E">
        <w:rPr>
          <w:rFonts w:asciiTheme="majorBidi" w:hAnsiTheme="majorBidi" w:cstheme="majorBidi"/>
          <w:i/>
          <w:iCs/>
          <w:noProof/>
          <w:sz w:val="16"/>
          <w:szCs w:val="16"/>
        </w:rPr>
        <w:t>Sustain Prod Consum</w:t>
      </w:r>
      <w:r w:rsidRPr="00A60F8E">
        <w:rPr>
          <w:rFonts w:asciiTheme="majorBidi" w:hAnsiTheme="majorBidi" w:cstheme="majorBidi"/>
          <w:noProof/>
          <w:sz w:val="16"/>
          <w:szCs w:val="16"/>
        </w:rPr>
        <w:t>. 2022;33:716-737. doi:10.1016/j.spc.2022.08.003</w:t>
      </w:r>
    </w:p>
    <w:p w14:paraId="1CE4A277" w14:textId="77777777" w:rsidR="00CC294B" w:rsidRPr="00A60F8E" w:rsidRDefault="00CC294B" w:rsidP="002E33D9">
      <w:pPr>
        <w:jc w:val="both"/>
        <w:rPr>
          <w:rFonts w:asciiTheme="majorBidi" w:hAnsiTheme="majorBidi" w:cstheme="majorBidi"/>
          <w:noProof/>
          <w:sz w:val="16"/>
          <w:szCs w:val="16"/>
        </w:rPr>
      </w:pPr>
    </w:p>
    <w:p w14:paraId="15FBC403" w14:textId="77777777"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Agrawal A, Thiel R, Jain P, Singh V, Fischer M. Digital Twin: Where do humans fit in? </w:t>
      </w:r>
      <w:r w:rsidRPr="00A60F8E">
        <w:rPr>
          <w:rFonts w:asciiTheme="majorBidi" w:hAnsiTheme="majorBidi" w:cstheme="majorBidi"/>
          <w:i/>
          <w:iCs/>
          <w:noProof/>
          <w:sz w:val="16"/>
          <w:szCs w:val="16"/>
        </w:rPr>
        <w:t>Autom Constr</w:t>
      </w:r>
      <w:r w:rsidRPr="00A60F8E">
        <w:rPr>
          <w:rFonts w:asciiTheme="majorBidi" w:hAnsiTheme="majorBidi" w:cstheme="majorBidi"/>
          <w:noProof/>
          <w:sz w:val="16"/>
          <w:szCs w:val="16"/>
        </w:rPr>
        <w:t>. 2023;148. doi:10.1016/j.autcon.2023.104749</w:t>
      </w:r>
    </w:p>
    <w:p w14:paraId="3FBE3A25"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769B64AE" w14:textId="6E409C6F"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Okegbile SD, Cai J, Niyato D, Yi C. Human Digital Twin for Personalized Healthcare: Vision, Architecture and Future Directions. </w:t>
      </w:r>
      <w:r w:rsidRPr="00A60F8E">
        <w:rPr>
          <w:rFonts w:asciiTheme="majorBidi" w:hAnsiTheme="majorBidi" w:cstheme="majorBidi"/>
          <w:i/>
          <w:iCs/>
          <w:noProof/>
          <w:sz w:val="16"/>
          <w:szCs w:val="16"/>
        </w:rPr>
        <w:t>IEEE Netw</w:t>
      </w:r>
      <w:r w:rsidRPr="00A60F8E">
        <w:rPr>
          <w:rFonts w:asciiTheme="majorBidi" w:hAnsiTheme="majorBidi" w:cstheme="majorBidi"/>
          <w:noProof/>
          <w:sz w:val="16"/>
          <w:szCs w:val="16"/>
        </w:rPr>
        <w:t>. 2023;37(2). doi:10.1109/MNET.118.2200071</w:t>
      </w:r>
    </w:p>
    <w:p w14:paraId="7C490B3B"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42724CE4" w14:textId="5C9286C5"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Paschek D, Mocan A, Draghici A. Industry 5 . 0 – The Expected Impact of Next Industrial Revolution. </w:t>
      </w:r>
      <w:r w:rsidRPr="00A60F8E">
        <w:rPr>
          <w:rFonts w:asciiTheme="majorBidi" w:hAnsiTheme="majorBidi" w:cstheme="majorBidi"/>
          <w:i/>
          <w:iCs/>
          <w:noProof/>
          <w:sz w:val="16"/>
          <w:szCs w:val="16"/>
        </w:rPr>
        <w:t>Manag Knowl Learn Int Conf</w:t>
      </w:r>
      <w:r w:rsidRPr="00A60F8E">
        <w:rPr>
          <w:rFonts w:asciiTheme="majorBidi" w:hAnsiTheme="majorBidi" w:cstheme="majorBidi"/>
          <w:noProof/>
          <w:sz w:val="16"/>
          <w:szCs w:val="16"/>
        </w:rPr>
        <w:t>. Published online 2019:125-132. http://www.toknowpress.net/ISBN/978-961-6914-25-3/papers/ML19-017.pdf</w:t>
      </w:r>
    </w:p>
    <w:p w14:paraId="3AB10B13"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35FC8D09" w14:textId="1628EA4B"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Adel A. Future of industry 5.0 in society: human-centric solutions, challenges and prospective research areas. </w:t>
      </w:r>
      <w:r w:rsidRPr="00A60F8E">
        <w:rPr>
          <w:rFonts w:asciiTheme="majorBidi" w:hAnsiTheme="majorBidi" w:cstheme="majorBidi"/>
          <w:i/>
          <w:iCs/>
          <w:noProof/>
          <w:sz w:val="16"/>
          <w:szCs w:val="16"/>
        </w:rPr>
        <w:t xml:space="preserve">J </w:t>
      </w:r>
      <w:r w:rsidRPr="00A60F8E">
        <w:rPr>
          <w:rFonts w:asciiTheme="majorBidi" w:hAnsiTheme="majorBidi" w:cstheme="majorBidi"/>
          <w:i/>
          <w:iCs/>
          <w:noProof/>
          <w:sz w:val="16"/>
          <w:szCs w:val="16"/>
        </w:rPr>
        <w:t>Cloud Comput</w:t>
      </w:r>
      <w:r w:rsidRPr="00A60F8E">
        <w:rPr>
          <w:rFonts w:asciiTheme="majorBidi" w:hAnsiTheme="majorBidi" w:cstheme="majorBidi"/>
          <w:noProof/>
          <w:sz w:val="16"/>
          <w:szCs w:val="16"/>
        </w:rPr>
        <w:t>. 2022;11(1). doi:10.1186/s13677-022-00314-5</w:t>
      </w:r>
    </w:p>
    <w:p w14:paraId="0DC1B599"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34BB73AD" w14:textId="73C5FE82"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Basulo-ribeiro J. The Future of Healthcare with Industry 5 . 0 : Preliminary Interview-Based Qualitative Analysis. Published online 2024.</w:t>
      </w:r>
    </w:p>
    <w:p w14:paraId="60BBB2FF"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165192C9" w14:textId="72E1EFDC"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Kermode N. Challenges and future research. </w:t>
      </w:r>
      <w:r w:rsidRPr="00A60F8E">
        <w:rPr>
          <w:rFonts w:asciiTheme="majorBidi" w:hAnsiTheme="majorBidi" w:cstheme="majorBidi"/>
          <w:i/>
          <w:iCs/>
          <w:noProof/>
          <w:sz w:val="16"/>
          <w:szCs w:val="16"/>
        </w:rPr>
        <w:t>Renew Energy from Ocean</w:t>
      </w:r>
      <w:r w:rsidRPr="00A60F8E">
        <w:rPr>
          <w:rFonts w:asciiTheme="majorBidi" w:hAnsiTheme="majorBidi" w:cstheme="majorBidi"/>
          <w:noProof/>
          <w:sz w:val="16"/>
          <w:szCs w:val="16"/>
        </w:rPr>
        <w:t>. Published online 2019:425-445. doi:10.1049/pbpo129e_ch12</w:t>
      </w:r>
    </w:p>
    <w:p w14:paraId="7E63F5F1" w14:textId="77777777" w:rsidR="00CC294B" w:rsidRPr="00A60F8E" w:rsidRDefault="00CC294B" w:rsidP="002E33D9">
      <w:pPr>
        <w:widowControl w:val="0"/>
        <w:autoSpaceDE w:val="0"/>
        <w:autoSpaceDN w:val="0"/>
        <w:adjustRightInd w:val="0"/>
        <w:ind w:left="640" w:hanging="640"/>
        <w:jc w:val="both"/>
        <w:rPr>
          <w:rFonts w:asciiTheme="majorBidi" w:hAnsiTheme="majorBidi" w:cstheme="majorBidi"/>
          <w:noProof/>
          <w:sz w:val="16"/>
          <w:szCs w:val="16"/>
        </w:rPr>
      </w:pPr>
    </w:p>
    <w:p w14:paraId="5278E1D0" w14:textId="33206F8B" w:rsidR="00CC294B" w:rsidRPr="00A60F8E" w:rsidRDefault="00CC294B"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Pang TY, Lee TK, Murshed M. Towards a New Paradigm for Digital Health Training and Education in Australia: Exploring the Implication of the Fifth Industrial Revolution. </w:t>
      </w:r>
      <w:r w:rsidRPr="00A60F8E">
        <w:rPr>
          <w:rFonts w:asciiTheme="majorBidi" w:hAnsiTheme="majorBidi" w:cstheme="majorBidi"/>
          <w:i/>
          <w:iCs/>
          <w:noProof/>
          <w:sz w:val="16"/>
          <w:szCs w:val="16"/>
        </w:rPr>
        <w:t>Appl Sci</w:t>
      </w:r>
      <w:r w:rsidRPr="00A60F8E">
        <w:rPr>
          <w:rFonts w:asciiTheme="majorBidi" w:hAnsiTheme="majorBidi" w:cstheme="majorBidi"/>
          <w:noProof/>
          <w:sz w:val="16"/>
          <w:szCs w:val="16"/>
        </w:rPr>
        <w:t>. 2023;13(11). doi:10.3390/app13116854</w:t>
      </w:r>
    </w:p>
    <w:p w14:paraId="050BACF7" w14:textId="77777777" w:rsidR="00CC294B" w:rsidRPr="00A60F8E" w:rsidRDefault="00CC294B" w:rsidP="002E33D9">
      <w:pPr>
        <w:jc w:val="both"/>
        <w:rPr>
          <w:rFonts w:asciiTheme="majorBidi" w:hAnsiTheme="majorBidi" w:cstheme="majorBidi"/>
          <w:noProof/>
          <w:sz w:val="16"/>
          <w:szCs w:val="16"/>
        </w:rPr>
      </w:pPr>
    </w:p>
    <w:p w14:paraId="06D7D51E" w14:textId="2CC63F8E" w:rsidR="005B63F0" w:rsidRPr="00A60F8E" w:rsidRDefault="00CC294B" w:rsidP="00A60F8E">
      <w:pPr>
        <w:pStyle w:val="ListParagraph"/>
        <w:numPr>
          <w:ilvl w:val="0"/>
          <w:numId w:val="53"/>
        </w:numPr>
        <w:jc w:val="both"/>
        <w:rPr>
          <w:rFonts w:asciiTheme="majorBidi" w:hAnsiTheme="majorBidi" w:cstheme="majorBidi"/>
          <w:sz w:val="16"/>
          <w:szCs w:val="16"/>
        </w:rPr>
      </w:pPr>
      <w:r w:rsidRPr="00A60F8E">
        <w:rPr>
          <w:rFonts w:asciiTheme="majorBidi" w:hAnsiTheme="majorBidi" w:cstheme="majorBidi"/>
          <w:noProof/>
          <w:sz w:val="16"/>
          <w:szCs w:val="16"/>
        </w:rPr>
        <w:t xml:space="preserve">Petrillo A, Felice F De, Cioffi R, Zomparelli F. Fourth Industrial Revolution: Current Practices, Challenges, and Opportunities. </w:t>
      </w:r>
      <w:r w:rsidRPr="00A60F8E">
        <w:rPr>
          <w:rFonts w:asciiTheme="majorBidi" w:hAnsiTheme="majorBidi" w:cstheme="majorBidi"/>
          <w:i/>
          <w:iCs/>
          <w:noProof/>
          <w:sz w:val="16"/>
          <w:szCs w:val="16"/>
        </w:rPr>
        <w:t>Digit Transform Smart Manuf</w:t>
      </w:r>
      <w:r w:rsidRPr="00A60F8E">
        <w:rPr>
          <w:rFonts w:asciiTheme="majorBidi" w:hAnsiTheme="majorBidi" w:cstheme="majorBidi"/>
          <w:noProof/>
          <w:sz w:val="16"/>
          <w:szCs w:val="16"/>
        </w:rPr>
        <w:t>. Published online 2018. doi:10.5772/intechopen.72304</w:t>
      </w:r>
    </w:p>
    <w:p w14:paraId="0AB390DF" w14:textId="77777777" w:rsidR="00CC294B" w:rsidRPr="00A60F8E" w:rsidRDefault="00CC294B" w:rsidP="002E33D9">
      <w:pPr>
        <w:jc w:val="both"/>
        <w:rPr>
          <w:rFonts w:asciiTheme="majorBidi" w:hAnsiTheme="majorBidi" w:cstheme="majorBidi"/>
          <w:sz w:val="16"/>
          <w:szCs w:val="16"/>
        </w:rPr>
      </w:pPr>
    </w:p>
    <w:p w14:paraId="4EDE6995" w14:textId="77777777" w:rsidR="005374C6" w:rsidRPr="00A60F8E" w:rsidRDefault="00CC294B" w:rsidP="00A60F8E">
      <w:pPr>
        <w:pStyle w:val="ListParagraph"/>
        <w:numPr>
          <w:ilvl w:val="0"/>
          <w:numId w:val="53"/>
        </w:numPr>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Longo F, Padovano A, Umbrello S. Value-oriented and ethical technology engineering in industry 5.0: A human-centric perspective for the design of the factory of the future. </w:t>
      </w:r>
      <w:r w:rsidRPr="00A60F8E">
        <w:rPr>
          <w:rFonts w:asciiTheme="majorBidi" w:hAnsiTheme="majorBidi" w:cstheme="majorBidi"/>
          <w:i/>
          <w:iCs/>
          <w:noProof/>
          <w:sz w:val="16"/>
          <w:szCs w:val="16"/>
        </w:rPr>
        <w:t>Appl Sci</w:t>
      </w:r>
      <w:r w:rsidRPr="00A60F8E">
        <w:rPr>
          <w:rFonts w:asciiTheme="majorBidi" w:hAnsiTheme="majorBidi" w:cstheme="majorBidi"/>
          <w:noProof/>
          <w:sz w:val="16"/>
          <w:szCs w:val="16"/>
        </w:rPr>
        <w:t>. 2020;10(12):1-25. doi:10.3390/APP10124182</w:t>
      </w:r>
    </w:p>
    <w:p w14:paraId="28E92D74" w14:textId="77777777" w:rsidR="005374C6" w:rsidRPr="00A60F8E" w:rsidRDefault="005374C6" w:rsidP="002E33D9">
      <w:pPr>
        <w:jc w:val="both"/>
        <w:rPr>
          <w:rFonts w:asciiTheme="majorBidi" w:hAnsiTheme="majorBidi" w:cstheme="majorBidi"/>
          <w:noProof/>
          <w:sz w:val="16"/>
          <w:szCs w:val="16"/>
        </w:rPr>
      </w:pPr>
    </w:p>
    <w:p w14:paraId="31E1DD8E" w14:textId="4585610E" w:rsidR="005374C6" w:rsidRPr="00A60F8E" w:rsidRDefault="005374C6" w:rsidP="00A60F8E">
      <w:pPr>
        <w:pStyle w:val="ListParagraph"/>
        <w:numPr>
          <w:ilvl w:val="0"/>
          <w:numId w:val="53"/>
        </w:numPr>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Sheikh R, Goje N. Role of Big Data Analytics in Business Transformation. In: </w:t>
      </w:r>
      <w:r w:rsidRPr="00A60F8E">
        <w:rPr>
          <w:rFonts w:asciiTheme="majorBidi" w:hAnsiTheme="majorBidi" w:cstheme="majorBidi"/>
          <w:i/>
          <w:iCs/>
          <w:noProof/>
          <w:sz w:val="16"/>
          <w:szCs w:val="16"/>
        </w:rPr>
        <w:t>Internet of Things in Business Transformation</w:t>
      </w:r>
      <w:r w:rsidRPr="00A60F8E">
        <w:rPr>
          <w:rFonts w:asciiTheme="majorBidi" w:hAnsiTheme="majorBidi" w:cstheme="majorBidi"/>
          <w:noProof/>
          <w:sz w:val="16"/>
          <w:szCs w:val="16"/>
        </w:rPr>
        <w:t>. Wiley Online Library; 2021.</w:t>
      </w:r>
    </w:p>
    <w:p w14:paraId="45E2C82B"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40FD6D92" w14:textId="0603410A"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Grieves M. Digital Twin : Manufacturing Excellence through Virtual Factory Replication. </w:t>
      </w:r>
      <w:r w:rsidRPr="00A60F8E">
        <w:rPr>
          <w:rFonts w:asciiTheme="majorBidi" w:hAnsiTheme="majorBidi" w:cstheme="majorBidi"/>
          <w:i/>
          <w:iCs/>
          <w:noProof/>
          <w:sz w:val="16"/>
          <w:szCs w:val="16"/>
        </w:rPr>
        <w:t>White Pap</w:t>
      </w:r>
      <w:r w:rsidRPr="00A60F8E">
        <w:rPr>
          <w:rFonts w:asciiTheme="majorBidi" w:hAnsiTheme="majorBidi" w:cstheme="majorBidi"/>
          <w:noProof/>
          <w:sz w:val="16"/>
          <w:szCs w:val="16"/>
        </w:rPr>
        <w:t>. 2014;(March).</w:t>
      </w:r>
    </w:p>
    <w:p w14:paraId="094649DB"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556163D6" w14:textId="40048A9C"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Bomström H, Annanperä E, Kelanti M, et al. Digital Twins about Humans—Design Objectives from Three Projects. </w:t>
      </w:r>
      <w:r w:rsidRPr="00A60F8E">
        <w:rPr>
          <w:rFonts w:asciiTheme="majorBidi" w:hAnsiTheme="majorBidi" w:cstheme="majorBidi"/>
          <w:i/>
          <w:iCs/>
          <w:noProof/>
          <w:sz w:val="16"/>
          <w:szCs w:val="16"/>
        </w:rPr>
        <w:t>J Comput Inf Sci Eng</w:t>
      </w:r>
      <w:r w:rsidRPr="00A60F8E">
        <w:rPr>
          <w:rFonts w:asciiTheme="majorBidi" w:hAnsiTheme="majorBidi" w:cstheme="majorBidi"/>
          <w:noProof/>
          <w:sz w:val="16"/>
          <w:szCs w:val="16"/>
        </w:rPr>
        <w:t>. 2022;22(5). doi:10.1115/1.4054270</w:t>
      </w:r>
    </w:p>
    <w:p w14:paraId="0D82FF4D" w14:textId="77777777" w:rsidR="005374C6" w:rsidRPr="00A60F8E" w:rsidRDefault="005374C6" w:rsidP="002E33D9">
      <w:pPr>
        <w:widowControl w:val="0"/>
        <w:autoSpaceDE w:val="0"/>
        <w:autoSpaceDN w:val="0"/>
        <w:adjustRightInd w:val="0"/>
        <w:ind w:left="640" w:hanging="640"/>
        <w:jc w:val="both"/>
        <w:rPr>
          <w:rFonts w:asciiTheme="majorBidi" w:hAnsiTheme="majorBidi" w:cstheme="majorBidi"/>
          <w:noProof/>
          <w:sz w:val="16"/>
          <w:szCs w:val="16"/>
        </w:rPr>
      </w:pPr>
    </w:p>
    <w:p w14:paraId="143FF4DE" w14:textId="7BBC9A93"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Wang B, Zhou H, Li X, et al. Human Digital Twin in the context of Industry 5.0. </w:t>
      </w:r>
      <w:r w:rsidRPr="00A60F8E">
        <w:rPr>
          <w:rFonts w:asciiTheme="majorBidi" w:hAnsiTheme="majorBidi" w:cstheme="majorBidi"/>
          <w:i/>
          <w:iCs/>
          <w:noProof/>
          <w:sz w:val="16"/>
          <w:szCs w:val="16"/>
        </w:rPr>
        <w:t>Robot Comput Integr Manuf</w:t>
      </w:r>
      <w:r w:rsidRPr="00A60F8E">
        <w:rPr>
          <w:rFonts w:asciiTheme="majorBidi" w:hAnsiTheme="majorBidi" w:cstheme="majorBidi"/>
          <w:noProof/>
          <w:sz w:val="16"/>
          <w:szCs w:val="16"/>
        </w:rPr>
        <w:t>. 2024;85(April 2023):102626. doi:10.1016/j.rcim.2023.102626</w:t>
      </w:r>
    </w:p>
    <w:p w14:paraId="5233412B"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74A1A03E" w14:textId="731A476E"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Liberati A, Altman DG, Tetzlaff J, et al. The PRISMA statement for reporting systematic reviews and meta-analyses of studies that evaluate health care interventions: Explanation and elaboration. </w:t>
      </w:r>
      <w:r w:rsidRPr="00A60F8E">
        <w:rPr>
          <w:rFonts w:asciiTheme="majorBidi" w:hAnsiTheme="majorBidi" w:cstheme="majorBidi"/>
          <w:i/>
          <w:iCs/>
          <w:noProof/>
          <w:sz w:val="16"/>
          <w:szCs w:val="16"/>
        </w:rPr>
        <w:t>PLoS Med</w:t>
      </w:r>
      <w:r w:rsidRPr="00A60F8E">
        <w:rPr>
          <w:rFonts w:asciiTheme="majorBidi" w:hAnsiTheme="majorBidi" w:cstheme="majorBidi"/>
          <w:noProof/>
          <w:sz w:val="16"/>
          <w:szCs w:val="16"/>
        </w:rPr>
        <w:t>. 2009;6(7). doi:10.1371/journal.pmed.1000100</w:t>
      </w:r>
    </w:p>
    <w:p w14:paraId="4049B028"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778D622E" w14:textId="1F6351E6"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Latif S, Driss M, Boulila W, et al. Deep learning for the industrial internet of things (Iiot): A comprehensive survey of techniques, implementation frameworks, potential applications, and future directions. </w:t>
      </w:r>
      <w:r w:rsidRPr="00A60F8E">
        <w:rPr>
          <w:rFonts w:asciiTheme="majorBidi" w:hAnsiTheme="majorBidi" w:cstheme="majorBidi"/>
          <w:i/>
          <w:iCs/>
          <w:noProof/>
          <w:sz w:val="16"/>
          <w:szCs w:val="16"/>
        </w:rPr>
        <w:t>Sensors</w:t>
      </w:r>
      <w:r w:rsidRPr="00A60F8E">
        <w:rPr>
          <w:rFonts w:asciiTheme="majorBidi" w:hAnsiTheme="majorBidi" w:cstheme="majorBidi"/>
          <w:noProof/>
          <w:sz w:val="16"/>
          <w:szCs w:val="16"/>
        </w:rPr>
        <w:t>. 2021;21(22). doi:10.3390/s21227518</w:t>
      </w:r>
    </w:p>
    <w:p w14:paraId="007AA99A"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05FC8210" w14:textId="475AC66A"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Menolotto M, Komaris DS, Tedesco S, O’flynn B, Walsh M. Motion capture technology in industrial applications: A systematic review. </w:t>
      </w:r>
      <w:r w:rsidRPr="00A60F8E">
        <w:rPr>
          <w:rFonts w:asciiTheme="majorBidi" w:hAnsiTheme="majorBidi" w:cstheme="majorBidi"/>
          <w:i/>
          <w:iCs/>
          <w:noProof/>
          <w:sz w:val="16"/>
          <w:szCs w:val="16"/>
        </w:rPr>
        <w:t>Sensors (Switzerland)</w:t>
      </w:r>
      <w:r w:rsidRPr="00A60F8E">
        <w:rPr>
          <w:rFonts w:asciiTheme="majorBidi" w:hAnsiTheme="majorBidi" w:cstheme="majorBidi"/>
          <w:noProof/>
          <w:sz w:val="16"/>
          <w:szCs w:val="16"/>
        </w:rPr>
        <w:t>. 2020;20(19). doi:10.3390/s20195687</w:t>
      </w:r>
    </w:p>
    <w:p w14:paraId="40DA228A"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43166353" w14:textId="7ED808E5"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Asensio-Cubero J, Gan JQ, Palaniappan R. Extracting optimal tempo-spatial features using local discriminant bases and common spatial patterns for brain computer </w:t>
      </w:r>
      <w:r w:rsidRPr="00A60F8E">
        <w:rPr>
          <w:rFonts w:asciiTheme="majorBidi" w:hAnsiTheme="majorBidi" w:cstheme="majorBidi"/>
          <w:noProof/>
          <w:sz w:val="16"/>
          <w:szCs w:val="16"/>
        </w:rPr>
        <w:lastRenderedPageBreak/>
        <w:t xml:space="preserve">interfacing. </w:t>
      </w:r>
      <w:r w:rsidRPr="00A60F8E">
        <w:rPr>
          <w:rFonts w:asciiTheme="majorBidi" w:hAnsiTheme="majorBidi" w:cstheme="majorBidi"/>
          <w:i/>
          <w:iCs/>
          <w:noProof/>
          <w:sz w:val="16"/>
          <w:szCs w:val="16"/>
        </w:rPr>
        <w:t>Biomed Signal Process Control</w:t>
      </w:r>
      <w:r w:rsidRPr="00A60F8E">
        <w:rPr>
          <w:rFonts w:asciiTheme="majorBidi" w:hAnsiTheme="majorBidi" w:cstheme="majorBidi"/>
          <w:noProof/>
          <w:sz w:val="16"/>
          <w:szCs w:val="16"/>
        </w:rPr>
        <w:t>. 2013;8(6). doi:10.1016/j.bspc.2013.07.004</w:t>
      </w:r>
    </w:p>
    <w:p w14:paraId="4BF3EEDE" w14:textId="77777777" w:rsidR="005374C6" w:rsidRPr="00A60F8E" w:rsidRDefault="005374C6" w:rsidP="002E33D9">
      <w:pPr>
        <w:jc w:val="both"/>
        <w:rPr>
          <w:rFonts w:asciiTheme="majorBidi" w:hAnsiTheme="majorBidi" w:cstheme="majorBidi"/>
          <w:noProof/>
          <w:sz w:val="16"/>
          <w:szCs w:val="16"/>
        </w:rPr>
      </w:pPr>
    </w:p>
    <w:p w14:paraId="523F08CB" w14:textId="3EDDF4F9" w:rsidR="005374C6" w:rsidRPr="00A60F8E" w:rsidRDefault="005374C6" w:rsidP="00A60F8E">
      <w:pPr>
        <w:pStyle w:val="ListParagraph"/>
        <w:numPr>
          <w:ilvl w:val="0"/>
          <w:numId w:val="53"/>
        </w:numPr>
        <w:jc w:val="both"/>
        <w:rPr>
          <w:rFonts w:asciiTheme="majorBidi" w:hAnsiTheme="majorBidi" w:cstheme="majorBidi"/>
          <w:sz w:val="16"/>
          <w:szCs w:val="16"/>
        </w:rPr>
      </w:pPr>
      <w:r w:rsidRPr="00A60F8E">
        <w:rPr>
          <w:rFonts w:asciiTheme="majorBidi" w:hAnsiTheme="majorBidi" w:cstheme="majorBidi"/>
          <w:noProof/>
          <w:sz w:val="16"/>
          <w:szCs w:val="16"/>
        </w:rPr>
        <w:t>Buerkle A, Eaton W, Lohse N, Bamber T, Ferreira P. EEG based arm movement intention recognition towards enhanced safety in symbiotic</w:t>
      </w:r>
      <w:r w:rsidRPr="00A60F8E">
        <w:rPr>
          <w:rFonts w:asciiTheme="majorBidi" w:hAnsiTheme="majorBidi" w:cstheme="majorBidi"/>
          <w:sz w:val="16"/>
          <w:szCs w:val="16"/>
        </w:rPr>
        <w:t xml:space="preserve"> </w:t>
      </w:r>
      <w:r w:rsidRPr="00A60F8E">
        <w:rPr>
          <w:rFonts w:asciiTheme="majorBidi" w:hAnsiTheme="majorBidi" w:cstheme="majorBidi"/>
          <w:noProof/>
          <w:sz w:val="16"/>
          <w:szCs w:val="16"/>
        </w:rPr>
        <w:t xml:space="preserve">Human-Robot Collaboration. </w:t>
      </w:r>
      <w:r w:rsidRPr="00A60F8E">
        <w:rPr>
          <w:rFonts w:asciiTheme="majorBidi" w:hAnsiTheme="majorBidi" w:cstheme="majorBidi"/>
          <w:i/>
          <w:iCs/>
          <w:noProof/>
          <w:sz w:val="16"/>
          <w:szCs w:val="16"/>
        </w:rPr>
        <w:t>Robot Comput Integr Manuf</w:t>
      </w:r>
      <w:r w:rsidRPr="00A60F8E">
        <w:rPr>
          <w:rFonts w:asciiTheme="majorBidi" w:hAnsiTheme="majorBidi" w:cstheme="majorBidi"/>
          <w:noProof/>
          <w:sz w:val="16"/>
          <w:szCs w:val="16"/>
        </w:rPr>
        <w:t>. 2021;70. doi:10.1016/j.rcim.2021.102137</w:t>
      </w:r>
    </w:p>
    <w:p w14:paraId="543231D3"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5741232B" w14:textId="21BFBFEA"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Zhang R, Lv Q, Li J, Bao J, Liu T, Liu S. A reinforcement learning method for human-robot collaboration in assembly tasks. </w:t>
      </w:r>
      <w:r w:rsidRPr="00A60F8E">
        <w:rPr>
          <w:rFonts w:asciiTheme="majorBidi" w:hAnsiTheme="majorBidi" w:cstheme="majorBidi"/>
          <w:i/>
          <w:iCs/>
          <w:noProof/>
          <w:sz w:val="16"/>
          <w:szCs w:val="16"/>
        </w:rPr>
        <w:t>Robot Comput Integr Manuf</w:t>
      </w:r>
      <w:r w:rsidRPr="00A60F8E">
        <w:rPr>
          <w:rFonts w:asciiTheme="majorBidi" w:hAnsiTheme="majorBidi" w:cstheme="majorBidi"/>
          <w:noProof/>
          <w:sz w:val="16"/>
          <w:szCs w:val="16"/>
        </w:rPr>
        <w:t>. 2022;73. doi:10.1016/j.rcim.2021.102227</w:t>
      </w:r>
    </w:p>
    <w:p w14:paraId="4CAFE60A"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78EF1723" w14:textId="516938AB"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Liu Z, Liu Q, Wang L, Xu W, Zhou Z. Task-level decision-making for dynamic and stochastic human-robot collaboration based on dual agents deep reinforcement learning. </w:t>
      </w:r>
      <w:r w:rsidRPr="00A60F8E">
        <w:rPr>
          <w:rFonts w:asciiTheme="majorBidi" w:hAnsiTheme="majorBidi" w:cstheme="majorBidi"/>
          <w:i/>
          <w:iCs/>
          <w:noProof/>
          <w:sz w:val="16"/>
          <w:szCs w:val="16"/>
        </w:rPr>
        <w:t>Int J Adv Manuf Technol</w:t>
      </w:r>
      <w:r w:rsidRPr="00A60F8E">
        <w:rPr>
          <w:rFonts w:asciiTheme="majorBidi" w:hAnsiTheme="majorBidi" w:cstheme="majorBidi"/>
          <w:noProof/>
          <w:sz w:val="16"/>
          <w:szCs w:val="16"/>
        </w:rPr>
        <w:t>. 2021;115(11-12). doi:10.1007/s00170-021-07265-2</w:t>
      </w:r>
    </w:p>
    <w:p w14:paraId="5B90580D"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075796D9" w14:textId="7A1D92A9"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Mihai S, Yaqoob M, Hung D V., et al. Digital Twins: A Survey on Enabling Technologies, Challenges, Trends and Future Prospects. </w:t>
      </w:r>
      <w:r w:rsidRPr="00A60F8E">
        <w:rPr>
          <w:rFonts w:asciiTheme="majorBidi" w:hAnsiTheme="majorBidi" w:cstheme="majorBidi"/>
          <w:i/>
          <w:iCs/>
          <w:noProof/>
          <w:sz w:val="16"/>
          <w:szCs w:val="16"/>
        </w:rPr>
        <w:t>IEEE Commun Surv Tutorials</w:t>
      </w:r>
      <w:r w:rsidRPr="00A60F8E">
        <w:rPr>
          <w:rFonts w:asciiTheme="majorBidi" w:hAnsiTheme="majorBidi" w:cstheme="majorBidi"/>
          <w:noProof/>
          <w:sz w:val="16"/>
          <w:szCs w:val="16"/>
        </w:rPr>
        <w:t>. 2022;24(4):2255-2291. doi:10.1109/COMST.2022.3208773</w:t>
      </w:r>
    </w:p>
    <w:p w14:paraId="7FB6D5CC"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4642C37F" w14:textId="29DC33AA"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Khamaisi RK, Brunzini A, Grandi F, Peruzzini M, Pellicciari M. UX assessment strategy to identify potential stressful conditions for workers. </w:t>
      </w:r>
      <w:r w:rsidRPr="00A60F8E">
        <w:rPr>
          <w:rFonts w:asciiTheme="majorBidi" w:hAnsiTheme="majorBidi" w:cstheme="majorBidi"/>
          <w:i/>
          <w:iCs/>
          <w:noProof/>
          <w:sz w:val="16"/>
          <w:szCs w:val="16"/>
        </w:rPr>
        <w:t>Robot Comput Integr Manuf</w:t>
      </w:r>
      <w:r w:rsidRPr="00A60F8E">
        <w:rPr>
          <w:rFonts w:asciiTheme="majorBidi" w:hAnsiTheme="majorBidi" w:cstheme="majorBidi"/>
          <w:noProof/>
          <w:sz w:val="16"/>
          <w:szCs w:val="16"/>
        </w:rPr>
        <w:t>. 2022;78. doi:10.1016/j.rcim.2022.102403</w:t>
      </w:r>
    </w:p>
    <w:p w14:paraId="5BC69DB1"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0A52AF9D" w14:textId="7BD95609"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Atzori L, Iera A, Morabito G, Nitti M. The social internet of things (SIoT) - When social networks meet the internet of things: Concept, architecture and network characterization. </w:t>
      </w:r>
      <w:r w:rsidRPr="00A60F8E">
        <w:rPr>
          <w:rFonts w:asciiTheme="majorBidi" w:hAnsiTheme="majorBidi" w:cstheme="majorBidi"/>
          <w:i/>
          <w:iCs/>
          <w:noProof/>
          <w:sz w:val="16"/>
          <w:szCs w:val="16"/>
        </w:rPr>
        <w:t>Comput Networks</w:t>
      </w:r>
      <w:r w:rsidRPr="00A60F8E">
        <w:rPr>
          <w:rFonts w:asciiTheme="majorBidi" w:hAnsiTheme="majorBidi" w:cstheme="majorBidi"/>
          <w:noProof/>
          <w:sz w:val="16"/>
          <w:szCs w:val="16"/>
        </w:rPr>
        <w:t>. 2012;56(16). doi:10.1016/j.comnet.2012.07.010</w:t>
      </w:r>
    </w:p>
    <w:p w14:paraId="20F93100"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2127D0A9" w14:textId="1A46961A"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Cardoso J, Voigt K, Winkler M. Service engineering for the internet of services. </w:t>
      </w:r>
      <w:r w:rsidRPr="00A60F8E">
        <w:rPr>
          <w:rFonts w:asciiTheme="majorBidi" w:hAnsiTheme="majorBidi" w:cstheme="majorBidi"/>
          <w:i/>
          <w:iCs/>
          <w:noProof/>
          <w:sz w:val="16"/>
          <w:szCs w:val="16"/>
        </w:rPr>
        <w:t>Lect Notes Bus Inf Process</w:t>
      </w:r>
      <w:r w:rsidRPr="00A60F8E">
        <w:rPr>
          <w:rFonts w:asciiTheme="majorBidi" w:hAnsiTheme="majorBidi" w:cstheme="majorBidi"/>
          <w:noProof/>
          <w:sz w:val="16"/>
          <w:szCs w:val="16"/>
        </w:rPr>
        <w:t>. 2009;19. doi:10.1007/978-3-642-00670-8_2</w:t>
      </w:r>
    </w:p>
    <w:p w14:paraId="37C0F402"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0F7CA6D5" w14:textId="0F973B0C"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Younis M. Internet of everything and everybody: Architecture and service virtualization. </w:t>
      </w:r>
      <w:r w:rsidRPr="00A60F8E">
        <w:rPr>
          <w:rFonts w:asciiTheme="majorBidi" w:hAnsiTheme="majorBidi" w:cstheme="majorBidi"/>
          <w:i/>
          <w:iCs/>
          <w:noProof/>
          <w:sz w:val="16"/>
          <w:szCs w:val="16"/>
        </w:rPr>
        <w:t>Comput Commun</w:t>
      </w:r>
      <w:r w:rsidRPr="00A60F8E">
        <w:rPr>
          <w:rFonts w:asciiTheme="majorBidi" w:hAnsiTheme="majorBidi" w:cstheme="majorBidi"/>
          <w:noProof/>
          <w:sz w:val="16"/>
          <w:szCs w:val="16"/>
        </w:rPr>
        <w:t>. 2018;131. doi:10.1016/j.comcom.2018.07.008</w:t>
      </w:r>
    </w:p>
    <w:p w14:paraId="4DBB5BD3" w14:textId="77777777" w:rsidR="005374C6" w:rsidRPr="00A60F8E" w:rsidRDefault="005374C6" w:rsidP="002E33D9">
      <w:pPr>
        <w:jc w:val="both"/>
        <w:rPr>
          <w:rFonts w:asciiTheme="majorBidi" w:hAnsiTheme="majorBidi" w:cstheme="majorBidi"/>
          <w:noProof/>
          <w:sz w:val="16"/>
          <w:szCs w:val="16"/>
        </w:rPr>
      </w:pPr>
    </w:p>
    <w:p w14:paraId="67195782" w14:textId="796FB68E" w:rsidR="005374C6" w:rsidRPr="00A60F8E" w:rsidRDefault="005374C6" w:rsidP="00A60F8E">
      <w:pPr>
        <w:pStyle w:val="ListParagraph"/>
        <w:numPr>
          <w:ilvl w:val="0"/>
          <w:numId w:val="53"/>
        </w:numPr>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Sousa Nunes DS, Zhang P, Sa Silva J. A Survey on human-in-The-loop applications towards an internet of all. </w:t>
      </w:r>
      <w:r w:rsidRPr="00A60F8E">
        <w:rPr>
          <w:rFonts w:asciiTheme="majorBidi" w:hAnsiTheme="majorBidi" w:cstheme="majorBidi"/>
          <w:i/>
          <w:iCs/>
          <w:noProof/>
          <w:sz w:val="16"/>
          <w:szCs w:val="16"/>
        </w:rPr>
        <w:t>IEEE Commun Surv Tutorials</w:t>
      </w:r>
      <w:r w:rsidRPr="00A60F8E">
        <w:rPr>
          <w:rFonts w:asciiTheme="majorBidi" w:hAnsiTheme="majorBidi" w:cstheme="majorBidi"/>
          <w:noProof/>
          <w:sz w:val="16"/>
          <w:szCs w:val="16"/>
        </w:rPr>
        <w:t>. 2015;17(2). doi:10.1109/COMST.2015.2398816</w:t>
      </w:r>
    </w:p>
    <w:p w14:paraId="514456C2" w14:textId="77777777" w:rsidR="005374C6" w:rsidRPr="00A60F8E" w:rsidRDefault="005374C6" w:rsidP="002E33D9">
      <w:pPr>
        <w:jc w:val="both"/>
        <w:rPr>
          <w:rFonts w:asciiTheme="majorBidi" w:hAnsiTheme="majorBidi" w:cstheme="majorBidi"/>
          <w:noProof/>
          <w:sz w:val="16"/>
          <w:szCs w:val="16"/>
        </w:rPr>
      </w:pPr>
    </w:p>
    <w:p w14:paraId="29642C78" w14:textId="77777777"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Galitsky B, Parnis A. Accessing Validity of Argumentation of Agents of the Internet of Everything. In: </w:t>
      </w:r>
      <w:r w:rsidRPr="00A60F8E">
        <w:rPr>
          <w:rFonts w:asciiTheme="majorBidi" w:hAnsiTheme="majorBidi" w:cstheme="majorBidi"/>
          <w:i/>
          <w:iCs/>
          <w:noProof/>
          <w:sz w:val="16"/>
          <w:szCs w:val="16"/>
        </w:rPr>
        <w:t>Artificial Intelligence for the Internet of Everything</w:t>
      </w:r>
      <w:r w:rsidRPr="00A60F8E">
        <w:rPr>
          <w:rFonts w:asciiTheme="majorBidi" w:hAnsiTheme="majorBidi" w:cstheme="majorBidi"/>
          <w:noProof/>
          <w:sz w:val="16"/>
          <w:szCs w:val="16"/>
        </w:rPr>
        <w:t>. ; 2019. doi:10.1016/B978-0-12-817636-8.00011-9</w:t>
      </w:r>
    </w:p>
    <w:p w14:paraId="088A2034"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030AD170" w14:textId="02B583B3"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Svorobej S, Endo PT, Bendechache M, et al. Simulating fog and edge computing scenarios: An overview and research challenges. </w:t>
      </w:r>
      <w:r w:rsidRPr="00A60F8E">
        <w:rPr>
          <w:rFonts w:asciiTheme="majorBidi" w:hAnsiTheme="majorBidi" w:cstheme="majorBidi"/>
          <w:i/>
          <w:iCs/>
          <w:noProof/>
          <w:sz w:val="16"/>
          <w:szCs w:val="16"/>
        </w:rPr>
        <w:t>Futur Internet</w:t>
      </w:r>
      <w:r w:rsidRPr="00A60F8E">
        <w:rPr>
          <w:rFonts w:asciiTheme="majorBidi" w:hAnsiTheme="majorBidi" w:cstheme="majorBidi"/>
          <w:noProof/>
          <w:sz w:val="16"/>
          <w:szCs w:val="16"/>
        </w:rPr>
        <w:t>. 2019;11(3). doi:10.3390/fi11030055</w:t>
      </w:r>
    </w:p>
    <w:p w14:paraId="2B2CDC5F"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511160FF" w14:textId="490A4CB0"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Adamson G, Wang L, Holm M, Moore P. Cloud manufacturing–a critical review of recent development and future trends. </w:t>
      </w:r>
      <w:r w:rsidRPr="00A60F8E">
        <w:rPr>
          <w:rFonts w:asciiTheme="majorBidi" w:hAnsiTheme="majorBidi" w:cstheme="majorBidi"/>
          <w:i/>
          <w:iCs/>
          <w:noProof/>
          <w:sz w:val="16"/>
          <w:szCs w:val="16"/>
        </w:rPr>
        <w:t>Int J Comput Integr Manuf</w:t>
      </w:r>
      <w:r w:rsidRPr="00A60F8E">
        <w:rPr>
          <w:rFonts w:asciiTheme="majorBidi" w:hAnsiTheme="majorBidi" w:cstheme="majorBidi"/>
          <w:noProof/>
          <w:sz w:val="16"/>
          <w:szCs w:val="16"/>
        </w:rPr>
        <w:t>. 2017;30(4-</w:t>
      </w:r>
      <w:r w:rsidRPr="00A60F8E">
        <w:rPr>
          <w:rFonts w:asciiTheme="majorBidi" w:hAnsiTheme="majorBidi" w:cstheme="majorBidi"/>
          <w:noProof/>
          <w:sz w:val="16"/>
          <w:szCs w:val="16"/>
        </w:rPr>
        <w:t>5). doi:10.1080/0951192X.2015.1031704</w:t>
      </w:r>
    </w:p>
    <w:p w14:paraId="511D4834"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22C2F008" w14:textId="47B6F68D"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Yang J, Liu T, Liu Y, Morgan P. REVIEW OF HUMAN-MACHINE INTERACTION TOWARDS INDUSTRY 5.0: HUMAN-CENTRIC SMART MANUFACTURING. In: </w:t>
      </w:r>
      <w:r w:rsidRPr="00A60F8E">
        <w:rPr>
          <w:rFonts w:asciiTheme="majorBidi" w:hAnsiTheme="majorBidi" w:cstheme="majorBidi"/>
          <w:i/>
          <w:iCs/>
          <w:noProof/>
          <w:sz w:val="16"/>
          <w:szCs w:val="16"/>
        </w:rPr>
        <w:t>Proceedings of the ASME Design Engineering Technical Conference</w:t>
      </w:r>
      <w:r w:rsidRPr="00A60F8E">
        <w:rPr>
          <w:rFonts w:asciiTheme="majorBidi" w:hAnsiTheme="majorBidi" w:cstheme="majorBidi"/>
          <w:noProof/>
          <w:sz w:val="16"/>
          <w:szCs w:val="16"/>
        </w:rPr>
        <w:t>. Vol 2. ; 2022. doi:10.1115/DETC2022-89711</w:t>
      </w:r>
    </w:p>
    <w:p w14:paraId="2F104FF8"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2B7F21C6" w14:textId="4820D821"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Cheng J, Yang Y, Zou X, Zuo Y. 5G in manufacturing: a literature review and future research. </w:t>
      </w:r>
      <w:r w:rsidRPr="00A60F8E">
        <w:rPr>
          <w:rFonts w:asciiTheme="majorBidi" w:hAnsiTheme="majorBidi" w:cstheme="majorBidi"/>
          <w:i/>
          <w:iCs/>
          <w:noProof/>
          <w:sz w:val="16"/>
          <w:szCs w:val="16"/>
        </w:rPr>
        <w:t>Int J Adv Manuf Technol</w:t>
      </w:r>
      <w:r w:rsidRPr="00A60F8E">
        <w:rPr>
          <w:rFonts w:asciiTheme="majorBidi" w:hAnsiTheme="majorBidi" w:cstheme="majorBidi"/>
          <w:noProof/>
          <w:sz w:val="16"/>
          <w:szCs w:val="16"/>
        </w:rPr>
        <w:t>. Published online 2022. doi:10.1007/s00170-022-08990-y</w:t>
      </w:r>
    </w:p>
    <w:p w14:paraId="191F9758"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473F6B9E" w14:textId="0BCB80F9"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Henry PS, Luo H. WiFi : What ’ s Next ? </w:t>
      </w:r>
      <w:r w:rsidRPr="00A60F8E">
        <w:rPr>
          <w:rFonts w:asciiTheme="majorBidi" w:hAnsiTheme="majorBidi" w:cstheme="majorBidi"/>
          <w:i/>
          <w:iCs/>
          <w:noProof/>
          <w:sz w:val="16"/>
          <w:szCs w:val="16"/>
        </w:rPr>
        <w:t>IEEE Commun Mag</w:t>
      </w:r>
      <w:r w:rsidRPr="00A60F8E">
        <w:rPr>
          <w:rFonts w:asciiTheme="majorBidi" w:hAnsiTheme="majorBidi" w:cstheme="majorBidi"/>
          <w:noProof/>
          <w:sz w:val="16"/>
          <w:szCs w:val="16"/>
        </w:rPr>
        <w:t>. 2002;(December).</w:t>
      </w:r>
    </w:p>
    <w:p w14:paraId="55E5044C"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67105933" w14:textId="2E88EC7B"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McDermott-Wells P. What is Bluetooth? </w:t>
      </w:r>
      <w:r w:rsidRPr="00A60F8E">
        <w:rPr>
          <w:rFonts w:asciiTheme="majorBidi" w:hAnsiTheme="majorBidi" w:cstheme="majorBidi"/>
          <w:i/>
          <w:iCs/>
          <w:noProof/>
          <w:sz w:val="16"/>
          <w:szCs w:val="16"/>
        </w:rPr>
        <w:t>IEEE Potentials</w:t>
      </w:r>
      <w:r w:rsidRPr="00A60F8E">
        <w:rPr>
          <w:rFonts w:asciiTheme="majorBidi" w:hAnsiTheme="majorBidi" w:cstheme="majorBidi"/>
          <w:noProof/>
          <w:sz w:val="16"/>
          <w:szCs w:val="16"/>
        </w:rPr>
        <w:t>. 2004;23(5). doi:10.1109/MP.2005.1368913</w:t>
      </w:r>
    </w:p>
    <w:p w14:paraId="69EFDFA0"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793ADA55" w14:textId="533D18DE"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Bilberg A, Malik AA. Digital twin driven human–robot collaborative assembly. </w:t>
      </w:r>
      <w:r w:rsidRPr="00A60F8E">
        <w:rPr>
          <w:rFonts w:asciiTheme="majorBidi" w:hAnsiTheme="majorBidi" w:cstheme="majorBidi"/>
          <w:i/>
          <w:iCs/>
          <w:noProof/>
          <w:sz w:val="16"/>
          <w:szCs w:val="16"/>
        </w:rPr>
        <w:t>CIRP Ann</w:t>
      </w:r>
      <w:r w:rsidRPr="00A60F8E">
        <w:rPr>
          <w:rFonts w:asciiTheme="majorBidi" w:hAnsiTheme="majorBidi" w:cstheme="majorBidi"/>
          <w:noProof/>
          <w:sz w:val="16"/>
          <w:szCs w:val="16"/>
        </w:rPr>
        <w:t>. 2019;68(1). doi:10.1016/j.cirp.2019.04.011</w:t>
      </w:r>
    </w:p>
    <w:p w14:paraId="050C2B2C"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61D6E2CB" w14:textId="155BFD2C"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Shih A, Park DW, Yang YY, Chisena R, Wu D. Cloud-based Design and Additive Manufacturing of Custom Orthoses. In: </w:t>
      </w:r>
      <w:r w:rsidRPr="00A60F8E">
        <w:rPr>
          <w:rFonts w:asciiTheme="majorBidi" w:hAnsiTheme="majorBidi" w:cstheme="majorBidi"/>
          <w:i/>
          <w:iCs/>
          <w:noProof/>
          <w:sz w:val="16"/>
          <w:szCs w:val="16"/>
        </w:rPr>
        <w:t>Procedia CIRP</w:t>
      </w:r>
      <w:r w:rsidRPr="00A60F8E">
        <w:rPr>
          <w:rFonts w:asciiTheme="majorBidi" w:hAnsiTheme="majorBidi" w:cstheme="majorBidi"/>
          <w:noProof/>
          <w:sz w:val="16"/>
          <w:szCs w:val="16"/>
        </w:rPr>
        <w:t>. Vol 63. ; 2017. doi:10.1016/j.procir.2017.03.355</w:t>
      </w:r>
    </w:p>
    <w:p w14:paraId="4D89229F"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0BC75F97" w14:textId="3FE4F49E"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Zhang R, Li J, Zheng P, Lu Y, Bao J, Sun X. A fusion-based spiking neural network approach for predicting collaboration request in human-robot collaboration. </w:t>
      </w:r>
      <w:r w:rsidRPr="00A60F8E">
        <w:rPr>
          <w:rFonts w:asciiTheme="majorBidi" w:hAnsiTheme="majorBidi" w:cstheme="majorBidi"/>
          <w:i/>
          <w:iCs/>
          <w:noProof/>
          <w:sz w:val="16"/>
          <w:szCs w:val="16"/>
        </w:rPr>
        <w:t>Robot Comput Integr Manuf</w:t>
      </w:r>
      <w:r w:rsidRPr="00A60F8E">
        <w:rPr>
          <w:rFonts w:asciiTheme="majorBidi" w:hAnsiTheme="majorBidi" w:cstheme="majorBidi"/>
          <w:noProof/>
          <w:sz w:val="16"/>
          <w:szCs w:val="16"/>
        </w:rPr>
        <w:t>. 2022;78. doi:10.1016/j.rcim.2022.102383</w:t>
      </w:r>
    </w:p>
    <w:p w14:paraId="19900DA2" w14:textId="77777777" w:rsidR="005374C6" w:rsidRPr="00A60F8E" w:rsidRDefault="005374C6" w:rsidP="002E33D9">
      <w:pPr>
        <w:jc w:val="both"/>
        <w:rPr>
          <w:rFonts w:asciiTheme="majorBidi" w:hAnsiTheme="majorBidi" w:cstheme="majorBidi"/>
          <w:noProof/>
          <w:sz w:val="16"/>
          <w:szCs w:val="16"/>
        </w:rPr>
      </w:pPr>
    </w:p>
    <w:p w14:paraId="2C8BB319" w14:textId="77777777"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Kim GY, Kim D, Do Noh S, et al. Human Digital Twin System for Operator Safety and Work Management. In: </w:t>
      </w:r>
      <w:r w:rsidRPr="00A60F8E">
        <w:rPr>
          <w:rFonts w:asciiTheme="majorBidi" w:hAnsiTheme="majorBidi" w:cstheme="majorBidi"/>
          <w:i/>
          <w:iCs/>
          <w:noProof/>
          <w:sz w:val="16"/>
          <w:szCs w:val="16"/>
        </w:rPr>
        <w:t>IFIP Advances in Information and Communication Technology</w:t>
      </w:r>
      <w:r w:rsidRPr="00A60F8E">
        <w:rPr>
          <w:rFonts w:asciiTheme="majorBidi" w:hAnsiTheme="majorBidi" w:cstheme="majorBidi"/>
          <w:noProof/>
          <w:sz w:val="16"/>
          <w:szCs w:val="16"/>
        </w:rPr>
        <w:t>. Vol 664 IFIP. ; 2022. doi:10.1007/978-3-031-16411-8_61</w:t>
      </w:r>
    </w:p>
    <w:p w14:paraId="2E06DBCB"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06628388" w14:textId="4DC8DE59"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Greco A, Caterino M, Fera M, Gerbino S. Digital twin for monitoring ergonomics during manufacturing production. </w:t>
      </w:r>
      <w:r w:rsidRPr="00A60F8E">
        <w:rPr>
          <w:rFonts w:asciiTheme="majorBidi" w:hAnsiTheme="majorBidi" w:cstheme="majorBidi"/>
          <w:i/>
          <w:iCs/>
          <w:noProof/>
          <w:sz w:val="16"/>
          <w:szCs w:val="16"/>
        </w:rPr>
        <w:t>Appl Sci</w:t>
      </w:r>
      <w:r w:rsidRPr="00A60F8E">
        <w:rPr>
          <w:rFonts w:asciiTheme="majorBidi" w:hAnsiTheme="majorBidi" w:cstheme="majorBidi"/>
          <w:noProof/>
          <w:sz w:val="16"/>
          <w:szCs w:val="16"/>
        </w:rPr>
        <w:t>. 2020;10(21). doi:10.3390/app10217758</w:t>
      </w:r>
    </w:p>
    <w:p w14:paraId="5F7B4C86"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0C5C9A6D" w14:textId="0AB86805"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Naqvi SMR, Ghufran M, Meraghni S, Varnier C, Nicod JM, Zerhouni N. Human knowledge centered maintenance decision support in digital twin environment. </w:t>
      </w:r>
      <w:r w:rsidRPr="00A60F8E">
        <w:rPr>
          <w:rFonts w:asciiTheme="majorBidi" w:hAnsiTheme="majorBidi" w:cstheme="majorBidi"/>
          <w:i/>
          <w:iCs/>
          <w:noProof/>
          <w:sz w:val="16"/>
          <w:szCs w:val="16"/>
        </w:rPr>
        <w:t>J Manuf Syst</w:t>
      </w:r>
      <w:r w:rsidRPr="00A60F8E">
        <w:rPr>
          <w:rFonts w:asciiTheme="majorBidi" w:hAnsiTheme="majorBidi" w:cstheme="majorBidi"/>
          <w:noProof/>
          <w:sz w:val="16"/>
          <w:szCs w:val="16"/>
        </w:rPr>
        <w:t>. 2022;65. doi:10.1016/j.jmsy.2022.10.003</w:t>
      </w:r>
    </w:p>
    <w:p w14:paraId="4EED8BDF"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579D0CE8" w14:textId="45A46618"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Strategies I. Human-CentricDigital Twins in Industry : Published online 2023.</w:t>
      </w:r>
    </w:p>
    <w:p w14:paraId="12D6D987" w14:textId="77777777" w:rsidR="005374C6" w:rsidRPr="00A60F8E" w:rsidRDefault="005374C6" w:rsidP="002E33D9">
      <w:pPr>
        <w:widowControl w:val="0"/>
        <w:autoSpaceDE w:val="0"/>
        <w:autoSpaceDN w:val="0"/>
        <w:adjustRightInd w:val="0"/>
        <w:jc w:val="both"/>
        <w:rPr>
          <w:rFonts w:asciiTheme="majorBidi" w:hAnsiTheme="majorBidi" w:cstheme="majorBidi"/>
          <w:noProof/>
          <w:sz w:val="16"/>
          <w:szCs w:val="16"/>
        </w:rPr>
      </w:pPr>
    </w:p>
    <w:p w14:paraId="3F04FACC" w14:textId="31011D89" w:rsidR="005374C6" w:rsidRPr="00A60F8E" w:rsidRDefault="005374C6" w:rsidP="00A60F8E">
      <w:pPr>
        <w:pStyle w:val="ListParagraph"/>
        <w:widowControl w:val="0"/>
        <w:numPr>
          <w:ilvl w:val="0"/>
          <w:numId w:val="53"/>
        </w:numPr>
        <w:autoSpaceDE w:val="0"/>
        <w:autoSpaceDN w:val="0"/>
        <w:adjustRightInd w:val="0"/>
        <w:jc w:val="both"/>
        <w:rPr>
          <w:rFonts w:asciiTheme="majorBidi" w:hAnsiTheme="majorBidi" w:cstheme="majorBidi"/>
          <w:noProof/>
          <w:sz w:val="16"/>
          <w:szCs w:val="16"/>
        </w:rPr>
      </w:pPr>
      <w:r w:rsidRPr="00A60F8E">
        <w:rPr>
          <w:rFonts w:asciiTheme="majorBidi" w:hAnsiTheme="majorBidi" w:cstheme="majorBidi"/>
          <w:noProof/>
          <w:sz w:val="16"/>
          <w:szCs w:val="16"/>
        </w:rPr>
        <w:t xml:space="preserve">Ahmed I, Medabesh AM, Mehrez KH, Shili N, Socci C, Deriu S. Socioeconomic spillovers of COVID-19: case of Saudi Arabia. </w:t>
      </w:r>
      <w:r w:rsidRPr="00A60F8E">
        <w:rPr>
          <w:rFonts w:asciiTheme="majorBidi" w:hAnsiTheme="majorBidi" w:cstheme="majorBidi"/>
          <w:i/>
          <w:iCs/>
          <w:noProof/>
          <w:sz w:val="16"/>
          <w:szCs w:val="16"/>
        </w:rPr>
        <w:t>Kybernetes</w:t>
      </w:r>
      <w:r w:rsidRPr="00A60F8E">
        <w:rPr>
          <w:rFonts w:asciiTheme="majorBidi" w:hAnsiTheme="majorBidi" w:cstheme="majorBidi"/>
          <w:noProof/>
          <w:sz w:val="16"/>
          <w:szCs w:val="16"/>
        </w:rPr>
        <w:t>. 2023;52(3). doi:10.1108/K-04-2021-0275</w:t>
      </w:r>
    </w:p>
    <w:p w14:paraId="05FA102D" w14:textId="77777777" w:rsidR="005374C6" w:rsidRPr="00A60F8E" w:rsidRDefault="005374C6" w:rsidP="002E33D9">
      <w:pPr>
        <w:jc w:val="both"/>
        <w:rPr>
          <w:rFonts w:asciiTheme="majorBidi" w:hAnsiTheme="majorBidi" w:cstheme="majorBidi"/>
          <w:noProof/>
          <w:sz w:val="16"/>
          <w:szCs w:val="16"/>
        </w:rPr>
      </w:pPr>
    </w:p>
    <w:p w14:paraId="1F8F6AF1" w14:textId="506D238F" w:rsidR="005374C6" w:rsidRPr="00A60F8E" w:rsidRDefault="005374C6" w:rsidP="00A60F8E">
      <w:pPr>
        <w:pStyle w:val="ListParagraph"/>
        <w:numPr>
          <w:ilvl w:val="0"/>
          <w:numId w:val="53"/>
        </w:numPr>
        <w:jc w:val="both"/>
        <w:rPr>
          <w:rFonts w:asciiTheme="majorBidi" w:hAnsiTheme="majorBidi" w:cstheme="majorBidi"/>
          <w:sz w:val="20"/>
          <w:szCs w:val="20"/>
        </w:rPr>
      </w:pPr>
      <w:r w:rsidRPr="00A60F8E">
        <w:rPr>
          <w:rFonts w:asciiTheme="majorBidi" w:hAnsiTheme="majorBidi" w:cstheme="majorBidi"/>
          <w:noProof/>
          <w:sz w:val="16"/>
          <w:szCs w:val="16"/>
        </w:rPr>
        <w:t xml:space="preserve">Gualtieri L, Rauch E, Vidoni R. Emerging research fields in safety and ergonomics in industrial collaborative robotics: A systematic literature review. </w:t>
      </w:r>
      <w:r w:rsidRPr="00A60F8E">
        <w:rPr>
          <w:rFonts w:asciiTheme="majorBidi" w:hAnsiTheme="majorBidi" w:cstheme="majorBidi"/>
          <w:i/>
          <w:iCs/>
          <w:noProof/>
          <w:sz w:val="16"/>
          <w:szCs w:val="16"/>
        </w:rPr>
        <w:t>Robot Comput Integr Manuf</w:t>
      </w:r>
      <w:r w:rsidRPr="00A60F8E">
        <w:rPr>
          <w:rFonts w:asciiTheme="majorBidi" w:hAnsiTheme="majorBidi" w:cstheme="majorBidi"/>
          <w:noProof/>
          <w:sz w:val="16"/>
          <w:szCs w:val="16"/>
        </w:rPr>
        <w:t>. 2021;67. doi:10.1016/j.rcim.2020.101998</w:t>
      </w:r>
    </w:p>
    <w:p w14:paraId="130ACBA4" w14:textId="77777777" w:rsidR="001B5576" w:rsidRDefault="001B5576" w:rsidP="00CC294B">
      <w:pPr>
        <w:sectPr w:rsidR="001B5576" w:rsidSect="001B5576">
          <w:pgSz w:w="12240" w:h="15840"/>
          <w:pgMar w:top="806" w:right="1440" w:bottom="1440" w:left="1440" w:header="540" w:footer="2013" w:gutter="0"/>
          <w:cols w:num="2" w:space="708"/>
        </w:sectPr>
      </w:pPr>
    </w:p>
    <w:p w14:paraId="25295F31" w14:textId="77777777" w:rsidR="00CC294B" w:rsidRDefault="00CC294B" w:rsidP="00CC294B"/>
    <w:p w14:paraId="2DE9682E" w14:textId="77777777" w:rsidR="00DE374C" w:rsidRDefault="00DE374C" w:rsidP="00F83621">
      <w:pPr>
        <w:pStyle w:val="normaltext"/>
        <w:ind w:firstLine="0"/>
        <w:sectPr w:rsidR="00DE374C" w:rsidSect="001B5576">
          <w:type w:val="continuous"/>
          <w:pgSz w:w="12240" w:h="15840"/>
          <w:pgMar w:top="806" w:right="1440" w:bottom="1440" w:left="1440" w:header="540" w:footer="2013" w:gutter="0"/>
          <w:cols w:space="708"/>
        </w:sectPr>
      </w:pPr>
    </w:p>
    <w:bookmarkEnd w:id="0"/>
    <w:p w14:paraId="70913792" w14:textId="2ABD3197" w:rsidR="00C101FC" w:rsidRPr="00C101FC" w:rsidRDefault="00C101FC" w:rsidP="00803638">
      <w:pPr>
        <w:jc w:val="both"/>
        <w:rPr>
          <w:rFonts w:asciiTheme="majorBidi" w:hAnsiTheme="majorBidi" w:cstheme="majorBidi"/>
          <w:sz w:val="20"/>
          <w:szCs w:val="20"/>
        </w:rPr>
      </w:pPr>
    </w:p>
    <w:sectPr w:rsidR="00C101FC" w:rsidRPr="00C101FC" w:rsidSect="0037226D">
      <w:type w:val="continuous"/>
      <w:pgSz w:w="12240" w:h="15840"/>
      <w:pgMar w:top="806" w:right="1440" w:bottom="1440" w:left="1440" w:header="540" w:footer="2013"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00725" w14:textId="77777777" w:rsidR="00B53813" w:rsidRDefault="00B53813" w:rsidP="0040558C">
      <w:r>
        <w:separator/>
      </w:r>
    </w:p>
  </w:endnote>
  <w:endnote w:type="continuationSeparator" w:id="0">
    <w:p w14:paraId="0E10CDD8" w14:textId="77777777" w:rsidR="00B53813" w:rsidRDefault="00B53813" w:rsidP="0040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14131" w14:textId="5DA9E931" w:rsidR="001C77E0" w:rsidRPr="003F48EC" w:rsidRDefault="003F48EC" w:rsidP="003F48EC">
    <w:pPr>
      <w:pStyle w:val="Footer"/>
      <w:pBdr>
        <w:top w:val="single" w:sz="4" w:space="1" w:color="auto"/>
      </w:pBdr>
      <w:rPr>
        <w:rFonts w:ascii="TimesNewRomanPSMT" w:hAnsi="TimesNewRomanPSMT" w:cs="TimesNewRomanPSMT"/>
        <w:sz w:val="18"/>
        <w:szCs w:val="18"/>
      </w:rPr>
    </w:pPr>
    <w:r>
      <w:rPr>
        <w:rFonts w:ascii="TimesNewRomanPSMT" w:hAnsi="TimesNewRomanPSMT" w:cs="TimesNewRomanPSMT"/>
        <w:sz w:val="18"/>
        <w:szCs w:val="18"/>
      </w:rPr>
      <w:t xml:space="preserve">                         </w:t>
    </w:r>
    <w:r w:rsidR="006D35A4" w:rsidRPr="006D35A4">
      <w:rPr>
        <w:rFonts w:ascii="TimesNewRomanPSMT" w:hAnsi="TimesNewRomanPSMT" w:cs="TimesNewRomanPSMT"/>
        <w:sz w:val="18"/>
        <w:szCs w:val="18"/>
      </w:rPr>
      <w:t>Human-Digital Twins: Enabling Technologies, Applications, and in the Era of Industry 5.0</w:t>
    </w:r>
    <w:r w:rsidR="001C77E0">
      <w:rPr>
        <w:rFonts w:ascii="TimesNewRomanPSMT" w:hAnsi="TimesNewRomanPSMT" w:cs="TimesNewRomanPSMT"/>
        <w:noProof/>
        <w:sz w:val="18"/>
        <w:szCs w:val="18"/>
      </w:rPr>
      <mc:AlternateContent>
        <mc:Choice Requires="wps">
          <w:drawing>
            <wp:anchor distT="0" distB="0" distL="114300" distR="114300" simplePos="0" relativeHeight="251661312" behindDoc="0" locked="0" layoutInCell="1" allowOverlap="1" wp14:anchorId="6BCEED35" wp14:editId="4A7F6658">
              <wp:simplePos x="0" y="0"/>
              <wp:positionH relativeFrom="margin">
                <wp:posOffset>-144780</wp:posOffset>
              </wp:positionH>
              <wp:positionV relativeFrom="paragraph">
                <wp:posOffset>46355</wp:posOffset>
              </wp:positionV>
              <wp:extent cx="631825" cy="234950"/>
              <wp:effectExtent l="0" t="0" r="15875" b="12700"/>
              <wp:wrapNone/>
              <wp:docPr id="1399437267"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FA60150" w14:textId="1B4B14DE"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EED35" id="_x0000_t111" coordsize="21600,21600" o:spt="111" path="m4321,l21600,,17204,21600,,21600xe">
              <v:stroke joinstyle="miter"/>
              <v:path gradientshapeok="t" o:connecttype="custom" o:connectlocs="12961,0;10800,0;2161,10800;8602,21600;10800,21600;19402,10800" textboxrect="4321,0,17204,21600"/>
            </v:shapetype>
            <v:shape id="Flowchart: Data 2" o:spid="_x0000_s1028" type="#_x0000_t111" style="position:absolute;margin-left:-11.4pt;margin-top:3.65pt;width:49.75pt;height: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" fillcolor="black [3213]" strokecolor="black [3200]" strokeweight="2pt">
              <v:textbox>
                <w:txbxContent>
                  <w:p w14:paraId="2FA60150" w14:textId="1B4B14DE"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427F" w14:textId="46175A11" w:rsidR="001C77E0" w:rsidRPr="001C77E0" w:rsidRDefault="001C77E0" w:rsidP="003F48EC">
    <w:pPr>
      <w:pStyle w:val="Footer"/>
      <w:pBdr>
        <w:top w:val="single" w:sz="4" w:space="1" w:color="auto"/>
      </w:pBdr>
    </w:pPr>
    <w:r>
      <w:rPr>
        <w:rFonts w:ascii="TimesNewRomanPSMT" w:hAnsi="TimesNewRomanPSMT" w:cs="TimesNewRomanPSMT"/>
        <w:noProof/>
        <w:sz w:val="18"/>
        <w:szCs w:val="18"/>
      </w:rPr>
      <mc:AlternateContent>
        <mc:Choice Requires="wps">
          <w:drawing>
            <wp:anchor distT="0" distB="0" distL="114300" distR="114300" simplePos="0" relativeHeight="251663360" behindDoc="0" locked="0" layoutInCell="1" allowOverlap="1" wp14:anchorId="4F48AB92" wp14:editId="31EAEB0A">
              <wp:simplePos x="0" y="0"/>
              <wp:positionH relativeFrom="column">
                <wp:posOffset>-165100</wp:posOffset>
              </wp:positionH>
              <wp:positionV relativeFrom="paragraph">
                <wp:posOffset>34925</wp:posOffset>
              </wp:positionV>
              <wp:extent cx="631825" cy="234950"/>
              <wp:effectExtent l="0" t="0" r="15875" b="12700"/>
              <wp:wrapNone/>
              <wp:docPr id="576764228"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B8E1A61" w14:textId="7D51AAD4"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8AB92" id="_x0000_t111" coordsize="21600,21600" o:spt="111" path="m4321,l21600,,17204,21600,,21600xe">
              <v:stroke joinstyle="miter"/>
              <v:path gradientshapeok="t" o:connecttype="custom" o:connectlocs="12961,0;10800,0;2161,10800;8602,21600;10800,21600;19402,10800" textboxrect="4321,0,17204,21600"/>
            </v:shapetype>
            <v:shape id="_x0000_s1029" type="#_x0000_t111" style="position:absolute;margin-left:-13pt;margin-top:2.75pt;width:49.7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" fillcolor="black [3213]" strokecolor="black [3200]" strokeweight="2pt">
              <v:textbox>
                <w:txbxContent>
                  <w:p w14:paraId="2B8E1A61" w14:textId="7D51AAD4"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v:textbox>
            </v:shape>
          </w:pict>
        </mc:Fallback>
      </mc:AlternateContent>
    </w:r>
    <w:r w:rsidR="003F48EC">
      <w:rPr>
        <w:rFonts w:ascii="TimesNewRomanPSMT" w:hAnsi="TimesNewRomanPSMT" w:cs="TimesNewRomanPSMT"/>
        <w:sz w:val="18"/>
        <w:szCs w:val="18"/>
      </w:rPr>
      <w:t xml:space="preserve">                          </w:t>
    </w:r>
    <w:r w:rsidR="00F83621" w:rsidRPr="006D35A4">
      <w:rPr>
        <w:rFonts w:ascii="TimesNewRomanPSMT" w:hAnsi="TimesNewRomanPSMT" w:cs="TimesNewRomanPSMT"/>
        <w:sz w:val="18"/>
        <w:szCs w:val="18"/>
      </w:rPr>
      <w:t>Human-Digital Twins: Enabling Technologies, Applications, and in the Era of Industry 5.0</w:t>
    </w:r>
  </w:p>
  <w:p w14:paraId="202CE108" w14:textId="77777777" w:rsidR="001C77E0" w:rsidRDefault="001C7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44F9A" w14:textId="54064B7B" w:rsidR="002B0996" w:rsidRPr="00001D8E" w:rsidRDefault="001C77E0" w:rsidP="00001D8E">
    <w:pPr>
      <w:pStyle w:val="Footer"/>
      <w:pBdr>
        <w:top w:val="single" w:sz="4" w:space="1" w:color="auto"/>
      </w:pBdr>
      <w:rPr>
        <w:rFonts w:ascii="TimesNewRomanPSMT" w:hAnsi="TimesNewRomanPSMT" w:cs="TimesNewRomanPSMT"/>
        <w:sz w:val="18"/>
        <w:szCs w:val="18"/>
      </w:rPr>
    </w:pPr>
    <w:r>
      <w:rPr>
        <w:rFonts w:ascii="TimesNewRomanPSMT" w:hAnsi="TimesNewRomanPSMT" w:cs="TimesNewRomanPSMT"/>
        <w:noProof/>
        <w:sz w:val="18"/>
        <w:szCs w:val="18"/>
      </w:rPr>
      <mc:AlternateContent>
        <mc:Choice Requires="wps">
          <w:drawing>
            <wp:anchor distT="0" distB="0" distL="114300" distR="114300" simplePos="0" relativeHeight="251659264" behindDoc="0" locked="0" layoutInCell="1" allowOverlap="1" wp14:anchorId="5750BDD3" wp14:editId="1B5A4A56">
              <wp:simplePos x="0" y="0"/>
              <wp:positionH relativeFrom="column">
                <wp:posOffset>-162962</wp:posOffset>
              </wp:positionH>
              <wp:positionV relativeFrom="paragraph">
                <wp:posOffset>34233</wp:posOffset>
              </wp:positionV>
              <wp:extent cx="631825" cy="244444"/>
              <wp:effectExtent l="0" t="0" r="15875" b="22860"/>
              <wp:wrapNone/>
              <wp:docPr id="1026869914" name="Flowchart: Data 2"/>
              <wp:cNvGraphicFramePr/>
              <a:graphic xmlns:a="http://schemas.openxmlformats.org/drawingml/2006/main">
                <a:graphicData uri="http://schemas.microsoft.com/office/word/2010/wordprocessingShape">
                  <wps:wsp>
                    <wps:cNvSpPr/>
                    <wps:spPr>
                      <a:xfrm>
                        <a:off x="0" y="0"/>
                        <a:ext cx="631825" cy="244444"/>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4F1E4E37" w14:textId="100350E4" w:rsidR="001C77E0" w:rsidRPr="00353DF5" w:rsidRDefault="00803638" w:rsidP="001C77E0">
                          <w:pPr>
                            <w:jc w:val="center"/>
                            <w:rPr>
                              <w:rFonts w:asciiTheme="majorBidi" w:hAnsiTheme="majorBidi" w:cstheme="majorBidi"/>
                              <w:b/>
                              <w:bCs/>
                              <w:color w:val="FFFFFF" w:themeColor="background1"/>
                              <w:sz w:val="20"/>
                              <w:szCs w:val="20"/>
                            </w:rPr>
                          </w:pPr>
                          <w:r w:rsidRPr="00353DF5">
                            <w:rPr>
                              <w:rFonts w:asciiTheme="majorBidi" w:hAnsiTheme="majorBidi" w:cstheme="majorBidi"/>
                              <w:b/>
                              <w:bCs/>
                              <w:color w:val="FFFFFF" w:themeColor="background1"/>
                              <w:sz w:val="20"/>
                              <w:szCs w:val="20"/>
                            </w:rPr>
                            <w:fldChar w:fldCharType="begin"/>
                          </w:r>
                          <w:r w:rsidRPr="00353DF5">
                            <w:rPr>
                              <w:rFonts w:asciiTheme="majorBidi" w:hAnsiTheme="majorBidi" w:cstheme="majorBidi"/>
                              <w:b/>
                              <w:bCs/>
                              <w:color w:val="FFFFFF" w:themeColor="background1"/>
                              <w:sz w:val="20"/>
                              <w:szCs w:val="20"/>
                            </w:rPr>
                            <w:instrText xml:space="preserve"> PAGE   \* MERGEFORMAT </w:instrText>
                          </w:r>
                          <w:r w:rsidRPr="00353DF5">
                            <w:rPr>
                              <w:rFonts w:asciiTheme="majorBidi" w:hAnsiTheme="majorBidi" w:cstheme="majorBidi"/>
                              <w:b/>
                              <w:bCs/>
                              <w:color w:val="FFFFFF" w:themeColor="background1"/>
                              <w:sz w:val="20"/>
                              <w:szCs w:val="20"/>
                            </w:rPr>
                            <w:fldChar w:fldCharType="separate"/>
                          </w:r>
                          <w:r w:rsidRPr="00353DF5">
                            <w:rPr>
                              <w:rFonts w:asciiTheme="majorBidi" w:hAnsiTheme="majorBidi" w:cstheme="majorBidi"/>
                              <w:b/>
                              <w:bCs/>
                              <w:noProof/>
                              <w:color w:val="FFFFFF" w:themeColor="background1"/>
                              <w:sz w:val="20"/>
                              <w:szCs w:val="20"/>
                            </w:rPr>
                            <w:t>1</w:t>
                          </w:r>
                          <w:r w:rsidRPr="00353DF5">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0BDD3" id="_x0000_t111" coordsize="21600,21600" o:spt="111" path="m4321,l21600,,17204,21600,,21600xe">
              <v:stroke joinstyle="miter"/>
              <v:path gradientshapeok="t" o:connecttype="custom" o:connectlocs="12961,0;10800,0;2161,10800;8602,21600;10800,21600;19402,10800" textboxrect="4321,0,17204,21600"/>
            </v:shapetype>
            <v:shape id="_x0000_s1030" type="#_x0000_t111" style="position:absolute;margin-left:-12.85pt;margin-top:2.7pt;width:49.7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" fillcolor="black [3213]" strokecolor="black [3200]" strokeweight="2pt">
              <v:textbox>
                <w:txbxContent>
                  <w:p w14:paraId="4F1E4E37" w14:textId="100350E4" w:rsidR="001C77E0" w:rsidRPr="00353DF5" w:rsidRDefault="00803638" w:rsidP="001C77E0">
                    <w:pPr>
                      <w:jc w:val="center"/>
                      <w:rPr>
                        <w:rFonts w:asciiTheme="majorBidi" w:hAnsiTheme="majorBidi" w:cstheme="majorBidi"/>
                        <w:b/>
                        <w:bCs/>
                        <w:color w:val="FFFFFF" w:themeColor="background1"/>
                        <w:sz w:val="20"/>
                        <w:szCs w:val="20"/>
                      </w:rPr>
                    </w:pPr>
                    <w:r w:rsidRPr="00353DF5">
                      <w:rPr>
                        <w:rFonts w:asciiTheme="majorBidi" w:hAnsiTheme="majorBidi" w:cstheme="majorBidi"/>
                        <w:b/>
                        <w:bCs/>
                        <w:color w:val="FFFFFF" w:themeColor="background1"/>
                        <w:sz w:val="20"/>
                        <w:szCs w:val="20"/>
                      </w:rPr>
                      <w:fldChar w:fldCharType="begin"/>
                    </w:r>
                    <w:r w:rsidRPr="00353DF5">
                      <w:rPr>
                        <w:rFonts w:asciiTheme="majorBidi" w:hAnsiTheme="majorBidi" w:cstheme="majorBidi"/>
                        <w:b/>
                        <w:bCs/>
                        <w:color w:val="FFFFFF" w:themeColor="background1"/>
                        <w:sz w:val="20"/>
                        <w:szCs w:val="20"/>
                      </w:rPr>
                      <w:instrText xml:space="preserve"> PAGE   \* MERGEFORMAT </w:instrText>
                    </w:r>
                    <w:r w:rsidRPr="00353DF5">
                      <w:rPr>
                        <w:rFonts w:asciiTheme="majorBidi" w:hAnsiTheme="majorBidi" w:cstheme="majorBidi"/>
                        <w:b/>
                        <w:bCs/>
                        <w:color w:val="FFFFFF" w:themeColor="background1"/>
                        <w:sz w:val="20"/>
                        <w:szCs w:val="20"/>
                      </w:rPr>
                      <w:fldChar w:fldCharType="separate"/>
                    </w:r>
                    <w:r w:rsidRPr="00353DF5">
                      <w:rPr>
                        <w:rFonts w:asciiTheme="majorBidi" w:hAnsiTheme="majorBidi" w:cstheme="majorBidi"/>
                        <w:b/>
                        <w:bCs/>
                        <w:noProof/>
                        <w:color w:val="FFFFFF" w:themeColor="background1"/>
                        <w:sz w:val="20"/>
                        <w:szCs w:val="20"/>
                      </w:rPr>
                      <w:t>1</w:t>
                    </w:r>
                    <w:r w:rsidRPr="00353DF5">
                      <w:rPr>
                        <w:rFonts w:asciiTheme="majorBidi" w:hAnsiTheme="majorBidi" w:cstheme="majorBidi"/>
                        <w:b/>
                        <w:bCs/>
                        <w:noProof/>
                        <w:color w:val="FFFFFF" w:themeColor="background1"/>
                        <w:sz w:val="20"/>
                        <w:szCs w:val="20"/>
                      </w:rPr>
                      <w:fldChar w:fldCharType="end"/>
                    </w:r>
                  </w:p>
                </w:txbxContent>
              </v:textbox>
            </v:shape>
          </w:pict>
        </mc:Fallback>
      </mc:AlternateContent>
    </w:r>
    <w:r w:rsidR="00001D8E">
      <w:rPr>
        <w:rFonts w:ascii="TimesNewRomanPSMT" w:hAnsi="TimesNewRomanPSMT" w:cs="TimesNewRomanPSMT"/>
        <w:sz w:val="18"/>
        <w:szCs w:val="18"/>
      </w:rPr>
      <w:t xml:space="preserve">                    </w:t>
    </w:r>
    <w:r w:rsidR="006D35A4">
      <w:rPr>
        <w:rFonts w:ascii="TimesNewRomanPSMT" w:hAnsi="TimesNewRomanPSMT" w:cs="TimesNewRomanPSMT"/>
        <w:sz w:val="18"/>
        <w:szCs w:val="18"/>
      </w:rPr>
      <w:t xml:space="preserve">   </w:t>
    </w:r>
    <w:r w:rsidR="006D35A4" w:rsidRPr="006D35A4">
      <w:rPr>
        <w:rFonts w:ascii="TimesNewRomanPSMT" w:hAnsi="TimesNewRomanPSMT" w:cs="TimesNewRomanPSMT"/>
        <w:sz w:val="18"/>
        <w:szCs w:val="18"/>
      </w:rPr>
      <w:t>Human-Digital Twins: Enabling Technologies, Applications, and in the Era of Industry 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4FC95" w14:textId="77777777" w:rsidR="00B53813" w:rsidRDefault="00B53813" w:rsidP="0040558C">
      <w:r>
        <w:separator/>
      </w:r>
    </w:p>
  </w:footnote>
  <w:footnote w:type="continuationSeparator" w:id="0">
    <w:p w14:paraId="5156B8BB" w14:textId="77777777" w:rsidR="00B53813" w:rsidRDefault="00B53813" w:rsidP="00405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E4855" w14:textId="77777777" w:rsidR="001C77E0" w:rsidRDefault="001C77E0" w:rsidP="001C77E0">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Vol. 10, Issue (2) November 2023</w:t>
    </w:r>
  </w:p>
  <w:p w14:paraId="2F13E063" w14:textId="37F2F032" w:rsidR="0002714E" w:rsidRPr="00BD6837" w:rsidRDefault="0002714E" w:rsidP="00BD6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E3CEB" w14:textId="0A240418" w:rsidR="008A617F" w:rsidRDefault="008A617F" w:rsidP="008A617F">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w:t>
    </w:r>
    <w:r w:rsidR="00F87535">
      <w:rPr>
        <w:rFonts w:ascii="TimesNewRomanPS-BoldMT" w:hAnsi="TimesNewRomanPS-BoldMT" w:cs="TimesNewRomanPS-BoldMT"/>
        <w:b/>
        <w:bCs/>
        <w:sz w:val="18"/>
        <w:szCs w:val="18"/>
      </w:rPr>
      <w:t xml:space="preserve"> JE&amp;AS</w:t>
    </w:r>
    <w:r>
      <w:rPr>
        <w:rFonts w:ascii="TimesNewRomanPS-BoldMT" w:hAnsi="TimesNewRomanPS-BoldMT" w:cs="TimesNewRomanPS-BoldMT"/>
        <w:b/>
        <w:bCs/>
        <w:sz w:val="18"/>
        <w:szCs w:val="18"/>
      </w:rPr>
      <w:t>, Vol. 10, Issue (2) November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3CE65" w14:textId="4C5CC687" w:rsidR="001C77E0" w:rsidRDefault="001C77E0" w:rsidP="001C77E0">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Vol. 10, Issue (2) November 2023</w:t>
    </w:r>
  </w:p>
  <w:p w14:paraId="27A98B01" w14:textId="3521F96F" w:rsidR="0002714E" w:rsidRPr="00BD6837" w:rsidRDefault="0002714E" w:rsidP="00BD6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B7167"/>
    <w:multiLevelType w:val="multilevel"/>
    <w:tmpl w:val="9990A314"/>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 w15:restartNumberingAfterBreak="0">
    <w:nsid w:val="0ABA4420"/>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0EED4EFB"/>
    <w:multiLevelType w:val="hybridMultilevel"/>
    <w:tmpl w:val="0C52E146"/>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D3B3F"/>
    <w:multiLevelType w:val="hybridMultilevel"/>
    <w:tmpl w:val="CDE2FAA4"/>
    <w:lvl w:ilvl="0" w:tplc="4E28A8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E62F1"/>
    <w:multiLevelType w:val="hybridMultilevel"/>
    <w:tmpl w:val="137015F4"/>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660C6"/>
    <w:multiLevelType w:val="hybridMultilevel"/>
    <w:tmpl w:val="9FBC5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63221"/>
    <w:multiLevelType w:val="hybridMultilevel"/>
    <w:tmpl w:val="A1C24052"/>
    <w:lvl w:ilvl="0" w:tplc="10FE40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71322"/>
    <w:multiLevelType w:val="hybridMultilevel"/>
    <w:tmpl w:val="7FB6F0BC"/>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57E07"/>
    <w:multiLevelType w:val="hybridMultilevel"/>
    <w:tmpl w:val="03FC497A"/>
    <w:lvl w:ilvl="0" w:tplc="56406A10">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76C5C"/>
    <w:multiLevelType w:val="multilevel"/>
    <w:tmpl w:val="B3C2D092"/>
    <w:lvl w:ilvl="0">
      <w:start w:val="1"/>
      <w:numFmt w:val="decimal"/>
      <w:suff w:val="space"/>
      <w:lvlText w:val="%1."/>
      <w:lvlJc w:val="left"/>
      <w:pPr>
        <w:ind w:left="0" w:firstLine="0"/>
      </w:pPr>
    </w:lvl>
    <w:lvl w:ilvl="1">
      <w:start w:val="1"/>
      <w:numFmt w:val="decimal"/>
      <w:pStyle w:val="Heading3"/>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2A0828CC"/>
    <w:multiLevelType w:val="multilevel"/>
    <w:tmpl w:val="F432DF5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5C10F3"/>
    <w:multiLevelType w:val="hybridMultilevel"/>
    <w:tmpl w:val="E0CA2C44"/>
    <w:lvl w:ilvl="0" w:tplc="F172586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FA3274"/>
    <w:multiLevelType w:val="hybridMultilevel"/>
    <w:tmpl w:val="B266719E"/>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D3F31"/>
    <w:multiLevelType w:val="hybridMultilevel"/>
    <w:tmpl w:val="22F6BAD0"/>
    <w:lvl w:ilvl="0" w:tplc="746268B8">
      <w:start w:val="1"/>
      <w:numFmt w:val="decimal"/>
      <w:pStyle w:val="numberedlis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4" w15:restartNumberingAfterBreak="0">
    <w:nsid w:val="3DD67741"/>
    <w:multiLevelType w:val="multilevel"/>
    <w:tmpl w:val="E9E20686"/>
    <w:lvl w:ilvl="0">
      <w:start w:val="1"/>
      <w:numFmt w:val="upperLetter"/>
      <w:pStyle w:val="Appendix"/>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3E0866EF"/>
    <w:multiLevelType w:val="hybridMultilevel"/>
    <w:tmpl w:val="B352F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10473C"/>
    <w:multiLevelType w:val="multilevel"/>
    <w:tmpl w:val="1CA2CA60"/>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5D367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BBB0843"/>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C0B5F0D"/>
    <w:multiLevelType w:val="hybridMultilevel"/>
    <w:tmpl w:val="159080E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ED5CFC"/>
    <w:multiLevelType w:val="hybridMultilevel"/>
    <w:tmpl w:val="C3504C7E"/>
    <w:lvl w:ilvl="0" w:tplc="EA460726">
      <w:start w:val="1"/>
      <w:numFmt w:val="bullet"/>
      <w:pStyle w:val="bulletlis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1" w15:restartNumberingAfterBreak="0">
    <w:nsid w:val="6E436234"/>
    <w:multiLevelType w:val="hybridMultilevel"/>
    <w:tmpl w:val="8662DF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653724"/>
    <w:multiLevelType w:val="hybridMultilevel"/>
    <w:tmpl w:val="8AAEB564"/>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155AAC"/>
    <w:multiLevelType w:val="hybridMultilevel"/>
    <w:tmpl w:val="7186B67C"/>
    <w:lvl w:ilvl="0" w:tplc="3D786E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45367DE"/>
    <w:multiLevelType w:val="hybridMultilevel"/>
    <w:tmpl w:val="1992610A"/>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EA41F3"/>
    <w:multiLevelType w:val="hybridMultilevel"/>
    <w:tmpl w:val="97E47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780A7B"/>
    <w:multiLevelType w:val="hybridMultilevel"/>
    <w:tmpl w:val="A6963F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BD438C7"/>
    <w:multiLevelType w:val="hybridMultilevel"/>
    <w:tmpl w:val="6148896E"/>
    <w:lvl w:ilvl="0" w:tplc="0409000F">
      <w:start w:val="1"/>
      <w:numFmt w:val="decimal"/>
      <w:lvlText w:val="%1."/>
      <w:lvlJc w:val="left"/>
      <w:pPr>
        <w:ind w:left="720" w:hanging="360"/>
      </w:pPr>
      <w:rPr>
        <w:rFonts w:hint="default"/>
      </w:rPr>
    </w:lvl>
    <w:lvl w:ilvl="1" w:tplc="BF76A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2730D0"/>
    <w:multiLevelType w:val="hybridMultilevel"/>
    <w:tmpl w:val="B666E86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F0223"/>
    <w:multiLevelType w:val="hybridMultilevel"/>
    <w:tmpl w:val="509600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3915AD"/>
    <w:multiLevelType w:val="multilevel"/>
    <w:tmpl w:val="88ACAC2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16cid:durableId="299965803">
    <w:abstractNumId w:val="6"/>
  </w:num>
  <w:num w:numId="2" w16cid:durableId="1159806415">
    <w:abstractNumId w:val="10"/>
  </w:num>
  <w:num w:numId="3" w16cid:durableId="1262182289">
    <w:abstractNumId w:val="30"/>
  </w:num>
  <w:num w:numId="4" w16cid:durableId="12146837">
    <w:abstractNumId w:val="17"/>
  </w:num>
  <w:num w:numId="5" w16cid:durableId="2081516123">
    <w:abstractNumId w:val="9"/>
  </w:num>
  <w:num w:numId="6" w16cid:durableId="1015304138">
    <w:abstractNumId w:val="20"/>
  </w:num>
  <w:num w:numId="7" w16cid:durableId="25448800">
    <w:abstractNumId w:val="0"/>
  </w:num>
  <w:num w:numId="8" w16cid:durableId="957175255">
    <w:abstractNumId w:val="14"/>
  </w:num>
  <w:num w:numId="9" w16cid:durableId="1345402850">
    <w:abstractNumId w:val="18"/>
  </w:num>
  <w:num w:numId="10" w16cid:durableId="1570653864">
    <w:abstractNumId w:val="1"/>
  </w:num>
  <w:num w:numId="11" w16cid:durableId="399718860">
    <w:abstractNumId w:val="13"/>
  </w:num>
  <w:num w:numId="12" w16cid:durableId="1890846127">
    <w:abstractNumId w:val="23"/>
  </w:num>
  <w:num w:numId="13" w16cid:durableId="1395423419">
    <w:abstractNumId w:val="27"/>
  </w:num>
  <w:num w:numId="14" w16cid:durableId="1914119593">
    <w:abstractNumId w:val="10"/>
  </w:num>
  <w:num w:numId="15" w16cid:durableId="653606719">
    <w:abstractNumId w:val="10"/>
  </w:num>
  <w:num w:numId="16" w16cid:durableId="535046793">
    <w:abstractNumId w:val="11"/>
  </w:num>
  <w:num w:numId="17" w16cid:durableId="1336609646">
    <w:abstractNumId w:val="3"/>
  </w:num>
  <w:num w:numId="18" w16cid:durableId="1754400320">
    <w:abstractNumId w:val="22"/>
  </w:num>
  <w:num w:numId="19" w16cid:durableId="1022243242">
    <w:abstractNumId w:val="29"/>
  </w:num>
  <w:num w:numId="20" w16cid:durableId="1573193961">
    <w:abstractNumId w:val="26"/>
  </w:num>
  <w:num w:numId="21" w16cid:durableId="924919009">
    <w:abstractNumId w:val="19"/>
  </w:num>
  <w:num w:numId="22" w16cid:durableId="627856105">
    <w:abstractNumId w:val="28"/>
  </w:num>
  <w:num w:numId="23" w16cid:durableId="1367827243">
    <w:abstractNumId w:val="12"/>
  </w:num>
  <w:num w:numId="24" w16cid:durableId="219942976">
    <w:abstractNumId w:val="4"/>
  </w:num>
  <w:num w:numId="25" w16cid:durableId="192891224">
    <w:abstractNumId w:val="24"/>
  </w:num>
  <w:num w:numId="26" w16cid:durableId="1627547371">
    <w:abstractNumId w:val="7"/>
  </w:num>
  <w:num w:numId="27" w16cid:durableId="359756">
    <w:abstractNumId w:val="2"/>
  </w:num>
  <w:num w:numId="28" w16cid:durableId="270363991">
    <w:abstractNumId w:val="10"/>
  </w:num>
  <w:num w:numId="29" w16cid:durableId="1938560196">
    <w:abstractNumId w:val="10"/>
  </w:num>
  <w:num w:numId="30" w16cid:durableId="1718774010">
    <w:abstractNumId w:val="10"/>
  </w:num>
  <w:num w:numId="31" w16cid:durableId="424155809">
    <w:abstractNumId w:val="10"/>
  </w:num>
  <w:num w:numId="32" w16cid:durableId="1480225615">
    <w:abstractNumId w:val="10"/>
  </w:num>
  <w:num w:numId="33" w16cid:durableId="1506287116">
    <w:abstractNumId w:val="10"/>
  </w:num>
  <w:num w:numId="34" w16cid:durableId="144400442">
    <w:abstractNumId w:val="10"/>
  </w:num>
  <w:num w:numId="35" w16cid:durableId="605161499">
    <w:abstractNumId w:val="10"/>
  </w:num>
  <w:num w:numId="36" w16cid:durableId="1549494508">
    <w:abstractNumId w:val="10"/>
  </w:num>
  <w:num w:numId="37" w16cid:durableId="1583832024">
    <w:abstractNumId w:val="10"/>
  </w:num>
  <w:num w:numId="38" w16cid:durableId="1605844980">
    <w:abstractNumId w:val="10"/>
  </w:num>
  <w:num w:numId="39" w16cid:durableId="490144434">
    <w:abstractNumId w:val="10"/>
  </w:num>
  <w:num w:numId="40" w16cid:durableId="1214199243">
    <w:abstractNumId w:val="10"/>
  </w:num>
  <w:num w:numId="41" w16cid:durableId="323163780">
    <w:abstractNumId w:val="10"/>
  </w:num>
  <w:num w:numId="42" w16cid:durableId="502478517">
    <w:abstractNumId w:val="10"/>
  </w:num>
  <w:num w:numId="43" w16cid:durableId="2080470681">
    <w:abstractNumId w:val="10"/>
  </w:num>
  <w:num w:numId="44" w16cid:durableId="1559781105">
    <w:abstractNumId w:val="21"/>
  </w:num>
  <w:num w:numId="45" w16cid:durableId="323364470">
    <w:abstractNumId w:val="10"/>
  </w:num>
  <w:num w:numId="46" w16cid:durableId="1206328889">
    <w:abstractNumId w:val="5"/>
  </w:num>
  <w:num w:numId="47" w16cid:durableId="171382344">
    <w:abstractNumId w:val="10"/>
  </w:num>
  <w:num w:numId="48" w16cid:durableId="1036732880">
    <w:abstractNumId w:val="10"/>
  </w:num>
  <w:num w:numId="49" w16cid:durableId="287245915">
    <w:abstractNumId w:val="10"/>
  </w:num>
  <w:num w:numId="50" w16cid:durableId="708803523">
    <w:abstractNumId w:val="15"/>
  </w:num>
  <w:num w:numId="51" w16cid:durableId="561673417">
    <w:abstractNumId w:val="25"/>
  </w:num>
  <w:num w:numId="52" w16cid:durableId="739643749">
    <w:abstractNumId w:val="16"/>
  </w:num>
  <w:num w:numId="53" w16cid:durableId="2631940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288"/>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8C"/>
    <w:rsid w:val="000013DB"/>
    <w:rsid w:val="00001D8E"/>
    <w:rsid w:val="00005886"/>
    <w:rsid w:val="00016FEB"/>
    <w:rsid w:val="000201BB"/>
    <w:rsid w:val="00026558"/>
    <w:rsid w:val="0002714E"/>
    <w:rsid w:val="0004582E"/>
    <w:rsid w:val="00062E31"/>
    <w:rsid w:val="0006724B"/>
    <w:rsid w:val="00070921"/>
    <w:rsid w:val="000818D7"/>
    <w:rsid w:val="0009344B"/>
    <w:rsid w:val="00094924"/>
    <w:rsid w:val="000B4A00"/>
    <w:rsid w:val="000F2877"/>
    <w:rsid w:val="00104D0E"/>
    <w:rsid w:val="00122259"/>
    <w:rsid w:val="0012608E"/>
    <w:rsid w:val="00126261"/>
    <w:rsid w:val="0012787A"/>
    <w:rsid w:val="00130877"/>
    <w:rsid w:val="00130E14"/>
    <w:rsid w:val="00135364"/>
    <w:rsid w:val="00136705"/>
    <w:rsid w:val="00137041"/>
    <w:rsid w:val="00144AFD"/>
    <w:rsid w:val="00155CDF"/>
    <w:rsid w:val="00157EBD"/>
    <w:rsid w:val="00163D93"/>
    <w:rsid w:val="0016638B"/>
    <w:rsid w:val="00173208"/>
    <w:rsid w:val="001A199C"/>
    <w:rsid w:val="001A2CF9"/>
    <w:rsid w:val="001B47C5"/>
    <w:rsid w:val="001B4AF3"/>
    <w:rsid w:val="001B5576"/>
    <w:rsid w:val="001C4001"/>
    <w:rsid w:val="001C4421"/>
    <w:rsid w:val="001C77E0"/>
    <w:rsid w:val="001E0EF1"/>
    <w:rsid w:val="001E3392"/>
    <w:rsid w:val="001E52DE"/>
    <w:rsid w:val="001F5123"/>
    <w:rsid w:val="001F5CC2"/>
    <w:rsid w:val="002066B7"/>
    <w:rsid w:val="0021147C"/>
    <w:rsid w:val="0022262F"/>
    <w:rsid w:val="00222C8A"/>
    <w:rsid w:val="0023092D"/>
    <w:rsid w:val="00240E4C"/>
    <w:rsid w:val="00265467"/>
    <w:rsid w:val="002738E5"/>
    <w:rsid w:val="00281847"/>
    <w:rsid w:val="0028365E"/>
    <w:rsid w:val="00284FE2"/>
    <w:rsid w:val="00285E97"/>
    <w:rsid w:val="002A5562"/>
    <w:rsid w:val="002B0996"/>
    <w:rsid w:val="002B40A4"/>
    <w:rsid w:val="002C069C"/>
    <w:rsid w:val="002C0860"/>
    <w:rsid w:val="002C5C03"/>
    <w:rsid w:val="002E33D9"/>
    <w:rsid w:val="002E4B9F"/>
    <w:rsid w:val="002E6DF6"/>
    <w:rsid w:val="002F50ED"/>
    <w:rsid w:val="00306817"/>
    <w:rsid w:val="00311844"/>
    <w:rsid w:val="00312FA0"/>
    <w:rsid w:val="00314B75"/>
    <w:rsid w:val="00320C4C"/>
    <w:rsid w:val="00322A6D"/>
    <w:rsid w:val="003259A8"/>
    <w:rsid w:val="003348D9"/>
    <w:rsid w:val="00340E98"/>
    <w:rsid w:val="003476C5"/>
    <w:rsid w:val="00351182"/>
    <w:rsid w:val="00353DF5"/>
    <w:rsid w:val="00355226"/>
    <w:rsid w:val="00355BAF"/>
    <w:rsid w:val="00357183"/>
    <w:rsid w:val="00362D82"/>
    <w:rsid w:val="00371A40"/>
    <w:rsid w:val="0037226D"/>
    <w:rsid w:val="003741D0"/>
    <w:rsid w:val="00376460"/>
    <w:rsid w:val="00380887"/>
    <w:rsid w:val="003826C6"/>
    <w:rsid w:val="0038308B"/>
    <w:rsid w:val="003836FE"/>
    <w:rsid w:val="0039773B"/>
    <w:rsid w:val="003A2F3D"/>
    <w:rsid w:val="003A419C"/>
    <w:rsid w:val="003A5F1C"/>
    <w:rsid w:val="003B0678"/>
    <w:rsid w:val="003B3528"/>
    <w:rsid w:val="003D1000"/>
    <w:rsid w:val="003D22B4"/>
    <w:rsid w:val="003F48EC"/>
    <w:rsid w:val="003F4E23"/>
    <w:rsid w:val="0040327E"/>
    <w:rsid w:val="00404222"/>
    <w:rsid w:val="0040558C"/>
    <w:rsid w:val="00410E78"/>
    <w:rsid w:val="00412399"/>
    <w:rsid w:val="00416218"/>
    <w:rsid w:val="00435F88"/>
    <w:rsid w:val="00447C67"/>
    <w:rsid w:val="00454157"/>
    <w:rsid w:val="00457BDA"/>
    <w:rsid w:val="00457C00"/>
    <w:rsid w:val="004607FF"/>
    <w:rsid w:val="00465B39"/>
    <w:rsid w:val="0047294C"/>
    <w:rsid w:val="004A6468"/>
    <w:rsid w:val="004A7365"/>
    <w:rsid w:val="004B3351"/>
    <w:rsid w:val="004C2E4C"/>
    <w:rsid w:val="004C3C24"/>
    <w:rsid w:val="004C62C4"/>
    <w:rsid w:val="004C7971"/>
    <w:rsid w:val="004D2675"/>
    <w:rsid w:val="004D34C7"/>
    <w:rsid w:val="004D61D5"/>
    <w:rsid w:val="004F0550"/>
    <w:rsid w:val="004F2E37"/>
    <w:rsid w:val="00500B20"/>
    <w:rsid w:val="00501AF4"/>
    <w:rsid w:val="0050342B"/>
    <w:rsid w:val="005145BA"/>
    <w:rsid w:val="00520647"/>
    <w:rsid w:val="00534078"/>
    <w:rsid w:val="005374C6"/>
    <w:rsid w:val="005453D6"/>
    <w:rsid w:val="00576C59"/>
    <w:rsid w:val="00583C64"/>
    <w:rsid w:val="00584F2C"/>
    <w:rsid w:val="0058500A"/>
    <w:rsid w:val="005918CF"/>
    <w:rsid w:val="005933DC"/>
    <w:rsid w:val="00596AA0"/>
    <w:rsid w:val="005A3F8A"/>
    <w:rsid w:val="005A6A53"/>
    <w:rsid w:val="005B63F0"/>
    <w:rsid w:val="005D07B0"/>
    <w:rsid w:val="005D130A"/>
    <w:rsid w:val="005D1450"/>
    <w:rsid w:val="005D1F61"/>
    <w:rsid w:val="005F387F"/>
    <w:rsid w:val="005F6A61"/>
    <w:rsid w:val="005F7D60"/>
    <w:rsid w:val="0061390D"/>
    <w:rsid w:val="00613ED1"/>
    <w:rsid w:val="00616121"/>
    <w:rsid w:val="00627569"/>
    <w:rsid w:val="0063638F"/>
    <w:rsid w:val="00651258"/>
    <w:rsid w:val="00652E0D"/>
    <w:rsid w:val="0065406F"/>
    <w:rsid w:val="00656F97"/>
    <w:rsid w:val="00666704"/>
    <w:rsid w:val="00670115"/>
    <w:rsid w:val="006804CA"/>
    <w:rsid w:val="00682210"/>
    <w:rsid w:val="006A0920"/>
    <w:rsid w:val="006B3777"/>
    <w:rsid w:val="006B3FB1"/>
    <w:rsid w:val="006D34E3"/>
    <w:rsid w:val="006D35A4"/>
    <w:rsid w:val="006E3B4C"/>
    <w:rsid w:val="006E6C5A"/>
    <w:rsid w:val="00712F9B"/>
    <w:rsid w:val="00721C95"/>
    <w:rsid w:val="007240B7"/>
    <w:rsid w:val="00740FE7"/>
    <w:rsid w:val="00754C1D"/>
    <w:rsid w:val="00776037"/>
    <w:rsid w:val="0078319F"/>
    <w:rsid w:val="0078557A"/>
    <w:rsid w:val="00793A21"/>
    <w:rsid w:val="00797BAC"/>
    <w:rsid w:val="00797C77"/>
    <w:rsid w:val="007B1553"/>
    <w:rsid w:val="007F0DA3"/>
    <w:rsid w:val="007F7C4A"/>
    <w:rsid w:val="00800063"/>
    <w:rsid w:val="00803638"/>
    <w:rsid w:val="0081036E"/>
    <w:rsid w:val="0081249A"/>
    <w:rsid w:val="008135FC"/>
    <w:rsid w:val="00816B99"/>
    <w:rsid w:val="00833C1E"/>
    <w:rsid w:val="008718DD"/>
    <w:rsid w:val="00884515"/>
    <w:rsid w:val="00892A18"/>
    <w:rsid w:val="008A5755"/>
    <w:rsid w:val="008A617F"/>
    <w:rsid w:val="008B7EFE"/>
    <w:rsid w:val="008C4FBC"/>
    <w:rsid w:val="008C7438"/>
    <w:rsid w:val="008D1534"/>
    <w:rsid w:val="008F5D16"/>
    <w:rsid w:val="008F6D73"/>
    <w:rsid w:val="0090279A"/>
    <w:rsid w:val="00903783"/>
    <w:rsid w:val="00910C76"/>
    <w:rsid w:val="00916148"/>
    <w:rsid w:val="00924AA1"/>
    <w:rsid w:val="009467FE"/>
    <w:rsid w:val="00953623"/>
    <w:rsid w:val="00960285"/>
    <w:rsid w:val="00994684"/>
    <w:rsid w:val="009968AF"/>
    <w:rsid w:val="009A0617"/>
    <w:rsid w:val="009A1382"/>
    <w:rsid w:val="009B1E85"/>
    <w:rsid w:val="009C1BBE"/>
    <w:rsid w:val="009D3DC8"/>
    <w:rsid w:val="009E04B1"/>
    <w:rsid w:val="009E2C90"/>
    <w:rsid w:val="009F23C4"/>
    <w:rsid w:val="009F3CA2"/>
    <w:rsid w:val="009F7150"/>
    <w:rsid w:val="009F76D2"/>
    <w:rsid w:val="00A0466A"/>
    <w:rsid w:val="00A14D6B"/>
    <w:rsid w:val="00A167A1"/>
    <w:rsid w:val="00A2595A"/>
    <w:rsid w:val="00A26F60"/>
    <w:rsid w:val="00A27C78"/>
    <w:rsid w:val="00A51575"/>
    <w:rsid w:val="00A55A1A"/>
    <w:rsid w:val="00A573B3"/>
    <w:rsid w:val="00A60F8E"/>
    <w:rsid w:val="00A627A0"/>
    <w:rsid w:val="00A763AA"/>
    <w:rsid w:val="00A77614"/>
    <w:rsid w:val="00A90D9B"/>
    <w:rsid w:val="00A94455"/>
    <w:rsid w:val="00AA0A87"/>
    <w:rsid w:val="00AB3D58"/>
    <w:rsid w:val="00AB6184"/>
    <w:rsid w:val="00AC76D5"/>
    <w:rsid w:val="00AD00F9"/>
    <w:rsid w:val="00AE2C74"/>
    <w:rsid w:val="00AF4A34"/>
    <w:rsid w:val="00B0071A"/>
    <w:rsid w:val="00B04480"/>
    <w:rsid w:val="00B07517"/>
    <w:rsid w:val="00B11051"/>
    <w:rsid w:val="00B11A6A"/>
    <w:rsid w:val="00B262FD"/>
    <w:rsid w:val="00B345C1"/>
    <w:rsid w:val="00B41740"/>
    <w:rsid w:val="00B53813"/>
    <w:rsid w:val="00B619DF"/>
    <w:rsid w:val="00B630B3"/>
    <w:rsid w:val="00B8318A"/>
    <w:rsid w:val="00B879F2"/>
    <w:rsid w:val="00B9326E"/>
    <w:rsid w:val="00B94FD1"/>
    <w:rsid w:val="00BA126E"/>
    <w:rsid w:val="00BB2FE0"/>
    <w:rsid w:val="00BB4761"/>
    <w:rsid w:val="00BC1BF3"/>
    <w:rsid w:val="00BD6837"/>
    <w:rsid w:val="00BE7BFA"/>
    <w:rsid w:val="00BF2DA3"/>
    <w:rsid w:val="00BF6CB3"/>
    <w:rsid w:val="00C101FC"/>
    <w:rsid w:val="00C16BB8"/>
    <w:rsid w:val="00C25DBF"/>
    <w:rsid w:val="00C3054D"/>
    <w:rsid w:val="00C30EC9"/>
    <w:rsid w:val="00C57E77"/>
    <w:rsid w:val="00C64298"/>
    <w:rsid w:val="00C66289"/>
    <w:rsid w:val="00C74357"/>
    <w:rsid w:val="00C95CEC"/>
    <w:rsid w:val="00CB06C5"/>
    <w:rsid w:val="00CB2195"/>
    <w:rsid w:val="00CB61B9"/>
    <w:rsid w:val="00CB6809"/>
    <w:rsid w:val="00CB6A68"/>
    <w:rsid w:val="00CC11EA"/>
    <w:rsid w:val="00CC2527"/>
    <w:rsid w:val="00CC294B"/>
    <w:rsid w:val="00CC659C"/>
    <w:rsid w:val="00CD1817"/>
    <w:rsid w:val="00CE1D44"/>
    <w:rsid w:val="00CF3A50"/>
    <w:rsid w:val="00CF5512"/>
    <w:rsid w:val="00D034FD"/>
    <w:rsid w:val="00D268CF"/>
    <w:rsid w:val="00D26D7A"/>
    <w:rsid w:val="00D26DCA"/>
    <w:rsid w:val="00D37AE5"/>
    <w:rsid w:val="00D42581"/>
    <w:rsid w:val="00D461AB"/>
    <w:rsid w:val="00D47933"/>
    <w:rsid w:val="00D57614"/>
    <w:rsid w:val="00D57FA5"/>
    <w:rsid w:val="00D616C8"/>
    <w:rsid w:val="00D67F74"/>
    <w:rsid w:val="00D8689F"/>
    <w:rsid w:val="00D8743E"/>
    <w:rsid w:val="00D90206"/>
    <w:rsid w:val="00D93553"/>
    <w:rsid w:val="00D96F15"/>
    <w:rsid w:val="00DC04A9"/>
    <w:rsid w:val="00DE1A7F"/>
    <w:rsid w:val="00DE374C"/>
    <w:rsid w:val="00DF1319"/>
    <w:rsid w:val="00DF1DAA"/>
    <w:rsid w:val="00E11C92"/>
    <w:rsid w:val="00E11F78"/>
    <w:rsid w:val="00E1342F"/>
    <w:rsid w:val="00E26AD3"/>
    <w:rsid w:val="00E3311D"/>
    <w:rsid w:val="00E42088"/>
    <w:rsid w:val="00E85D00"/>
    <w:rsid w:val="00E909B3"/>
    <w:rsid w:val="00EB5F2B"/>
    <w:rsid w:val="00EC0663"/>
    <w:rsid w:val="00EC376B"/>
    <w:rsid w:val="00ED7A84"/>
    <w:rsid w:val="00EF0FAC"/>
    <w:rsid w:val="00F027B0"/>
    <w:rsid w:val="00F030E3"/>
    <w:rsid w:val="00F0583C"/>
    <w:rsid w:val="00F26112"/>
    <w:rsid w:val="00F4209A"/>
    <w:rsid w:val="00F51B26"/>
    <w:rsid w:val="00F57CAA"/>
    <w:rsid w:val="00F612F8"/>
    <w:rsid w:val="00F80609"/>
    <w:rsid w:val="00F810E7"/>
    <w:rsid w:val="00F83621"/>
    <w:rsid w:val="00F85475"/>
    <w:rsid w:val="00F87535"/>
    <w:rsid w:val="00F903CF"/>
    <w:rsid w:val="00F91D01"/>
    <w:rsid w:val="00F9271F"/>
    <w:rsid w:val="00FB1095"/>
    <w:rsid w:val="00FC11BD"/>
    <w:rsid w:val="00FE7B2D"/>
    <w:rsid w:val="00FF045F"/>
    <w:rsid w:val="00FF13A7"/>
    <w:rsid w:val="00FF1689"/>
    <w:rsid w:val="00FF37EB"/>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D453BC"/>
  <w15:docId w15:val="{965A88ED-94CE-4845-AF7F-AE53184A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7E0"/>
    <w:rPr>
      <w:sz w:val="22"/>
      <w:szCs w:val="22"/>
    </w:rPr>
  </w:style>
  <w:style w:type="paragraph" w:styleId="Heading1">
    <w:name w:val="heading 1"/>
    <w:basedOn w:val="Normal"/>
    <w:next w:val="Normal"/>
    <w:link w:val="Heading1Char"/>
    <w:uiPriority w:val="9"/>
    <w:qFormat/>
    <w:rsid w:val="00D616C8"/>
    <w:pPr>
      <w:numPr>
        <w:numId w:val="2"/>
      </w:numPr>
      <w:spacing w:after="240"/>
      <w:outlineLvl w:val="0"/>
    </w:pPr>
    <w:rPr>
      <w:rFonts w:ascii="Times New Roman" w:hAnsi="Times New Roman" w:cs="Times New Roman"/>
      <w:b/>
      <w:sz w:val="20"/>
      <w:szCs w:val="20"/>
    </w:rPr>
  </w:style>
  <w:style w:type="paragraph" w:styleId="Heading2">
    <w:name w:val="heading 2"/>
    <w:basedOn w:val="Heading3"/>
    <w:next w:val="Normal"/>
    <w:link w:val="Heading2Char"/>
    <w:uiPriority w:val="9"/>
    <w:unhideWhenUsed/>
    <w:qFormat/>
    <w:rsid w:val="003826C6"/>
    <w:pPr>
      <w:outlineLvl w:val="1"/>
    </w:pPr>
    <w:rPr>
      <w:i/>
    </w:rPr>
  </w:style>
  <w:style w:type="paragraph" w:styleId="Heading3">
    <w:name w:val="heading 3"/>
    <w:basedOn w:val="Normal"/>
    <w:next w:val="Normal"/>
    <w:link w:val="Heading3Char"/>
    <w:uiPriority w:val="9"/>
    <w:unhideWhenUsed/>
    <w:rsid w:val="003826C6"/>
    <w:pPr>
      <w:numPr>
        <w:ilvl w:val="1"/>
        <w:numId w:val="5"/>
      </w:numPr>
      <w:outlineLvl w:val="2"/>
    </w:pPr>
    <w:rPr>
      <w:rFonts w:ascii="Times New Roman" w:eastAsia="SimSun" w:hAnsi="Times New Roman" w:cs="Times New Roman"/>
      <w:sz w:val="20"/>
      <w:szCs w:val="20"/>
    </w:rPr>
  </w:style>
  <w:style w:type="paragraph" w:styleId="Heading4">
    <w:name w:val="heading 4"/>
    <w:basedOn w:val="Normal"/>
    <w:next w:val="Normal"/>
    <w:link w:val="Heading4Char"/>
    <w:uiPriority w:val="9"/>
    <w:semiHidden/>
    <w:unhideWhenUsed/>
    <w:qFormat/>
    <w:rsid w:val="009E04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558C"/>
    <w:pPr>
      <w:tabs>
        <w:tab w:val="center" w:pos="4320"/>
        <w:tab w:val="right" w:pos="8640"/>
      </w:tabs>
    </w:pPr>
  </w:style>
  <w:style w:type="character" w:customStyle="1" w:styleId="HeaderChar">
    <w:name w:val="Header Char"/>
    <w:basedOn w:val="DefaultParagraphFont"/>
    <w:link w:val="Header"/>
    <w:uiPriority w:val="99"/>
    <w:rsid w:val="0040558C"/>
    <w:rPr>
      <w:sz w:val="22"/>
      <w:szCs w:val="22"/>
    </w:rPr>
  </w:style>
  <w:style w:type="paragraph" w:styleId="Footer">
    <w:name w:val="footer"/>
    <w:basedOn w:val="Normal"/>
    <w:link w:val="FooterChar"/>
    <w:uiPriority w:val="99"/>
    <w:unhideWhenUsed/>
    <w:rsid w:val="0040558C"/>
    <w:pPr>
      <w:tabs>
        <w:tab w:val="center" w:pos="4320"/>
        <w:tab w:val="right" w:pos="8640"/>
      </w:tabs>
    </w:pPr>
  </w:style>
  <w:style w:type="character" w:customStyle="1" w:styleId="FooterChar">
    <w:name w:val="Footer Char"/>
    <w:basedOn w:val="DefaultParagraphFont"/>
    <w:link w:val="Footer"/>
    <w:uiPriority w:val="99"/>
    <w:rsid w:val="0040558C"/>
    <w:rPr>
      <w:sz w:val="22"/>
      <w:szCs w:val="22"/>
    </w:rPr>
  </w:style>
  <w:style w:type="paragraph" w:styleId="BalloonText">
    <w:name w:val="Balloon Text"/>
    <w:basedOn w:val="Normal"/>
    <w:link w:val="BalloonTextChar"/>
    <w:uiPriority w:val="99"/>
    <w:semiHidden/>
    <w:unhideWhenUsed/>
    <w:rsid w:val="00405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8C"/>
    <w:rPr>
      <w:rFonts w:ascii="Lucida Grande" w:hAnsi="Lucida Grande" w:cs="Lucida Grande"/>
      <w:sz w:val="18"/>
      <w:szCs w:val="18"/>
    </w:rPr>
  </w:style>
  <w:style w:type="paragraph" w:styleId="Title">
    <w:name w:val="Title"/>
    <w:basedOn w:val="Normal"/>
    <w:next w:val="Normal"/>
    <w:link w:val="TitleChar"/>
    <w:uiPriority w:val="10"/>
    <w:qFormat/>
    <w:rsid w:val="0040558C"/>
    <w:pPr>
      <w:spacing w:after="200"/>
      <w:jc w:val="center"/>
    </w:pPr>
    <w:rPr>
      <w:rFonts w:ascii="Times New Roman" w:hAnsi="Times New Roman" w:cs="Times New Roman"/>
      <w:sz w:val="34"/>
      <w:szCs w:val="34"/>
    </w:rPr>
  </w:style>
  <w:style w:type="character" w:customStyle="1" w:styleId="TitleChar">
    <w:name w:val="Title Char"/>
    <w:basedOn w:val="DefaultParagraphFont"/>
    <w:link w:val="Title"/>
    <w:uiPriority w:val="10"/>
    <w:rsid w:val="0040558C"/>
    <w:rPr>
      <w:rFonts w:ascii="Times New Roman" w:hAnsi="Times New Roman" w:cs="Times New Roman"/>
      <w:sz w:val="34"/>
      <w:szCs w:val="34"/>
    </w:rPr>
  </w:style>
  <w:style w:type="paragraph" w:styleId="FootnoteText">
    <w:name w:val="footnote text"/>
    <w:basedOn w:val="Normal"/>
    <w:link w:val="FootnoteTextChar"/>
    <w:uiPriority w:val="99"/>
    <w:unhideWhenUsed/>
    <w:rsid w:val="0040558C"/>
    <w:rPr>
      <w:sz w:val="24"/>
      <w:szCs w:val="24"/>
    </w:rPr>
  </w:style>
  <w:style w:type="character" w:customStyle="1" w:styleId="FootnoteTextChar">
    <w:name w:val="Footnote Text Char"/>
    <w:basedOn w:val="DefaultParagraphFont"/>
    <w:link w:val="FootnoteText"/>
    <w:uiPriority w:val="99"/>
    <w:rsid w:val="0040558C"/>
  </w:style>
  <w:style w:type="character" w:styleId="FootnoteReference">
    <w:name w:val="footnote reference"/>
    <w:basedOn w:val="DefaultParagraphFont"/>
    <w:uiPriority w:val="99"/>
    <w:unhideWhenUsed/>
    <w:rsid w:val="0040558C"/>
    <w:rPr>
      <w:vertAlign w:val="superscript"/>
    </w:rPr>
  </w:style>
  <w:style w:type="paragraph" w:customStyle="1" w:styleId="authorline">
    <w:name w:val="author line"/>
    <w:basedOn w:val="Normal"/>
    <w:qFormat/>
    <w:rsid w:val="00BB4761"/>
    <w:pPr>
      <w:spacing w:line="300" w:lineRule="exact"/>
      <w:jc w:val="center"/>
    </w:pPr>
    <w:rPr>
      <w:rFonts w:ascii="Times New Roman" w:hAnsi="Times New Roman" w:cs="Times New Roman"/>
      <w:sz w:val="26"/>
      <w:szCs w:val="26"/>
    </w:rPr>
  </w:style>
  <w:style w:type="paragraph" w:customStyle="1" w:styleId="authoraffiliation">
    <w:name w:val="author affiliation"/>
    <w:basedOn w:val="Normal"/>
    <w:qFormat/>
    <w:rsid w:val="00BB4761"/>
    <w:pPr>
      <w:spacing w:after="160" w:line="300" w:lineRule="exact"/>
      <w:jc w:val="center"/>
    </w:pPr>
    <w:rPr>
      <w:rFonts w:ascii="Times New Roman" w:eastAsia="SimSun" w:hAnsi="Times New Roman" w:cs="Times New Roman"/>
      <w:noProof/>
      <w:sz w:val="16"/>
      <w:szCs w:val="16"/>
    </w:rPr>
  </w:style>
  <w:style w:type="paragraph" w:customStyle="1" w:styleId="abstract">
    <w:name w:val="abstract"/>
    <w:basedOn w:val="Normal"/>
    <w:qFormat/>
    <w:rsid w:val="00DF1319"/>
    <w:pPr>
      <w:pBdr>
        <w:top w:val="single" w:sz="4" w:space="1" w:color="auto"/>
      </w:pBdr>
      <w:spacing w:after="220" w:line="220" w:lineRule="exact"/>
    </w:pPr>
    <w:rPr>
      <w:rFonts w:ascii="Times New Roman" w:eastAsia="SimSun" w:hAnsi="Times New Roman" w:cs="Times New Roman"/>
      <w:b/>
      <w:sz w:val="18"/>
      <w:szCs w:val="20"/>
    </w:rPr>
  </w:style>
  <w:style w:type="table" w:styleId="TableGrid">
    <w:name w:val="Table Grid"/>
    <w:basedOn w:val="TableNormal"/>
    <w:uiPriority w:val="39"/>
    <w:rsid w:val="00311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text"/>
    <w:qFormat/>
    <w:rsid w:val="00CB06C5"/>
    <w:pPr>
      <w:numPr>
        <w:numId w:val="6"/>
      </w:numPr>
      <w:spacing w:before="0" w:after="0" w:line="240" w:lineRule="exact"/>
      <w:ind w:left="245" w:hanging="245"/>
    </w:pPr>
  </w:style>
  <w:style w:type="paragraph" w:styleId="ListParagraph">
    <w:name w:val="List Paragraph"/>
    <w:basedOn w:val="Normal"/>
    <w:uiPriority w:val="34"/>
    <w:qFormat/>
    <w:rsid w:val="00CC2527"/>
    <w:pPr>
      <w:ind w:left="720"/>
      <w:contextualSpacing/>
    </w:pPr>
  </w:style>
  <w:style w:type="character" w:customStyle="1" w:styleId="Heading1Char">
    <w:name w:val="Heading 1 Char"/>
    <w:basedOn w:val="DefaultParagraphFont"/>
    <w:link w:val="Heading1"/>
    <w:uiPriority w:val="9"/>
    <w:rsid w:val="00D616C8"/>
    <w:rPr>
      <w:rFonts w:ascii="Times New Roman" w:hAnsi="Times New Roman" w:cs="Times New Roman"/>
      <w:b/>
      <w:sz w:val="20"/>
      <w:szCs w:val="20"/>
    </w:rPr>
  </w:style>
  <w:style w:type="character" w:customStyle="1" w:styleId="Heading2Char">
    <w:name w:val="Heading 2 Char"/>
    <w:basedOn w:val="DefaultParagraphFont"/>
    <w:link w:val="Heading2"/>
    <w:uiPriority w:val="9"/>
    <w:rsid w:val="003826C6"/>
    <w:rPr>
      <w:rFonts w:ascii="Times New Roman" w:eastAsia="SimSun" w:hAnsi="Times New Roman" w:cs="Times New Roman"/>
      <w:i/>
      <w:sz w:val="20"/>
      <w:szCs w:val="20"/>
    </w:rPr>
  </w:style>
  <w:style w:type="character" w:customStyle="1" w:styleId="Heading3Char">
    <w:name w:val="Heading 3 Char"/>
    <w:basedOn w:val="DefaultParagraphFont"/>
    <w:link w:val="Heading3"/>
    <w:uiPriority w:val="9"/>
    <w:rsid w:val="00910C76"/>
    <w:rPr>
      <w:rFonts w:ascii="Times New Roman" w:eastAsia="SimSun" w:hAnsi="Times New Roman" w:cs="Times New Roman"/>
      <w:sz w:val="20"/>
      <w:szCs w:val="20"/>
    </w:rPr>
  </w:style>
  <w:style w:type="paragraph" w:customStyle="1" w:styleId="normaltext">
    <w:name w:val="normal text"/>
    <w:basedOn w:val="Normal"/>
    <w:qFormat/>
    <w:rsid w:val="00CB06C5"/>
    <w:pPr>
      <w:spacing w:before="200" w:after="200"/>
      <w:ind w:firstLine="245"/>
      <w:jc w:val="both"/>
    </w:pPr>
    <w:rPr>
      <w:rFonts w:ascii="Times New Roman" w:eastAsia="SimSun" w:hAnsi="Times New Roman" w:cs="Times New Roman"/>
      <w:sz w:val="20"/>
      <w:szCs w:val="20"/>
    </w:rPr>
  </w:style>
  <w:style w:type="paragraph" w:customStyle="1" w:styleId="tablecaption">
    <w:name w:val="table caption"/>
    <w:basedOn w:val="Normal"/>
    <w:qFormat/>
    <w:rsid w:val="004C62C4"/>
    <w:pPr>
      <w:spacing w:after="240" w:line="200" w:lineRule="exact"/>
    </w:pPr>
    <w:rPr>
      <w:rFonts w:ascii="Times New Roman" w:hAnsi="Times New Roman" w:cs="Times New Roman"/>
      <w:sz w:val="16"/>
      <w:szCs w:val="16"/>
    </w:rPr>
  </w:style>
  <w:style w:type="paragraph" w:customStyle="1" w:styleId="figurecaption">
    <w:name w:val="figure caption"/>
    <w:basedOn w:val="Normal"/>
    <w:qFormat/>
    <w:rsid w:val="00EB5F2B"/>
    <w:pPr>
      <w:spacing w:before="200" w:after="240" w:line="200" w:lineRule="exact"/>
    </w:pPr>
    <w:rPr>
      <w:rFonts w:ascii="Times New Roman" w:hAnsi="Times New Roman" w:cs="Times New Roman"/>
      <w:sz w:val="16"/>
      <w:szCs w:val="16"/>
    </w:rPr>
  </w:style>
  <w:style w:type="paragraph" w:customStyle="1" w:styleId="reference">
    <w:name w:val="reference"/>
    <w:basedOn w:val="Normal"/>
    <w:qFormat/>
    <w:rsid w:val="00B0071A"/>
    <w:pPr>
      <w:ind w:left="360" w:hanging="360"/>
      <w:jc w:val="both"/>
    </w:pPr>
    <w:rPr>
      <w:rFonts w:ascii="Times New Roman" w:hAnsi="Times New Roman" w:cs="Times New Roman"/>
      <w:sz w:val="16"/>
      <w:szCs w:val="16"/>
    </w:rPr>
  </w:style>
  <w:style w:type="paragraph" w:customStyle="1" w:styleId="Appendix">
    <w:name w:val="Appendix"/>
    <w:basedOn w:val="ListParagraph"/>
    <w:qFormat/>
    <w:rsid w:val="005D1F61"/>
    <w:pPr>
      <w:numPr>
        <w:numId w:val="8"/>
      </w:numPr>
      <w:spacing w:before="480" w:after="240" w:line="240" w:lineRule="exact"/>
    </w:pPr>
    <w:rPr>
      <w:rFonts w:ascii="Times New Roman" w:hAnsi="Times New Roman" w:cs="Times New Roman"/>
      <w:b/>
      <w:sz w:val="20"/>
      <w:szCs w:val="20"/>
    </w:rPr>
  </w:style>
  <w:style w:type="character" w:styleId="PageNumber">
    <w:name w:val="page number"/>
    <w:basedOn w:val="DefaultParagraphFont"/>
    <w:semiHidden/>
    <w:rsid w:val="00E11C92"/>
    <w:rPr>
      <w:sz w:val="16"/>
    </w:rPr>
  </w:style>
  <w:style w:type="paragraph" w:customStyle="1" w:styleId="numberedlist">
    <w:name w:val="numbered list"/>
    <w:basedOn w:val="normaltext"/>
    <w:qFormat/>
    <w:rsid w:val="00596AA0"/>
    <w:pPr>
      <w:numPr>
        <w:numId w:val="11"/>
      </w:numPr>
      <w:spacing w:before="0" w:after="0"/>
      <w:ind w:left="360"/>
    </w:pPr>
  </w:style>
  <w:style w:type="paragraph" w:styleId="Bibliography">
    <w:name w:val="Bibliography"/>
    <w:basedOn w:val="Normal"/>
    <w:next w:val="Normal"/>
    <w:uiPriority w:val="37"/>
    <w:semiHidden/>
    <w:unhideWhenUsed/>
    <w:rsid w:val="00CF3A50"/>
  </w:style>
  <w:style w:type="paragraph" w:styleId="Caption">
    <w:name w:val="caption"/>
    <w:basedOn w:val="Normal"/>
    <w:next w:val="Normal"/>
    <w:uiPriority w:val="35"/>
    <w:unhideWhenUsed/>
    <w:qFormat/>
    <w:rsid w:val="00C16BB8"/>
    <w:pPr>
      <w:spacing w:after="200"/>
    </w:pPr>
    <w:rPr>
      <w:i/>
      <w:iCs/>
      <w:color w:val="1F497D" w:themeColor="text2"/>
      <w:sz w:val="18"/>
      <w:szCs w:val="18"/>
    </w:rPr>
  </w:style>
  <w:style w:type="character" w:styleId="Hyperlink">
    <w:name w:val="Hyperlink"/>
    <w:basedOn w:val="DefaultParagraphFont"/>
    <w:uiPriority w:val="99"/>
    <w:unhideWhenUsed/>
    <w:rsid w:val="001C77E0"/>
    <w:rPr>
      <w:color w:val="0000FF" w:themeColor="hyperlink"/>
      <w:u w:val="single"/>
    </w:rPr>
  </w:style>
  <w:style w:type="character" w:styleId="UnresolvedMention">
    <w:name w:val="Unresolved Mention"/>
    <w:basedOn w:val="DefaultParagraphFont"/>
    <w:uiPriority w:val="99"/>
    <w:semiHidden/>
    <w:unhideWhenUsed/>
    <w:rsid w:val="001C77E0"/>
    <w:rPr>
      <w:color w:val="605E5C"/>
      <w:shd w:val="clear" w:color="auto" w:fill="E1DFDD"/>
    </w:rPr>
  </w:style>
  <w:style w:type="paragraph" w:customStyle="1" w:styleId="TableParagraph">
    <w:name w:val="Table Paragraph"/>
    <w:basedOn w:val="Normal"/>
    <w:uiPriority w:val="1"/>
    <w:rsid w:val="00E1342F"/>
    <w:pPr>
      <w:widowControl w:val="0"/>
      <w:autoSpaceDE w:val="0"/>
      <w:autoSpaceDN w:val="0"/>
    </w:pPr>
    <w:rPr>
      <w:rFonts w:ascii="Century" w:eastAsia="Century" w:hAnsi="Century" w:cs="Century"/>
      <w:sz w:val="20"/>
      <w:szCs w:val="20"/>
      <w:lang w:val="en-ZA"/>
    </w:rPr>
  </w:style>
  <w:style w:type="table" w:customStyle="1" w:styleId="TableGrid1">
    <w:name w:val="Table Grid1"/>
    <w:basedOn w:val="TableNormal"/>
    <w:next w:val="TableGrid"/>
    <w:uiPriority w:val="39"/>
    <w:rsid w:val="00001D8E"/>
    <w:pPr>
      <w:spacing w:before="60" w:after="60"/>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76C5"/>
    <w:rPr>
      <w:color w:val="666666"/>
    </w:rPr>
  </w:style>
  <w:style w:type="character" w:customStyle="1" w:styleId="Heading4Char">
    <w:name w:val="Heading 4 Char"/>
    <w:basedOn w:val="DefaultParagraphFont"/>
    <w:link w:val="Heading4"/>
    <w:uiPriority w:val="9"/>
    <w:semiHidden/>
    <w:rsid w:val="009E04B1"/>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0881911">
      <w:bodyDiv w:val="1"/>
      <w:marLeft w:val="0"/>
      <w:marRight w:val="0"/>
      <w:marTop w:val="0"/>
      <w:marBottom w:val="0"/>
      <w:divBdr>
        <w:top w:val="none" w:sz="0" w:space="0" w:color="auto"/>
        <w:left w:val="none" w:sz="0" w:space="0" w:color="auto"/>
        <w:bottom w:val="none" w:sz="0" w:space="0" w:color="auto"/>
        <w:right w:val="none" w:sz="0" w:space="0" w:color="auto"/>
      </w:divBdr>
      <w:divsChild>
        <w:div w:id="127674979">
          <w:marLeft w:val="547"/>
          <w:marRight w:val="0"/>
          <w:marTop w:val="0"/>
          <w:marBottom w:val="0"/>
          <w:divBdr>
            <w:top w:val="none" w:sz="0" w:space="0" w:color="auto"/>
            <w:left w:val="none" w:sz="0" w:space="0" w:color="auto"/>
            <w:bottom w:val="none" w:sz="0" w:space="0" w:color="auto"/>
            <w:right w:val="none" w:sz="0" w:space="0" w:color="auto"/>
          </w:divBdr>
        </w:div>
        <w:div w:id="1679161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sheikh@jazanu.edu.sa" TargetMode="Externa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1.png"/><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diagramColors" Target="diagrams/colors1.xml"/><Relationship Id="rId27"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906D6-FAFF-43A6-8117-DB996C2052C4}"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C13530A8-9705-40C7-AA6A-CEB37D299996}">
      <dgm:prSet phldrT="[Text]" custT="1"/>
      <dgm:spPr/>
      <dgm:t>
        <a:bodyPr/>
        <a:lstStyle/>
        <a:p>
          <a:r>
            <a:rPr lang="en-US" sz="850" b="1">
              <a:latin typeface="Times New Roman" panose="02020603050405020304" pitchFamily="18" charset="0"/>
              <a:cs typeface="Times New Roman" panose="02020603050405020304" pitchFamily="18" charset="0"/>
            </a:rPr>
            <a:t>Identification</a:t>
          </a:r>
        </a:p>
      </dgm:t>
    </dgm:pt>
    <dgm:pt modelId="{A6630529-8AEC-44BD-94BD-BCCF31AF5274}" type="parTrans" cxnId="{99660D24-0EEE-4B8E-B11C-846DF20D9AAA}">
      <dgm:prSet/>
      <dgm:spPr/>
      <dgm:t>
        <a:bodyPr/>
        <a:lstStyle/>
        <a:p>
          <a:endParaRPr lang="en-US" sz="1000">
            <a:latin typeface="Times New Roman" panose="02020603050405020304" pitchFamily="18" charset="0"/>
            <a:cs typeface="Times New Roman" panose="02020603050405020304" pitchFamily="18" charset="0"/>
          </a:endParaRPr>
        </a:p>
      </dgm:t>
    </dgm:pt>
    <dgm:pt modelId="{749F6500-CA8B-47C3-9959-56D8FA587F66}" type="sibTrans" cxnId="{99660D24-0EEE-4B8E-B11C-846DF20D9AAA}">
      <dgm:prSet/>
      <dgm:spPr/>
      <dgm:t>
        <a:bodyPr/>
        <a:lstStyle/>
        <a:p>
          <a:endParaRPr lang="en-US" sz="1000">
            <a:latin typeface="Times New Roman" panose="02020603050405020304" pitchFamily="18" charset="0"/>
            <a:cs typeface="Times New Roman" panose="02020603050405020304" pitchFamily="18" charset="0"/>
          </a:endParaRPr>
        </a:p>
      </dgm:t>
    </dgm:pt>
    <dgm:pt modelId="{ECEF26E2-EFA6-4723-B73C-EA79BB17456A}">
      <dgm:prSet phldrT="[Text]" custT="1"/>
      <dgm:spPr/>
      <dgm:t>
        <a:bodyPr/>
        <a:lstStyle/>
        <a:p>
          <a:r>
            <a:rPr lang="en-US" sz="1000">
              <a:latin typeface="Times New Roman" panose="02020603050405020304" pitchFamily="18" charset="0"/>
              <a:cs typeface="Times New Roman" panose="02020603050405020304" pitchFamily="18" charset="0"/>
            </a:rPr>
            <a:t>Source: Saudi Digital Library, Scopus</a:t>
          </a:r>
        </a:p>
      </dgm:t>
    </dgm:pt>
    <dgm:pt modelId="{CAF03DE0-620C-478C-ACAB-B9899D6024BF}" type="parTrans" cxnId="{3C19D5B5-702B-4BE2-BC9B-9A158F7F4D3E}">
      <dgm:prSet/>
      <dgm:spPr/>
      <dgm:t>
        <a:bodyPr/>
        <a:lstStyle/>
        <a:p>
          <a:endParaRPr lang="en-US" sz="1000">
            <a:latin typeface="Times New Roman" panose="02020603050405020304" pitchFamily="18" charset="0"/>
            <a:cs typeface="Times New Roman" panose="02020603050405020304" pitchFamily="18" charset="0"/>
          </a:endParaRPr>
        </a:p>
      </dgm:t>
    </dgm:pt>
    <dgm:pt modelId="{3AC24F85-95A5-40B0-A895-F3977EDEA5B9}" type="sibTrans" cxnId="{3C19D5B5-702B-4BE2-BC9B-9A158F7F4D3E}">
      <dgm:prSet/>
      <dgm:spPr/>
      <dgm:t>
        <a:bodyPr/>
        <a:lstStyle/>
        <a:p>
          <a:endParaRPr lang="en-US" sz="1000">
            <a:latin typeface="Times New Roman" panose="02020603050405020304" pitchFamily="18" charset="0"/>
            <a:cs typeface="Times New Roman" panose="02020603050405020304" pitchFamily="18" charset="0"/>
          </a:endParaRPr>
        </a:p>
      </dgm:t>
    </dgm:pt>
    <dgm:pt modelId="{B0755084-CBBF-4E68-8332-46EBDC493C26}">
      <dgm:prSet phldrT="[Text]" custT="1"/>
      <dgm:spPr/>
      <dgm:t>
        <a:bodyPr/>
        <a:lstStyle/>
        <a:p>
          <a:r>
            <a:rPr lang="en-US" sz="900" b="1">
              <a:latin typeface="Times New Roman" panose="02020603050405020304" pitchFamily="18" charset="0"/>
              <a:cs typeface="Times New Roman" panose="02020603050405020304" pitchFamily="18" charset="0"/>
            </a:rPr>
            <a:t>Screening</a:t>
          </a:r>
        </a:p>
      </dgm:t>
    </dgm:pt>
    <dgm:pt modelId="{8A401E3C-7BD9-42F4-BA9F-AAEC5F350D13}" type="parTrans" cxnId="{1A136689-F893-401B-8A6E-488D2759F7E9}">
      <dgm:prSet/>
      <dgm:spPr/>
      <dgm:t>
        <a:bodyPr/>
        <a:lstStyle/>
        <a:p>
          <a:endParaRPr lang="en-US" sz="1000">
            <a:latin typeface="Times New Roman" panose="02020603050405020304" pitchFamily="18" charset="0"/>
            <a:cs typeface="Times New Roman" panose="02020603050405020304" pitchFamily="18" charset="0"/>
          </a:endParaRPr>
        </a:p>
      </dgm:t>
    </dgm:pt>
    <dgm:pt modelId="{BB934A95-C138-4A5F-A08C-DD61C164A792}" type="sibTrans" cxnId="{1A136689-F893-401B-8A6E-488D2759F7E9}">
      <dgm:prSet/>
      <dgm:spPr/>
      <dgm:t>
        <a:bodyPr/>
        <a:lstStyle/>
        <a:p>
          <a:endParaRPr lang="en-US" sz="1000">
            <a:latin typeface="Times New Roman" panose="02020603050405020304" pitchFamily="18" charset="0"/>
            <a:cs typeface="Times New Roman" panose="02020603050405020304" pitchFamily="18" charset="0"/>
          </a:endParaRPr>
        </a:p>
      </dgm:t>
    </dgm:pt>
    <dgm:pt modelId="{3D097565-B915-4CD8-BE9E-CE8D70CBAEFF}">
      <dgm:prSet phldrT="[Text]" custT="1"/>
      <dgm:spPr/>
      <dgm:t>
        <a:bodyPr/>
        <a:lstStyle/>
        <a:p>
          <a:r>
            <a:rPr lang="en-US" sz="1000">
              <a:latin typeface="Times New Roman" panose="02020603050405020304" pitchFamily="18" charset="0"/>
              <a:cs typeface="Times New Roman" panose="02020603050405020304" pitchFamily="18" charset="0"/>
            </a:rPr>
            <a:t>No. of full-text NOT available: 1206</a:t>
          </a:r>
        </a:p>
      </dgm:t>
    </dgm:pt>
    <dgm:pt modelId="{50F50E51-3BC2-44CF-804D-02950E1C5450}" type="parTrans" cxnId="{C7A1D075-148F-4EF1-9404-E376A110C095}">
      <dgm:prSet/>
      <dgm:spPr/>
      <dgm:t>
        <a:bodyPr/>
        <a:lstStyle/>
        <a:p>
          <a:endParaRPr lang="en-US" sz="1000">
            <a:latin typeface="Times New Roman" panose="02020603050405020304" pitchFamily="18" charset="0"/>
            <a:cs typeface="Times New Roman" panose="02020603050405020304" pitchFamily="18" charset="0"/>
          </a:endParaRPr>
        </a:p>
      </dgm:t>
    </dgm:pt>
    <dgm:pt modelId="{5E58378D-3173-448A-8652-54C0F4B8FF50}" type="sibTrans" cxnId="{C7A1D075-148F-4EF1-9404-E376A110C095}">
      <dgm:prSet/>
      <dgm:spPr/>
      <dgm:t>
        <a:bodyPr/>
        <a:lstStyle/>
        <a:p>
          <a:endParaRPr lang="en-US" sz="1000">
            <a:latin typeface="Times New Roman" panose="02020603050405020304" pitchFamily="18" charset="0"/>
            <a:cs typeface="Times New Roman" panose="02020603050405020304" pitchFamily="18" charset="0"/>
          </a:endParaRPr>
        </a:p>
      </dgm:t>
    </dgm:pt>
    <dgm:pt modelId="{5EBD4EFF-8A3D-4964-93CE-AA949385FD01}">
      <dgm:prSet phldrT="[Text]" custT="1"/>
      <dgm:spPr/>
      <dgm:t>
        <a:bodyPr/>
        <a:lstStyle/>
        <a:p>
          <a:r>
            <a:rPr lang="en-US" sz="900" b="1">
              <a:latin typeface="Times New Roman" panose="02020603050405020304" pitchFamily="18" charset="0"/>
              <a:cs typeface="Times New Roman" panose="02020603050405020304" pitchFamily="18" charset="0"/>
            </a:rPr>
            <a:t>Eligibility</a:t>
          </a:r>
        </a:p>
      </dgm:t>
    </dgm:pt>
    <dgm:pt modelId="{059E1DDA-440A-48CA-8AE8-0F9383FA2F83}" type="parTrans" cxnId="{ED2CACB4-CF2E-4E92-8FAD-D88899C7F557}">
      <dgm:prSet/>
      <dgm:spPr/>
      <dgm:t>
        <a:bodyPr/>
        <a:lstStyle/>
        <a:p>
          <a:endParaRPr lang="en-US" sz="1000">
            <a:latin typeface="Times New Roman" panose="02020603050405020304" pitchFamily="18" charset="0"/>
            <a:cs typeface="Times New Roman" panose="02020603050405020304" pitchFamily="18" charset="0"/>
          </a:endParaRPr>
        </a:p>
      </dgm:t>
    </dgm:pt>
    <dgm:pt modelId="{2ADC34BE-5504-4FEC-80B5-4F889E7D26F1}" type="sibTrans" cxnId="{ED2CACB4-CF2E-4E92-8FAD-D88899C7F557}">
      <dgm:prSet/>
      <dgm:spPr/>
      <dgm:t>
        <a:bodyPr/>
        <a:lstStyle/>
        <a:p>
          <a:endParaRPr lang="en-US" sz="1000">
            <a:latin typeface="Times New Roman" panose="02020603050405020304" pitchFamily="18" charset="0"/>
            <a:cs typeface="Times New Roman" panose="02020603050405020304" pitchFamily="18" charset="0"/>
          </a:endParaRPr>
        </a:p>
      </dgm:t>
    </dgm:pt>
    <dgm:pt modelId="{F2D4C728-4927-4326-8091-C73A51386E76}">
      <dgm:prSet phldrT="[Text]" custT="1"/>
      <dgm:spPr/>
      <dgm:t>
        <a:bodyPr/>
        <a:lstStyle/>
        <a:p>
          <a:r>
            <a:rPr lang="en-US" sz="1000">
              <a:latin typeface="Times New Roman" panose="02020603050405020304" pitchFamily="18" charset="0"/>
              <a:cs typeface="Times New Roman" panose="02020603050405020304" pitchFamily="18" charset="0"/>
            </a:rPr>
            <a:t>No. of Article excluded by the title &amp; abstract : 441</a:t>
          </a:r>
        </a:p>
      </dgm:t>
    </dgm:pt>
    <dgm:pt modelId="{1433C56E-AF6C-4961-9121-DDFD47E7AD81}" type="parTrans" cxnId="{3FDEE8B3-E222-4A05-B93F-8A58210F6BF6}">
      <dgm:prSet/>
      <dgm:spPr/>
      <dgm:t>
        <a:bodyPr/>
        <a:lstStyle/>
        <a:p>
          <a:endParaRPr lang="en-US" sz="1000">
            <a:latin typeface="Times New Roman" panose="02020603050405020304" pitchFamily="18" charset="0"/>
            <a:cs typeface="Times New Roman" panose="02020603050405020304" pitchFamily="18" charset="0"/>
          </a:endParaRPr>
        </a:p>
      </dgm:t>
    </dgm:pt>
    <dgm:pt modelId="{97D6268C-EB11-4414-BA8F-EC8D96564D3C}" type="sibTrans" cxnId="{3FDEE8B3-E222-4A05-B93F-8A58210F6BF6}">
      <dgm:prSet/>
      <dgm:spPr/>
      <dgm:t>
        <a:bodyPr/>
        <a:lstStyle/>
        <a:p>
          <a:endParaRPr lang="en-US" sz="1000">
            <a:latin typeface="Times New Roman" panose="02020603050405020304" pitchFamily="18" charset="0"/>
            <a:cs typeface="Times New Roman" panose="02020603050405020304" pitchFamily="18" charset="0"/>
          </a:endParaRPr>
        </a:p>
      </dgm:t>
    </dgm:pt>
    <dgm:pt modelId="{4BE78633-18EB-48E4-8507-D9932500BEFF}">
      <dgm:prSet custT="1"/>
      <dgm:spPr/>
      <dgm:t>
        <a:bodyPr/>
        <a:lstStyle/>
        <a:p>
          <a:r>
            <a:rPr lang="en-US" sz="900" b="1">
              <a:latin typeface="Times New Roman" panose="02020603050405020304" pitchFamily="18" charset="0"/>
              <a:cs typeface="Times New Roman" panose="02020603050405020304" pitchFamily="18" charset="0"/>
            </a:rPr>
            <a:t>Included</a:t>
          </a:r>
        </a:p>
      </dgm:t>
    </dgm:pt>
    <dgm:pt modelId="{F51F0F76-DDA7-4549-99BD-5C0274DD5A34}" type="parTrans" cxnId="{ACC9916B-0215-4A72-B01C-1A7C37F59A48}">
      <dgm:prSet/>
      <dgm:spPr/>
      <dgm:t>
        <a:bodyPr/>
        <a:lstStyle/>
        <a:p>
          <a:endParaRPr lang="en-US" sz="1000">
            <a:latin typeface="Times New Roman" panose="02020603050405020304" pitchFamily="18" charset="0"/>
            <a:cs typeface="Times New Roman" panose="02020603050405020304" pitchFamily="18" charset="0"/>
          </a:endParaRPr>
        </a:p>
      </dgm:t>
    </dgm:pt>
    <dgm:pt modelId="{4AA92324-7E9C-4BBF-A981-4E282244F45B}" type="sibTrans" cxnId="{ACC9916B-0215-4A72-B01C-1A7C37F59A48}">
      <dgm:prSet/>
      <dgm:spPr/>
      <dgm:t>
        <a:bodyPr/>
        <a:lstStyle/>
        <a:p>
          <a:endParaRPr lang="en-US" sz="1000">
            <a:latin typeface="Times New Roman" panose="02020603050405020304" pitchFamily="18" charset="0"/>
            <a:cs typeface="Times New Roman" panose="02020603050405020304" pitchFamily="18" charset="0"/>
          </a:endParaRPr>
        </a:p>
      </dgm:t>
    </dgm:pt>
    <dgm:pt modelId="{EE6FBC31-5F97-471D-BBE7-91DA1CB50920}">
      <dgm:prSet custT="1"/>
      <dgm:spPr/>
      <dgm:t>
        <a:bodyPr/>
        <a:lstStyle/>
        <a:p>
          <a:r>
            <a:rPr lang="en-US" sz="1000">
              <a:latin typeface="Times New Roman" panose="02020603050405020304" pitchFamily="18" charset="0"/>
              <a:cs typeface="Times New Roman" panose="02020603050405020304" pitchFamily="18" charset="0"/>
            </a:rPr>
            <a:t>Number of Article: 2491</a:t>
          </a:r>
        </a:p>
      </dgm:t>
    </dgm:pt>
    <dgm:pt modelId="{9C2C109D-B36B-42AA-86AB-E7064554DD94}" type="parTrans" cxnId="{D0EA54F1-F5E4-4B66-A4C2-DF9AB9B18DFC}">
      <dgm:prSet/>
      <dgm:spPr/>
      <dgm:t>
        <a:bodyPr/>
        <a:lstStyle/>
        <a:p>
          <a:endParaRPr lang="en-US" sz="1000">
            <a:latin typeface="Times New Roman" panose="02020603050405020304" pitchFamily="18" charset="0"/>
            <a:cs typeface="Times New Roman" panose="02020603050405020304" pitchFamily="18" charset="0"/>
          </a:endParaRPr>
        </a:p>
      </dgm:t>
    </dgm:pt>
    <dgm:pt modelId="{A4F31B40-CD02-4B94-BFF5-8AC2F156FA53}" type="sibTrans" cxnId="{D0EA54F1-F5E4-4B66-A4C2-DF9AB9B18DFC}">
      <dgm:prSet/>
      <dgm:spPr/>
      <dgm:t>
        <a:bodyPr/>
        <a:lstStyle/>
        <a:p>
          <a:endParaRPr lang="en-US" sz="1000">
            <a:latin typeface="Times New Roman" panose="02020603050405020304" pitchFamily="18" charset="0"/>
            <a:cs typeface="Times New Roman" panose="02020603050405020304" pitchFamily="18" charset="0"/>
          </a:endParaRPr>
        </a:p>
      </dgm:t>
    </dgm:pt>
    <dgm:pt modelId="{66E7D01D-90C0-4D74-A80C-A570B34D9A24}">
      <dgm:prSet custT="1"/>
      <dgm:spPr/>
      <dgm:t>
        <a:bodyPr/>
        <a:lstStyle/>
        <a:p>
          <a:r>
            <a:rPr lang="en-US" sz="1000">
              <a:latin typeface="Times New Roman" panose="02020603050405020304" pitchFamily="18" charset="0"/>
              <a:cs typeface="Times New Roman" panose="02020603050405020304" pitchFamily="18" charset="0"/>
            </a:rPr>
            <a:t>No. of duplicate or triplicate: 517</a:t>
          </a:r>
        </a:p>
      </dgm:t>
    </dgm:pt>
    <dgm:pt modelId="{824ECA82-BA96-40B5-AF50-4F1011EA5254}" type="parTrans" cxnId="{17A60FA4-8A9B-4AD5-8FDC-0E84E7D71BF0}">
      <dgm:prSet/>
      <dgm:spPr/>
      <dgm:t>
        <a:bodyPr/>
        <a:lstStyle/>
        <a:p>
          <a:endParaRPr lang="en-US" sz="1000">
            <a:latin typeface="Times New Roman" panose="02020603050405020304" pitchFamily="18" charset="0"/>
            <a:cs typeface="Times New Roman" panose="02020603050405020304" pitchFamily="18" charset="0"/>
          </a:endParaRPr>
        </a:p>
      </dgm:t>
    </dgm:pt>
    <dgm:pt modelId="{A1460062-7E39-4932-BE24-E877F2438743}" type="sibTrans" cxnId="{17A60FA4-8A9B-4AD5-8FDC-0E84E7D71BF0}">
      <dgm:prSet/>
      <dgm:spPr/>
      <dgm:t>
        <a:bodyPr/>
        <a:lstStyle/>
        <a:p>
          <a:endParaRPr lang="en-US" sz="1000">
            <a:latin typeface="Times New Roman" panose="02020603050405020304" pitchFamily="18" charset="0"/>
            <a:cs typeface="Times New Roman" panose="02020603050405020304" pitchFamily="18" charset="0"/>
          </a:endParaRPr>
        </a:p>
      </dgm:t>
    </dgm:pt>
    <dgm:pt modelId="{7BDA8A5E-320F-4066-B129-FB29F9D05BCA}">
      <dgm:prSet custT="1"/>
      <dgm:spPr/>
      <dgm:t>
        <a:bodyPr/>
        <a:lstStyle/>
        <a:p>
          <a:r>
            <a:rPr lang="en-US" sz="1000">
              <a:latin typeface="Times New Roman" panose="02020603050405020304" pitchFamily="18" charset="0"/>
              <a:cs typeface="Times New Roman" panose="02020603050405020304" pitchFamily="18" charset="0"/>
            </a:rPr>
            <a:t>No. of Article excluded by full-text scanning: 102</a:t>
          </a:r>
        </a:p>
      </dgm:t>
    </dgm:pt>
    <dgm:pt modelId="{F7439959-F891-4CA0-AA0A-4E51DB5F7553}" type="parTrans" cxnId="{42CB4A3E-AC5C-432F-9040-B8DD4D8E9DC1}">
      <dgm:prSet/>
      <dgm:spPr/>
      <dgm:t>
        <a:bodyPr/>
        <a:lstStyle/>
        <a:p>
          <a:endParaRPr lang="en-US" sz="1000">
            <a:latin typeface="Times New Roman" panose="02020603050405020304" pitchFamily="18" charset="0"/>
            <a:cs typeface="Times New Roman" panose="02020603050405020304" pitchFamily="18" charset="0"/>
          </a:endParaRPr>
        </a:p>
      </dgm:t>
    </dgm:pt>
    <dgm:pt modelId="{F99FA20C-77AA-4C2C-A3D3-F51CE46680DE}" type="sibTrans" cxnId="{42CB4A3E-AC5C-432F-9040-B8DD4D8E9DC1}">
      <dgm:prSet/>
      <dgm:spPr/>
      <dgm:t>
        <a:bodyPr/>
        <a:lstStyle/>
        <a:p>
          <a:endParaRPr lang="en-US" sz="1000">
            <a:latin typeface="Times New Roman" panose="02020603050405020304" pitchFamily="18" charset="0"/>
            <a:cs typeface="Times New Roman" panose="02020603050405020304" pitchFamily="18" charset="0"/>
          </a:endParaRPr>
        </a:p>
      </dgm:t>
    </dgm:pt>
    <dgm:pt modelId="{8725E63A-B888-49FD-890E-0C2F29742CF0}">
      <dgm:prSet custT="1"/>
      <dgm:spPr/>
      <dgm:t>
        <a:bodyPr/>
        <a:lstStyle/>
        <a:p>
          <a:r>
            <a:rPr lang="en-US" sz="1000">
              <a:latin typeface="Times New Roman" panose="02020603050405020304" pitchFamily="18" charset="0"/>
              <a:cs typeface="Times New Roman" panose="02020603050405020304" pitchFamily="18" charset="0"/>
            </a:rPr>
            <a:t>No. of article exluded ( citation&lt;4): 82</a:t>
          </a:r>
        </a:p>
      </dgm:t>
    </dgm:pt>
    <dgm:pt modelId="{A91EE696-27F3-4786-AF01-81D4599D8677}" type="parTrans" cxnId="{0D8DB384-3E59-4A17-B5BD-4E114C2FC649}">
      <dgm:prSet/>
      <dgm:spPr/>
      <dgm:t>
        <a:bodyPr/>
        <a:lstStyle/>
        <a:p>
          <a:endParaRPr lang="en-US" sz="1000">
            <a:latin typeface="Times New Roman" panose="02020603050405020304" pitchFamily="18" charset="0"/>
            <a:cs typeface="Times New Roman" panose="02020603050405020304" pitchFamily="18" charset="0"/>
          </a:endParaRPr>
        </a:p>
      </dgm:t>
    </dgm:pt>
    <dgm:pt modelId="{5F241635-34EE-4278-86E5-495313D874FD}" type="sibTrans" cxnId="{0D8DB384-3E59-4A17-B5BD-4E114C2FC649}">
      <dgm:prSet/>
      <dgm:spPr/>
      <dgm:t>
        <a:bodyPr/>
        <a:lstStyle/>
        <a:p>
          <a:endParaRPr lang="en-US" sz="1000">
            <a:latin typeface="Times New Roman" panose="02020603050405020304" pitchFamily="18" charset="0"/>
            <a:cs typeface="Times New Roman" panose="02020603050405020304" pitchFamily="18" charset="0"/>
          </a:endParaRPr>
        </a:p>
      </dgm:t>
    </dgm:pt>
    <dgm:pt modelId="{3911C921-5996-4975-A0EA-BE450541216F}">
      <dgm:prSet custT="1"/>
      <dgm:spPr/>
      <dgm:t>
        <a:bodyPr/>
        <a:lstStyle/>
        <a:p>
          <a:r>
            <a:rPr lang="en-US" sz="1000">
              <a:latin typeface="Times New Roman" panose="02020603050405020304" pitchFamily="18" charset="0"/>
              <a:cs typeface="Times New Roman" panose="02020603050405020304" pitchFamily="18" charset="0"/>
            </a:rPr>
            <a:t>Total no. of article included: 143</a:t>
          </a:r>
        </a:p>
      </dgm:t>
    </dgm:pt>
    <dgm:pt modelId="{D6805731-94EE-4729-AE7B-EE1B19D8C013}" type="parTrans" cxnId="{5B908F29-E3B2-4F6E-94A2-2A247A41623F}">
      <dgm:prSet/>
      <dgm:spPr/>
      <dgm:t>
        <a:bodyPr/>
        <a:lstStyle/>
        <a:p>
          <a:endParaRPr lang="en-US" sz="1000">
            <a:latin typeface="Times New Roman" panose="02020603050405020304" pitchFamily="18" charset="0"/>
            <a:cs typeface="Times New Roman" panose="02020603050405020304" pitchFamily="18" charset="0"/>
          </a:endParaRPr>
        </a:p>
      </dgm:t>
    </dgm:pt>
    <dgm:pt modelId="{405BED49-C19A-4AE5-A2E4-D8A466828B64}" type="sibTrans" cxnId="{5B908F29-E3B2-4F6E-94A2-2A247A41623F}">
      <dgm:prSet/>
      <dgm:spPr/>
      <dgm:t>
        <a:bodyPr/>
        <a:lstStyle/>
        <a:p>
          <a:endParaRPr lang="en-US" sz="1000">
            <a:latin typeface="Times New Roman" panose="02020603050405020304" pitchFamily="18" charset="0"/>
            <a:cs typeface="Times New Roman" panose="02020603050405020304" pitchFamily="18" charset="0"/>
          </a:endParaRPr>
        </a:p>
      </dgm:t>
    </dgm:pt>
    <dgm:pt modelId="{D180EE2A-E4A7-4393-8E46-D83A63FEB94C}" type="pres">
      <dgm:prSet presAssocID="{47F906D6-FAFF-43A6-8117-DB996C2052C4}" presName="linearFlow" presStyleCnt="0">
        <dgm:presLayoutVars>
          <dgm:dir/>
          <dgm:animLvl val="lvl"/>
          <dgm:resizeHandles val="exact"/>
        </dgm:presLayoutVars>
      </dgm:prSet>
      <dgm:spPr/>
    </dgm:pt>
    <dgm:pt modelId="{5D92D9C0-9C7A-450B-9B76-D459C3445C97}" type="pres">
      <dgm:prSet presAssocID="{C13530A8-9705-40C7-AA6A-CEB37D299996}" presName="composite" presStyleCnt="0"/>
      <dgm:spPr/>
    </dgm:pt>
    <dgm:pt modelId="{F41992E5-CD56-4230-B709-AA0DF964C131}" type="pres">
      <dgm:prSet presAssocID="{C13530A8-9705-40C7-AA6A-CEB37D299996}" presName="parentText" presStyleLbl="alignNode1" presStyleIdx="0" presStyleCnt="4">
        <dgm:presLayoutVars>
          <dgm:chMax val="1"/>
          <dgm:bulletEnabled val="1"/>
        </dgm:presLayoutVars>
      </dgm:prSet>
      <dgm:spPr/>
    </dgm:pt>
    <dgm:pt modelId="{AF2A90F2-7238-492A-80D8-62836000E2B2}" type="pres">
      <dgm:prSet presAssocID="{C13530A8-9705-40C7-AA6A-CEB37D299996}" presName="descendantText" presStyleLbl="alignAcc1" presStyleIdx="0" presStyleCnt="4">
        <dgm:presLayoutVars>
          <dgm:bulletEnabled val="1"/>
        </dgm:presLayoutVars>
      </dgm:prSet>
      <dgm:spPr/>
    </dgm:pt>
    <dgm:pt modelId="{2CBA0071-CD7B-4932-AC8A-C22CADC41D49}" type="pres">
      <dgm:prSet presAssocID="{749F6500-CA8B-47C3-9959-56D8FA587F66}" presName="sp" presStyleCnt="0"/>
      <dgm:spPr/>
    </dgm:pt>
    <dgm:pt modelId="{AAF0D1B3-0597-45AB-BEF3-EAF096DB44DE}" type="pres">
      <dgm:prSet presAssocID="{B0755084-CBBF-4E68-8332-46EBDC493C26}" presName="composite" presStyleCnt="0"/>
      <dgm:spPr/>
    </dgm:pt>
    <dgm:pt modelId="{DC875CAA-33B4-453B-805D-1E515983683B}" type="pres">
      <dgm:prSet presAssocID="{B0755084-CBBF-4E68-8332-46EBDC493C26}" presName="parentText" presStyleLbl="alignNode1" presStyleIdx="1" presStyleCnt="4">
        <dgm:presLayoutVars>
          <dgm:chMax val="1"/>
          <dgm:bulletEnabled val="1"/>
        </dgm:presLayoutVars>
      </dgm:prSet>
      <dgm:spPr/>
    </dgm:pt>
    <dgm:pt modelId="{BA64E228-D9AC-4AAE-863D-72CB91AF704C}" type="pres">
      <dgm:prSet presAssocID="{B0755084-CBBF-4E68-8332-46EBDC493C26}" presName="descendantText" presStyleLbl="alignAcc1" presStyleIdx="1" presStyleCnt="4">
        <dgm:presLayoutVars>
          <dgm:bulletEnabled val="1"/>
        </dgm:presLayoutVars>
      </dgm:prSet>
      <dgm:spPr/>
    </dgm:pt>
    <dgm:pt modelId="{6E75D48C-9BE6-4E84-AFA1-9637A174C584}" type="pres">
      <dgm:prSet presAssocID="{BB934A95-C138-4A5F-A08C-DD61C164A792}" presName="sp" presStyleCnt="0"/>
      <dgm:spPr/>
    </dgm:pt>
    <dgm:pt modelId="{51BEABB6-B785-4A6B-8DA5-985C44217C0C}" type="pres">
      <dgm:prSet presAssocID="{5EBD4EFF-8A3D-4964-93CE-AA949385FD01}" presName="composite" presStyleCnt="0"/>
      <dgm:spPr/>
    </dgm:pt>
    <dgm:pt modelId="{5A5E9954-B161-4EFC-BC6D-F282904A6038}" type="pres">
      <dgm:prSet presAssocID="{5EBD4EFF-8A3D-4964-93CE-AA949385FD01}" presName="parentText" presStyleLbl="alignNode1" presStyleIdx="2" presStyleCnt="4">
        <dgm:presLayoutVars>
          <dgm:chMax val="1"/>
          <dgm:bulletEnabled val="1"/>
        </dgm:presLayoutVars>
      </dgm:prSet>
      <dgm:spPr/>
    </dgm:pt>
    <dgm:pt modelId="{F4BDAB16-E55D-4D70-BD02-B30DE214FE62}" type="pres">
      <dgm:prSet presAssocID="{5EBD4EFF-8A3D-4964-93CE-AA949385FD01}" presName="descendantText" presStyleLbl="alignAcc1" presStyleIdx="2" presStyleCnt="4">
        <dgm:presLayoutVars>
          <dgm:bulletEnabled val="1"/>
        </dgm:presLayoutVars>
      </dgm:prSet>
      <dgm:spPr/>
    </dgm:pt>
    <dgm:pt modelId="{6712E816-C24D-434A-894F-B059A87E1E12}" type="pres">
      <dgm:prSet presAssocID="{2ADC34BE-5504-4FEC-80B5-4F889E7D26F1}" presName="sp" presStyleCnt="0"/>
      <dgm:spPr/>
    </dgm:pt>
    <dgm:pt modelId="{99872A28-3C4E-4C8F-B762-21F225F0B19E}" type="pres">
      <dgm:prSet presAssocID="{4BE78633-18EB-48E4-8507-D9932500BEFF}" presName="composite" presStyleCnt="0"/>
      <dgm:spPr/>
    </dgm:pt>
    <dgm:pt modelId="{CD5D5669-88D8-47A8-A978-99E53CA9B18C}" type="pres">
      <dgm:prSet presAssocID="{4BE78633-18EB-48E4-8507-D9932500BEFF}" presName="parentText" presStyleLbl="alignNode1" presStyleIdx="3" presStyleCnt="4">
        <dgm:presLayoutVars>
          <dgm:chMax val="1"/>
          <dgm:bulletEnabled val="1"/>
        </dgm:presLayoutVars>
      </dgm:prSet>
      <dgm:spPr/>
    </dgm:pt>
    <dgm:pt modelId="{DA71B4C9-DBE2-4401-B257-0736E0F87A18}" type="pres">
      <dgm:prSet presAssocID="{4BE78633-18EB-48E4-8507-D9932500BEFF}" presName="descendantText" presStyleLbl="alignAcc1" presStyleIdx="3" presStyleCnt="4">
        <dgm:presLayoutVars>
          <dgm:bulletEnabled val="1"/>
        </dgm:presLayoutVars>
      </dgm:prSet>
      <dgm:spPr/>
    </dgm:pt>
  </dgm:ptLst>
  <dgm:cxnLst>
    <dgm:cxn modelId="{52BCA303-9C9F-492C-B69B-A0F6767B0E1C}" type="presOf" srcId="{8725E63A-B888-49FD-890E-0C2F29742CF0}" destId="{F4BDAB16-E55D-4D70-BD02-B30DE214FE62}" srcOrd="0" destOrd="2" presId="urn:microsoft.com/office/officeart/2005/8/layout/chevron2"/>
    <dgm:cxn modelId="{76FC8F07-6DC0-4F5B-912C-A528783E6B04}" type="presOf" srcId="{3D097565-B915-4CD8-BE9E-CE8D70CBAEFF}" destId="{BA64E228-D9AC-4AAE-863D-72CB91AF704C}" srcOrd="0" destOrd="0" presId="urn:microsoft.com/office/officeart/2005/8/layout/chevron2"/>
    <dgm:cxn modelId="{5C1F0010-5223-40B4-BD5A-DA8B3118F1B7}" type="presOf" srcId="{47F906D6-FAFF-43A6-8117-DB996C2052C4}" destId="{D180EE2A-E4A7-4393-8E46-D83A63FEB94C}" srcOrd="0" destOrd="0" presId="urn:microsoft.com/office/officeart/2005/8/layout/chevron2"/>
    <dgm:cxn modelId="{41CD9122-AD85-4E4F-B75F-E1001E82356E}" type="presOf" srcId="{F2D4C728-4927-4326-8091-C73A51386E76}" destId="{F4BDAB16-E55D-4D70-BD02-B30DE214FE62}" srcOrd="0" destOrd="0" presId="urn:microsoft.com/office/officeart/2005/8/layout/chevron2"/>
    <dgm:cxn modelId="{99660D24-0EEE-4B8E-B11C-846DF20D9AAA}" srcId="{47F906D6-FAFF-43A6-8117-DB996C2052C4}" destId="{C13530A8-9705-40C7-AA6A-CEB37D299996}" srcOrd="0" destOrd="0" parTransId="{A6630529-8AEC-44BD-94BD-BCCF31AF5274}" sibTransId="{749F6500-CA8B-47C3-9959-56D8FA587F66}"/>
    <dgm:cxn modelId="{3008F925-3876-4116-89B2-D2D4474E1B6C}" type="presOf" srcId="{B0755084-CBBF-4E68-8332-46EBDC493C26}" destId="{DC875CAA-33B4-453B-805D-1E515983683B}" srcOrd="0" destOrd="0" presId="urn:microsoft.com/office/officeart/2005/8/layout/chevron2"/>
    <dgm:cxn modelId="{5B908F29-E3B2-4F6E-94A2-2A247A41623F}" srcId="{4BE78633-18EB-48E4-8507-D9932500BEFF}" destId="{3911C921-5996-4975-A0EA-BE450541216F}" srcOrd="0" destOrd="0" parTransId="{D6805731-94EE-4729-AE7B-EE1B19D8C013}" sibTransId="{405BED49-C19A-4AE5-A2E4-D8A466828B64}"/>
    <dgm:cxn modelId="{680FEA34-F384-4788-B57D-F95DF6073F7F}" type="presOf" srcId="{5EBD4EFF-8A3D-4964-93CE-AA949385FD01}" destId="{5A5E9954-B161-4EFC-BC6D-F282904A6038}" srcOrd="0" destOrd="0" presId="urn:microsoft.com/office/officeart/2005/8/layout/chevron2"/>
    <dgm:cxn modelId="{42CB4A3E-AC5C-432F-9040-B8DD4D8E9DC1}" srcId="{5EBD4EFF-8A3D-4964-93CE-AA949385FD01}" destId="{7BDA8A5E-320F-4066-B129-FB29F9D05BCA}" srcOrd="1" destOrd="0" parTransId="{F7439959-F891-4CA0-AA0A-4E51DB5F7553}" sibTransId="{F99FA20C-77AA-4C2C-A3D3-F51CE46680DE}"/>
    <dgm:cxn modelId="{BF2D2F69-6976-4196-9E85-3C8DF45B2C1A}" type="presOf" srcId="{4BE78633-18EB-48E4-8507-D9932500BEFF}" destId="{CD5D5669-88D8-47A8-A978-99E53CA9B18C}" srcOrd="0" destOrd="0" presId="urn:microsoft.com/office/officeart/2005/8/layout/chevron2"/>
    <dgm:cxn modelId="{ACC9916B-0215-4A72-B01C-1A7C37F59A48}" srcId="{47F906D6-FAFF-43A6-8117-DB996C2052C4}" destId="{4BE78633-18EB-48E4-8507-D9932500BEFF}" srcOrd="3" destOrd="0" parTransId="{F51F0F76-DDA7-4549-99BD-5C0274DD5A34}" sibTransId="{4AA92324-7E9C-4BBF-A981-4E282244F45B}"/>
    <dgm:cxn modelId="{B63AF84B-869C-491D-AB84-4316C1C5C9E3}" type="presOf" srcId="{66E7D01D-90C0-4D74-A80C-A570B34D9A24}" destId="{BA64E228-D9AC-4AAE-863D-72CB91AF704C}" srcOrd="0" destOrd="1" presId="urn:microsoft.com/office/officeart/2005/8/layout/chevron2"/>
    <dgm:cxn modelId="{C7A1D075-148F-4EF1-9404-E376A110C095}" srcId="{B0755084-CBBF-4E68-8332-46EBDC493C26}" destId="{3D097565-B915-4CD8-BE9E-CE8D70CBAEFF}" srcOrd="0" destOrd="0" parTransId="{50F50E51-3BC2-44CF-804D-02950E1C5450}" sibTransId="{5E58378D-3173-448A-8652-54C0F4B8FF50}"/>
    <dgm:cxn modelId="{0D8DB384-3E59-4A17-B5BD-4E114C2FC649}" srcId="{5EBD4EFF-8A3D-4964-93CE-AA949385FD01}" destId="{8725E63A-B888-49FD-890E-0C2F29742CF0}" srcOrd="2" destOrd="0" parTransId="{A91EE696-27F3-4786-AF01-81D4599D8677}" sibTransId="{5F241635-34EE-4278-86E5-495313D874FD}"/>
    <dgm:cxn modelId="{BC375C87-8E72-400F-B0DF-20110505BF66}" type="presOf" srcId="{EE6FBC31-5F97-471D-BBE7-91DA1CB50920}" destId="{AF2A90F2-7238-492A-80D8-62836000E2B2}" srcOrd="0" destOrd="1" presId="urn:microsoft.com/office/officeart/2005/8/layout/chevron2"/>
    <dgm:cxn modelId="{1A136689-F893-401B-8A6E-488D2759F7E9}" srcId="{47F906D6-FAFF-43A6-8117-DB996C2052C4}" destId="{B0755084-CBBF-4E68-8332-46EBDC493C26}" srcOrd="1" destOrd="0" parTransId="{8A401E3C-7BD9-42F4-BA9F-AAEC5F350D13}" sibTransId="{BB934A95-C138-4A5F-A08C-DD61C164A792}"/>
    <dgm:cxn modelId="{0CCCAA8A-DA5E-48B8-A45B-281995AB4FCA}" type="presOf" srcId="{ECEF26E2-EFA6-4723-B73C-EA79BB17456A}" destId="{AF2A90F2-7238-492A-80D8-62836000E2B2}" srcOrd="0" destOrd="0" presId="urn:microsoft.com/office/officeart/2005/8/layout/chevron2"/>
    <dgm:cxn modelId="{17A60FA4-8A9B-4AD5-8FDC-0E84E7D71BF0}" srcId="{B0755084-CBBF-4E68-8332-46EBDC493C26}" destId="{66E7D01D-90C0-4D74-A80C-A570B34D9A24}" srcOrd="1" destOrd="0" parTransId="{824ECA82-BA96-40B5-AF50-4F1011EA5254}" sibTransId="{A1460062-7E39-4932-BE24-E877F2438743}"/>
    <dgm:cxn modelId="{3FDEE8B3-E222-4A05-B93F-8A58210F6BF6}" srcId="{5EBD4EFF-8A3D-4964-93CE-AA949385FD01}" destId="{F2D4C728-4927-4326-8091-C73A51386E76}" srcOrd="0" destOrd="0" parTransId="{1433C56E-AF6C-4961-9121-DDFD47E7AD81}" sibTransId="{97D6268C-EB11-4414-BA8F-EC8D96564D3C}"/>
    <dgm:cxn modelId="{ED2CACB4-CF2E-4E92-8FAD-D88899C7F557}" srcId="{47F906D6-FAFF-43A6-8117-DB996C2052C4}" destId="{5EBD4EFF-8A3D-4964-93CE-AA949385FD01}" srcOrd="2" destOrd="0" parTransId="{059E1DDA-440A-48CA-8AE8-0F9383FA2F83}" sibTransId="{2ADC34BE-5504-4FEC-80B5-4F889E7D26F1}"/>
    <dgm:cxn modelId="{3C19D5B5-702B-4BE2-BC9B-9A158F7F4D3E}" srcId="{C13530A8-9705-40C7-AA6A-CEB37D299996}" destId="{ECEF26E2-EFA6-4723-B73C-EA79BB17456A}" srcOrd="0" destOrd="0" parTransId="{CAF03DE0-620C-478C-ACAB-B9899D6024BF}" sibTransId="{3AC24F85-95A5-40B0-A895-F3977EDEA5B9}"/>
    <dgm:cxn modelId="{EA2B31C5-AE6D-42AD-A1FC-F5B2821F4BB0}" type="presOf" srcId="{3911C921-5996-4975-A0EA-BE450541216F}" destId="{DA71B4C9-DBE2-4401-B257-0736E0F87A18}" srcOrd="0" destOrd="0" presId="urn:microsoft.com/office/officeart/2005/8/layout/chevron2"/>
    <dgm:cxn modelId="{BDCFAAE1-0C5A-421C-9E0B-048A49C4A7F1}" type="presOf" srcId="{C13530A8-9705-40C7-AA6A-CEB37D299996}" destId="{F41992E5-CD56-4230-B709-AA0DF964C131}" srcOrd="0" destOrd="0" presId="urn:microsoft.com/office/officeart/2005/8/layout/chevron2"/>
    <dgm:cxn modelId="{D0EA54F1-F5E4-4B66-A4C2-DF9AB9B18DFC}" srcId="{C13530A8-9705-40C7-AA6A-CEB37D299996}" destId="{EE6FBC31-5F97-471D-BBE7-91DA1CB50920}" srcOrd="1" destOrd="0" parTransId="{9C2C109D-B36B-42AA-86AB-E7064554DD94}" sibTransId="{A4F31B40-CD02-4B94-BFF5-8AC2F156FA53}"/>
    <dgm:cxn modelId="{9B8BC5FB-909F-4362-BD5D-3FCA9805ECA3}" type="presOf" srcId="{7BDA8A5E-320F-4066-B129-FB29F9D05BCA}" destId="{F4BDAB16-E55D-4D70-BD02-B30DE214FE62}" srcOrd="0" destOrd="1" presId="urn:microsoft.com/office/officeart/2005/8/layout/chevron2"/>
    <dgm:cxn modelId="{9E5E1FB3-E6D6-4ED7-8D2F-D47760243987}" type="presParOf" srcId="{D180EE2A-E4A7-4393-8E46-D83A63FEB94C}" destId="{5D92D9C0-9C7A-450B-9B76-D459C3445C97}" srcOrd="0" destOrd="0" presId="urn:microsoft.com/office/officeart/2005/8/layout/chevron2"/>
    <dgm:cxn modelId="{2FDCA220-0729-4386-8505-54AD62DC5868}" type="presParOf" srcId="{5D92D9C0-9C7A-450B-9B76-D459C3445C97}" destId="{F41992E5-CD56-4230-B709-AA0DF964C131}" srcOrd="0" destOrd="0" presId="urn:microsoft.com/office/officeart/2005/8/layout/chevron2"/>
    <dgm:cxn modelId="{C8F6AB28-EBBB-4D08-A83F-FDD77152D3BF}" type="presParOf" srcId="{5D92D9C0-9C7A-450B-9B76-D459C3445C97}" destId="{AF2A90F2-7238-492A-80D8-62836000E2B2}" srcOrd="1" destOrd="0" presId="urn:microsoft.com/office/officeart/2005/8/layout/chevron2"/>
    <dgm:cxn modelId="{049C4112-5109-4ECA-A001-AC0670B13043}" type="presParOf" srcId="{D180EE2A-E4A7-4393-8E46-D83A63FEB94C}" destId="{2CBA0071-CD7B-4932-AC8A-C22CADC41D49}" srcOrd="1" destOrd="0" presId="urn:microsoft.com/office/officeart/2005/8/layout/chevron2"/>
    <dgm:cxn modelId="{5E40E6DC-2859-4E1E-9525-4501226A360F}" type="presParOf" srcId="{D180EE2A-E4A7-4393-8E46-D83A63FEB94C}" destId="{AAF0D1B3-0597-45AB-BEF3-EAF096DB44DE}" srcOrd="2" destOrd="0" presId="urn:microsoft.com/office/officeart/2005/8/layout/chevron2"/>
    <dgm:cxn modelId="{DFE57F78-68F1-4B14-9D00-C8B0A3B68A67}" type="presParOf" srcId="{AAF0D1B3-0597-45AB-BEF3-EAF096DB44DE}" destId="{DC875CAA-33B4-453B-805D-1E515983683B}" srcOrd="0" destOrd="0" presId="urn:microsoft.com/office/officeart/2005/8/layout/chevron2"/>
    <dgm:cxn modelId="{896C498A-82CB-4CE5-B300-E7FD04D3EF0A}" type="presParOf" srcId="{AAF0D1B3-0597-45AB-BEF3-EAF096DB44DE}" destId="{BA64E228-D9AC-4AAE-863D-72CB91AF704C}" srcOrd="1" destOrd="0" presId="urn:microsoft.com/office/officeart/2005/8/layout/chevron2"/>
    <dgm:cxn modelId="{C1250F4D-053C-42DB-A39B-A471B5A91EA1}" type="presParOf" srcId="{D180EE2A-E4A7-4393-8E46-D83A63FEB94C}" destId="{6E75D48C-9BE6-4E84-AFA1-9637A174C584}" srcOrd="3" destOrd="0" presId="urn:microsoft.com/office/officeart/2005/8/layout/chevron2"/>
    <dgm:cxn modelId="{EE3259D8-5E3D-4100-BCCB-C8BF73ACF7D2}" type="presParOf" srcId="{D180EE2A-E4A7-4393-8E46-D83A63FEB94C}" destId="{51BEABB6-B785-4A6B-8DA5-985C44217C0C}" srcOrd="4" destOrd="0" presId="urn:microsoft.com/office/officeart/2005/8/layout/chevron2"/>
    <dgm:cxn modelId="{BEBA7B39-640D-4ECB-9592-20F8FB188E2E}" type="presParOf" srcId="{51BEABB6-B785-4A6B-8DA5-985C44217C0C}" destId="{5A5E9954-B161-4EFC-BC6D-F282904A6038}" srcOrd="0" destOrd="0" presId="urn:microsoft.com/office/officeart/2005/8/layout/chevron2"/>
    <dgm:cxn modelId="{FE8BCA33-1F64-4A15-9EF0-9A63E55C3EBE}" type="presParOf" srcId="{51BEABB6-B785-4A6B-8DA5-985C44217C0C}" destId="{F4BDAB16-E55D-4D70-BD02-B30DE214FE62}" srcOrd="1" destOrd="0" presId="urn:microsoft.com/office/officeart/2005/8/layout/chevron2"/>
    <dgm:cxn modelId="{07E89D17-5C6D-4005-B368-BBF6F53E518C}" type="presParOf" srcId="{D180EE2A-E4A7-4393-8E46-D83A63FEB94C}" destId="{6712E816-C24D-434A-894F-B059A87E1E12}" srcOrd="5" destOrd="0" presId="urn:microsoft.com/office/officeart/2005/8/layout/chevron2"/>
    <dgm:cxn modelId="{03F7D369-C363-4330-A756-EE8F2C5AC770}" type="presParOf" srcId="{D180EE2A-E4A7-4393-8E46-D83A63FEB94C}" destId="{99872A28-3C4E-4C8F-B762-21F225F0B19E}" srcOrd="6" destOrd="0" presId="urn:microsoft.com/office/officeart/2005/8/layout/chevron2"/>
    <dgm:cxn modelId="{D12E1C96-DC1F-4C39-8B38-7FD3D6DF01C7}" type="presParOf" srcId="{99872A28-3C4E-4C8F-B762-21F225F0B19E}" destId="{CD5D5669-88D8-47A8-A978-99E53CA9B18C}" srcOrd="0" destOrd="0" presId="urn:microsoft.com/office/officeart/2005/8/layout/chevron2"/>
    <dgm:cxn modelId="{42E834CC-1154-4D26-85FA-ADF4D96AB8D4}" type="presParOf" srcId="{99872A28-3C4E-4C8F-B762-21F225F0B19E}" destId="{DA71B4C9-DBE2-4401-B257-0736E0F87A18}"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1992E5-CD56-4230-B709-AA0DF964C131}">
      <dsp:nvSpPr>
        <dsp:cNvPr id="0" name=""/>
        <dsp:cNvSpPr/>
      </dsp:nvSpPr>
      <dsp:spPr>
        <a:xfrm rot="5400000">
          <a:off x="-137126" y="138494"/>
          <a:ext cx="914176" cy="639923"/>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None/>
          </a:pPr>
          <a:r>
            <a:rPr lang="en-US" sz="850" b="1" kern="1200">
              <a:latin typeface="Times New Roman" panose="02020603050405020304" pitchFamily="18" charset="0"/>
              <a:cs typeface="Times New Roman" panose="02020603050405020304" pitchFamily="18" charset="0"/>
            </a:rPr>
            <a:t>Identification</a:t>
          </a:r>
        </a:p>
      </dsp:txBody>
      <dsp:txXfrm rot="-5400000">
        <a:off x="1" y="321330"/>
        <a:ext cx="639923" cy="274253"/>
      </dsp:txXfrm>
    </dsp:sp>
    <dsp:sp modelId="{AF2A90F2-7238-492A-80D8-62836000E2B2}">
      <dsp:nvSpPr>
        <dsp:cNvPr id="0" name=""/>
        <dsp:cNvSpPr/>
      </dsp:nvSpPr>
      <dsp:spPr>
        <a:xfrm rot="5400000">
          <a:off x="1828794" y="-1187503"/>
          <a:ext cx="594214" cy="297195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Source: Saudi Digital Library, Scopus</a:t>
          </a:r>
        </a:p>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Number of Article: 2491</a:t>
          </a:r>
        </a:p>
      </dsp:txBody>
      <dsp:txXfrm rot="-5400000">
        <a:off x="639924" y="30374"/>
        <a:ext cx="2942949" cy="536200"/>
      </dsp:txXfrm>
    </dsp:sp>
    <dsp:sp modelId="{DC875CAA-33B4-453B-805D-1E515983683B}">
      <dsp:nvSpPr>
        <dsp:cNvPr id="0" name=""/>
        <dsp:cNvSpPr/>
      </dsp:nvSpPr>
      <dsp:spPr>
        <a:xfrm rot="5400000">
          <a:off x="-137126" y="899656"/>
          <a:ext cx="914176" cy="639923"/>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Screening</a:t>
          </a:r>
        </a:p>
      </dsp:txBody>
      <dsp:txXfrm rot="-5400000">
        <a:off x="1" y="1082492"/>
        <a:ext cx="639923" cy="274253"/>
      </dsp:txXfrm>
    </dsp:sp>
    <dsp:sp modelId="{BA64E228-D9AC-4AAE-863D-72CB91AF704C}">
      <dsp:nvSpPr>
        <dsp:cNvPr id="0" name=""/>
        <dsp:cNvSpPr/>
      </dsp:nvSpPr>
      <dsp:spPr>
        <a:xfrm rot="5400000">
          <a:off x="1828794" y="-426340"/>
          <a:ext cx="594214" cy="2971956"/>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No. of full-text NOT available: 1206</a:t>
          </a:r>
        </a:p>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No. of duplicate or triplicate: 517</a:t>
          </a:r>
        </a:p>
      </dsp:txBody>
      <dsp:txXfrm rot="-5400000">
        <a:off x="639924" y="791537"/>
        <a:ext cx="2942949" cy="536200"/>
      </dsp:txXfrm>
    </dsp:sp>
    <dsp:sp modelId="{5A5E9954-B161-4EFC-BC6D-F282904A6038}">
      <dsp:nvSpPr>
        <dsp:cNvPr id="0" name=""/>
        <dsp:cNvSpPr/>
      </dsp:nvSpPr>
      <dsp:spPr>
        <a:xfrm rot="5400000">
          <a:off x="-137126" y="1660819"/>
          <a:ext cx="914176" cy="63992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Eligibility</a:t>
          </a:r>
        </a:p>
      </dsp:txBody>
      <dsp:txXfrm rot="-5400000">
        <a:off x="1" y="1843655"/>
        <a:ext cx="639923" cy="274253"/>
      </dsp:txXfrm>
    </dsp:sp>
    <dsp:sp modelId="{F4BDAB16-E55D-4D70-BD02-B30DE214FE62}">
      <dsp:nvSpPr>
        <dsp:cNvPr id="0" name=""/>
        <dsp:cNvSpPr/>
      </dsp:nvSpPr>
      <dsp:spPr>
        <a:xfrm rot="5400000">
          <a:off x="1828794" y="334822"/>
          <a:ext cx="594214" cy="297195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No. of Article excluded by the title &amp; abstract : 441</a:t>
          </a:r>
        </a:p>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No. of Article excluded by full-text scanning: 102</a:t>
          </a:r>
        </a:p>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No. of article exluded ( citation&lt;4): 82</a:t>
          </a:r>
        </a:p>
      </dsp:txBody>
      <dsp:txXfrm rot="-5400000">
        <a:off x="639924" y="1552700"/>
        <a:ext cx="2942949" cy="536200"/>
      </dsp:txXfrm>
    </dsp:sp>
    <dsp:sp modelId="{CD5D5669-88D8-47A8-A978-99E53CA9B18C}">
      <dsp:nvSpPr>
        <dsp:cNvPr id="0" name=""/>
        <dsp:cNvSpPr/>
      </dsp:nvSpPr>
      <dsp:spPr>
        <a:xfrm rot="5400000">
          <a:off x="-137126" y="2421982"/>
          <a:ext cx="914176" cy="639923"/>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Included</a:t>
          </a:r>
        </a:p>
      </dsp:txBody>
      <dsp:txXfrm rot="-5400000">
        <a:off x="1" y="2604818"/>
        <a:ext cx="639923" cy="274253"/>
      </dsp:txXfrm>
    </dsp:sp>
    <dsp:sp modelId="{DA71B4C9-DBE2-4401-B257-0736E0F87A18}">
      <dsp:nvSpPr>
        <dsp:cNvPr id="0" name=""/>
        <dsp:cNvSpPr/>
      </dsp:nvSpPr>
      <dsp:spPr>
        <a:xfrm rot="5400000">
          <a:off x="1828794" y="1095984"/>
          <a:ext cx="594214" cy="2971956"/>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Total no. of article included: 143</a:t>
          </a:r>
        </a:p>
      </dsp:txBody>
      <dsp:txXfrm rot="-5400000">
        <a:off x="639924" y="2313862"/>
        <a:ext cx="2942949" cy="5362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D3B7-6800-456D-A166-C8C15664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2287</TotalTime>
  <Pages>20</Pages>
  <Words>36120</Words>
  <Characters>205884</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KFUPM</Company>
  <LinksUpToDate>false</LinksUpToDate>
  <CharactersWithSpaces>241521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Muhammad Al-Salamah</dc:creator>
  <cp:lastModifiedBy>محمد عابد</cp:lastModifiedBy>
  <cp:revision>84</cp:revision>
  <cp:lastPrinted>2023-09-21T12:43:00Z</cp:lastPrinted>
  <dcterms:created xsi:type="dcterms:W3CDTF">2024-03-20T08:34:00Z</dcterms:created>
  <dcterms:modified xsi:type="dcterms:W3CDTF">2024-06-27T11:35:00Z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31a13959cf8976c49c66824a066e2fbade6d45b571141cc477e6d39b8cd4826e</vt:lpwstr>
  </property>
  <property fmtid="{D5CDD505-2E9C-101B-9397-08002B2CF9AE}" pid="3" name="ZOTERO_PREF_1">
    <vt:lpwstr>&lt;data data-version="3" zotero-version="6.0.27"&gt;&lt;session id="ZpSAe5KK"/&gt;&lt;style id="http://www.zotero.org/styles/ieee" locale="en-US" hasBibliography="1" bibliographyStyleHasBeenSet="0"/&gt;&lt;prefs&gt;&lt;pref name="fieldType" value="Field"/&gt;&lt;pref name="automaticJour</vt:lpwstr>
  </property>
  <property fmtid="{D5CDD505-2E9C-101B-9397-08002B2CF9AE}" pid="4" name="ZOTERO_PREF_2">
    <vt:lpwstr>nalAbbreviations" value="true"/&gt;&lt;/prefs&gt;&lt;/data&gt;</vt:lpwstr>
  </property>
</Properties>
</file>