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E1" w:rsidRPr="00107C46" w:rsidRDefault="00104EE1" w:rsidP="00107C46">
      <w:pPr>
        <w:jc w:val="center"/>
        <w:rPr>
          <w:b/>
          <w:sz w:val="28"/>
          <w:szCs w:val="28"/>
        </w:rPr>
      </w:pPr>
      <w:bookmarkStart w:id="0" w:name="_Hlk57671711"/>
      <w:r w:rsidRPr="00107C46">
        <w:rPr>
          <w:b/>
          <w:sz w:val="28"/>
          <w:szCs w:val="28"/>
        </w:rPr>
        <w:t xml:space="preserve">A research comparison of antibiotics and hormone-like anabolic </w:t>
      </w:r>
      <w:r w:rsidR="00107C46" w:rsidRPr="00107C46">
        <w:rPr>
          <w:b/>
          <w:sz w:val="28"/>
          <w:szCs w:val="28"/>
        </w:rPr>
        <w:t>agents’</w:t>
      </w:r>
      <w:r w:rsidRPr="00107C46">
        <w:rPr>
          <w:b/>
          <w:sz w:val="28"/>
          <w:szCs w:val="28"/>
        </w:rPr>
        <w:t xml:space="preserve"> residuals in chicken meat and </w:t>
      </w:r>
      <w:r w:rsidR="00871040" w:rsidRPr="00107C46">
        <w:rPr>
          <w:b/>
          <w:sz w:val="28"/>
          <w:szCs w:val="28"/>
        </w:rPr>
        <w:t xml:space="preserve">their </w:t>
      </w:r>
      <w:r w:rsidRPr="00107C46">
        <w:rPr>
          <w:b/>
          <w:sz w:val="28"/>
          <w:szCs w:val="28"/>
        </w:rPr>
        <w:t xml:space="preserve">offal under two different country legislation </w:t>
      </w:r>
    </w:p>
    <w:bookmarkEnd w:id="0"/>
    <w:p w:rsidR="00851955" w:rsidRDefault="00851955" w:rsidP="001E7CCA">
      <w:pPr>
        <w:jc w:val="center"/>
        <w:rPr>
          <w:b/>
        </w:rPr>
      </w:pPr>
    </w:p>
    <w:p w:rsidR="001E7CCA" w:rsidRPr="00E26979" w:rsidRDefault="001E7CCA" w:rsidP="001E7CCA">
      <w:pPr>
        <w:jc w:val="center"/>
        <w:rPr>
          <w:b/>
          <w:bCs/>
        </w:rPr>
      </w:pPr>
      <w:bookmarkStart w:id="1" w:name="_Hlk57671921"/>
      <w:bookmarkStart w:id="2" w:name="_GoBack"/>
      <w:proofErr w:type="spellStart"/>
      <w:r w:rsidRPr="00E26979">
        <w:rPr>
          <w:b/>
        </w:rPr>
        <w:t>Suha</w:t>
      </w:r>
      <w:proofErr w:type="spellEnd"/>
      <w:r w:rsidRPr="00E26979">
        <w:rPr>
          <w:b/>
        </w:rPr>
        <w:t xml:space="preserve"> Ahmed Al Sayed Ghareeb</w:t>
      </w:r>
      <w:bookmarkEnd w:id="2"/>
      <w:r w:rsidRPr="00964881">
        <w:rPr>
          <w:b/>
          <w:vertAlign w:val="superscript"/>
        </w:rPr>
        <w:t>1</w:t>
      </w:r>
      <w:r w:rsidRPr="00E26979">
        <w:rPr>
          <w:b/>
        </w:rPr>
        <w:t xml:space="preserve">, </w:t>
      </w:r>
      <w:r w:rsidRPr="00E26979">
        <w:rPr>
          <w:b/>
          <w:bCs/>
        </w:rPr>
        <w:t xml:space="preserve">Ali </w:t>
      </w:r>
      <w:proofErr w:type="spellStart"/>
      <w:r w:rsidRPr="00E26979">
        <w:rPr>
          <w:b/>
          <w:bCs/>
        </w:rPr>
        <w:t>Meawad</w:t>
      </w:r>
      <w:proofErr w:type="spellEnd"/>
      <w:r w:rsidRPr="00E26979">
        <w:rPr>
          <w:b/>
          <w:bCs/>
        </w:rPr>
        <w:t xml:space="preserve"> Ahmed</w:t>
      </w:r>
      <w:r>
        <w:rPr>
          <w:b/>
          <w:vertAlign w:val="superscript"/>
        </w:rPr>
        <w:t>2</w:t>
      </w:r>
      <w:r w:rsidRPr="00E26979">
        <w:rPr>
          <w:b/>
          <w:bCs/>
        </w:rPr>
        <w:t>, Rania Abdou Helmy</w:t>
      </w:r>
      <w:r>
        <w:rPr>
          <w:b/>
          <w:bCs/>
          <w:vertAlign w:val="superscript"/>
        </w:rPr>
        <w:t>3</w:t>
      </w:r>
      <w:r w:rsidRPr="00E26979">
        <w:rPr>
          <w:b/>
          <w:bCs/>
        </w:rPr>
        <w:t xml:space="preserve"> and Nagwa Thabet Elsharawy</w:t>
      </w:r>
      <w:r>
        <w:rPr>
          <w:b/>
          <w:bCs/>
          <w:vertAlign w:val="superscript"/>
        </w:rPr>
        <w:t>4</w:t>
      </w:r>
    </w:p>
    <w:p w:rsidR="00B84C10" w:rsidRPr="00107C46" w:rsidRDefault="001E7CCA" w:rsidP="00107C46">
      <w:pPr>
        <w:rPr>
          <w:rtl/>
        </w:rPr>
      </w:pPr>
      <w:bookmarkStart w:id="3" w:name="_Hlk57671953"/>
      <w:bookmarkEnd w:id="1"/>
      <w:r w:rsidRPr="00964881">
        <w:rPr>
          <w:vertAlign w:val="superscript"/>
        </w:rPr>
        <w:t>1</w:t>
      </w:r>
      <w:r w:rsidR="00107C46">
        <w:t>V</w:t>
      </w:r>
      <w:r w:rsidRPr="00964881">
        <w:t>et</w:t>
      </w:r>
      <w:r w:rsidR="00107C46">
        <w:t>erinarian Animal Wealth Ministry of Works, Municipalities Affairs and Urban Planning, Bahrain</w:t>
      </w:r>
    </w:p>
    <w:p w:rsidR="001E7CCA" w:rsidRDefault="001E7CCA" w:rsidP="001E7CCA">
      <w:pPr>
        <w:rPr>
          <w:vertAlign w:val="superscript"/>
        </w:rPr>
      </w:pPr>
      <w:r>
        <w:rPr>
          <w:vertAlign w:val="superscript"/>
        </w:rPr>
        <w:t>2</w:t>
      </w:r>
      <w:r w:rsidRPr="00964881">
        <w:t xml:space="preserve">Departments of food Hygiene Faculty of Veterinary Medicine, </w:t>
      </w:r>
      <w:r>
        <w:t>Arish</w:t>
      </w:r>
      <w:r w:rsidRPr="00964881">
        <w:t xml:space="preserve"> University. Egypt</w:t>
      </w:r>
    </w:p>
    <w:p w:rsidR="001E7CCA" w:rsidRDefault="001E7CCA" w:rsidP="001E7CCA">
      <w:pPr>
        <w:rPr>
          <w:vertAlign w:val="superscript"/>
        </w:rPr>
      </w:pPr>
      <w:r>
        <w:rPr>
          <w:vertAlign w:val="superscript"/>
        </w:rPr>
        <w:t>3</w:t>
      </w:r>
      <w:r w:rsidRPr="00964881">
        <w:t>Forensic Medicine and Toxicology Department</w:t>
      </w:r>
      <w:r>
        <w:t xml:space="preserve">, </w:t>
      </w:r>
      <w:r w:rsidRPr="00964881">
        <w:t>Faculty of Veterinary Medicine</w:t>
      </w:r>
      <w:r>
        <w:t xml:space="preserve">, </w:t>
      </w:r>
      <w:r w:rsidRPr="00964881">
        <w:t>Suez Canal University</w:t>
      </w:r>
      <w:r>
        <w:t>,</w:t>
      </w:r>
      <w:r w:rsidRPr="00964881">
        <w:t xml:space="preserve"> Egypt</w:t>
      </w:r>
    </w:p>
    <w:p w:rsidR="001E7CCA" w:rsidRPr="00FA6913" w:rsidRDefault="001E7CCA" w:rsidP="001E7CCA">
      <w:pPr>
        <w:rPr>
          <w:vertAlign w:val="superscript"/>
        </w:rPr>
      </w:pPr>
      <w:r w:rsidRPr="00FA6913">
        <w:rPr>
          <w:vertAlign w:val="superscript"/>
        </w:rPr>
        <w:t>4</w:t>
      </w:r>
      <w:r w:rsidRPr="00FA6913">
        <w:t>University of Jeddah, Collage of Science, Department of Biology, Jeddah, Saudi Arabia</w:t>
      </w:r>
    </w:p>
    <w:p w:rsidR="001E7CCA" w:rsidRPr="00FA6913" w:rsidRDefault="001E7CCA" w:rsidP="001E7CCA">
      <w:pPr>
        <w:tabs>
          <w:tab w:val="left" w:pos="6738"/>
        </w:tabs>
      </w:pPr>
      <w:r w:rsidRPr="00FA6913">
        <w:rPr>
          <w:vertAlign w:val="superscript"/>
        </w:rPr>
        <w:t>4</w:t>
      </w:r>
      <w:r w:rsidRPr="00FA6913">
        <w:t xml:space="preserve">Department of Food Hygiene, Faculty of Vet. Med., New Valley University, Egypt </w:t>
      </w:r>
    </w:p>
    <w:bookmarkEnd w:id="3"/>
    <w:p w:rsidR="001E7CCA" w:rsidRPr="00141F8F" w:rsidRDefault="001E7CCA" w:rsidP="001E7CCA">
      <w:pPr>
        <w:spacing w:before="240" w:after="240" w:line="360" w:lineRule="auto"/>
        <w:rPr>
          <w:rFonts w:asciiTheme="majorBidi" w:hAnsiTheme="majorBidi" w:cstheme="majorBidi"/>
        </w:rPr>
      </w:pPr>
      <w:r>
        <w:rPr>
          <w:rFonts w:asciiTheme="majorBidi" w:hAnsiTheme="majorBidi" w:cstheme="majorBidi"/>
          <w:vertAlign w:val="superscript"/>
        </w:rPr>
        <w:t>4</w:t>
      </w:r>
      <w:r>
        <w:rPr>
          <w:rFonts w:asciiTheme="majorBidi" w:hAnsiTheme="majorBidi" w:cstheme="majorBidi"/>
        </w:rPr>
        <w:t xml:space="preserve">Corresponding </w:t>
      </w:r>
      <w:r w:rsidRPr="00141F8F">
        <w:rPr>
          <w:rFonts w:asciiTheme="majorBidi" w:hAnsiTheme="majorBidi" w:cstheme="majorBidi"/>
        </w:rPr>
        <w:t>Author’s Email: dr.nagwa2004@yahoo.com</w:t>
      </w:r>
    </w:p>
    <w:p w:rsidR="001E7CCA" w:rsidRDefault="001E7CCA" w:rsidP="00BA05E3">
      <w:pPr>
        <w:spacing w:line="360" w:lineRule="auto"/>
        <w:rPr>
          <w:rFonts w:asciiTheme="majorBidi" w:hAnsiTheme="majorBidi" w:cstheme="majorBidi"/>
          <w:b/>
        </w:rPr>
      </w:pPr>
      <w:r>
        <w:rPr>
          <w:rFonts w:asciiTheme="majorBidi" w:hAnsiTheme="majorBidi" w:cstheme="majorBidi"/>
          <w:b/>
        </w:rPr>
        <w:t xml:space="preserve">Abstract </w:t>
      </w:r>
    </w:p>
    <w:p w:rsidR="00374912" w:rsidRDefault="007E4BBB" w:rsidP="00F67B1E">
      <w:pPr>
        <w:ind w:firstLine="720"/>
        <w:jc w:val="both"/>
      </w:pPr>
      <w:r w:rsidRPr="00380A8A">
        <w:rPr>
          <w:rFonts w:asciiTheme="majorBidi" w:hAnsiTheme="majorBidi" w:cstheme="majorBidi"/>
        </w:rPr>
        <w:t>Antibiotics and hormone-like anabolic agents</w:t>
      </w:r>
      <w:r>
        <w:rPr>
          <w:rFonts w:asciiTheme="majorBidi" w:hAnsiTheme="majorBidi" w:cstheme="majorBidi"/>
        </w:rPr>
        <w:t xml:space="preserve"> </w:t>
      </w:r>
      <w:r w:rsidR="00FA6913">
        <w:rPr>
          <w:rFonts w:asciiTheme="majorBidi" w:hAnsiTheme="majorBidi" w:cstheme="majorBidi"/>
        </w:rPr>
        <w:t>use</w:t>
      </w:r>
      <w:r>
        <w:rPr>
          <w:rFonts w:asciiTheme="majorBidi" w:hAnsiTheme="majorBidi" w:cstheme="majorBidi"/>
        </w:rPr>
        <w:t xml:space="preserve"> i</w:t>
      </w:r>
      <w:r w:rsidR="00374912" w:rsidRPr="00380A8A">
        <w:rPr>
          <w:rFonts w:asciiTheme="majorBidi" w:hAnsiTheme="majorBidi" w:cstheme="majorBidi"/>
        </w:rPr>
        <w:t xml:space="preserve">n order to intensify the production of </w:t>
      </w:r>
      <w:r w:rsidR="00374912">
        <w:rPr>
          <w:rFonts w:asciiTheme="majorBidi" w:hAnsiTheme="majorBidi" w:cstheme="majorBidi"/>
        </w:rPr>
        <w:t>chicken farms</w:t>
      </w:r>
      <w:r w:rsidR="00374912" w:rsidRPr="00380A8A">
        <w:rPr>
          <w:rFonts w:asciiTheme="majorBidi" w:hAnsiTheme="majorBidi" w:cstheme="majorBidi"/>
        </w:rPr>
        <w:t>.</w:t>
      </w:r>
      <w:r w:rsidR="00FA6913">
        <w:rPr>
          <w:rFonts w:asciiTheme="majorBidi" w:hAnsiTheme="majorBidi" w:cstheme="majorBidi"/>
        </w:rPr>
        <w:t xml:space="preserve"> </w:t>
      </w:r>
      <w:r w:rsidR="00374912" w:rsidRPr="000B017B">
        <w:rPr>
          <w:rFonts w:asciiTheme="majorBidi" w:hAnsiTheme="majorBidi" w:cstheme="majorBidi"/>
        </w:rPr>
        <w:t>Th</w:t>
      </w:r>
      <w:r w:rsidR="00F67B1E">
        <w:rPr>
          <w:rFonts w:asciiTheme="majorBidi" w:hAnsiTheme="majorBidi" w:cstheme="majorBidi"/>
        </w:rPr>
        <w:t>ese</w:t>
      </w:r>
      <w:r>
        <w:rPr>
          <w:rFonts w:asciiTheme="majorBidi" w:hAnsiTheme="majorBidi" w:cstheme="majorBidi"/>
        </w:rPr>
        <w:t xml:space="preserve"> </w:t>
      </w:r>
      <w:r w:rsidR="00F67B1E">
        <w:rPr>
          <w:rFonts w:asciiTheme="majorBidi" w:hAnsiTheme="majorBidi" w:cstheme="majorBidi"/>
        </w:rPr>
        <w:t xml:space="preserve">may reflect on formation the </w:t>
      </w:r>
      <w:r w:rsidR="00374912" w:rsidRPr="000B017B">
        <w:rPr>
          <w:rFonts w:asciiTheme="majorBidi" w:hAnsiTheme="majorBidi" w:cstheme="majorBidi"/>
        </w:rPr>
        <w:t xml:space="preserve">harmful </w:t>
      </w:r>
      <w:r w:rsidR="00F67B1E">
        <w:rPr>
          <w:rFonts w:asciiTheme="majorBidi" w:hAnsiTheme="majorBidi" w:cstheme="majorBidi"/>
        </w:rPr>
        <w:t xml:space="preserve">chemical </w:t>
      </w:r>
      <w:r w:rsidR="00374912" w:rsidRPr="000B017B">
        <w:rPr>
          <w:rFonts w:asciiTheme="majorBidi" w:hAnsiTheme="majorBidi" w:cstheme="majorBidi"/>
        </w:rPr>
        <w:t xml:space="preserve">residues in </w:t>
      </w:r>
      <w:r w:rsidR="00F67B1E">
        <w:rPr>
          <w:rFonts w:asciiTheme="majorBidi" w:hAnsiTheme="majorBidi" w:cstheme="majorBidi"/>
        </w:rPr>
        <w:t xml:space="preserve">their </w:t>
      </w:r>
      <w:r w:rsidR="00374912" w:rsidRPr="000B017B">
        <w:rPr>
          <w:rFonts w:asciiTheme="majorBidi" w:hAnsiTheme="majorBidi" w:cstheme="majorBidi"/>
        </w:rPr>
        <w:t xml:space="preserve">meat and </w:t>
      </w:r>
      <w:r>
        <w:rPr>
          <w:rFonts w:asciiTheme="majorBidi" w:hAnsiTheme="majorBidi" w:cstheme="majorBidi"/>
        </w:rPr>
        <w:t>offal</w:t>
      </w:r>
      <w:r w:rsidR="00374912" w:rsidRPr="000B017B">
        <w:rPr>
          <w:rFonts w:asciiTheme="majorBidi" w:hAnsiTheme="majorBidi" w:cstheme="majorBidi"/>
        </w:rPr>
        <w:t xml:space="preserve">. </w:t>
      </w:r>
      <w:r>
        <w:rPr>
          <w:rFonts w:asciiTheme="majorBidi" w:hAnsiTheme="majorBidi" w:cstheme="majorBidi"/>
        </w:rPr>
        <w:t>T</w:t>
      </w:r>
      <w:r w:rsidR="00374912" w:rsidRPr="000B017B">
        <w:rPr>
          <w:rFonts w:asciiTheme="majorBidi" w:hAnsiTheme="majorBidi" w:cstheme="majorBidi"/>
        </w:rPr>
        <w:t xml:space="preserve">he purpose of the </w:t>
      </w:r>
      <w:r w:rsidR="00F67B1E">
        <w:rPr>
          <w:rFonts w:asciiTheme="majorBidi" w:hAnsiTheme="majorBidi" w:cstheme="majorBidi"/>
        </w:rPr>
        <w:t>current</w:t>
      </w:r>
      <w:r w:rsidR="00F67B1E" w:rsidRPr="000B017B">
        <w:rPr>
          <w:rFonts w:asciiTheme="majorBidi" w:hAnsiTheme="majorBidi" w:cstheme="majorBidi"/>
        </w:rPr>
        <w:t xml:space="preserve"> </w:t>
      </w:r>
      <w:r w:rsidR="00374912" w:rsidRPr="000B017B">
        <w:rPr>
          <w:rFonts w:asciiTheme="majorBidi" w:hAnsiTheme="majorBidi" w:cstheme="majorBidi"/>
        </w:rPr>
        <w:t xml:space="preserve">study was to analyze some chemical hazards in </w:t>
      </w:r>
      <w:r>
        <w:rPr>
          <w:rFonts w:asciiTheme="majorBidi" w:hAnsiTheme="majorBidi" w:cstheme="majorBidi"/>
        </w:rPr>
        <w:t xml:space="preserve">local and imported </w:t>
      </w:r>
      <w:r w:rsidR="00F67B1E">
        <w:rPr>
          <w:rFonts w:asciiTheme="majorBidi" w:hAnsiTheme="majorBidi" w:cstheme="majorBidi"/>
        </w:rPr>
        <w:t>chicken</w:t>
      </w:r>
      <w:r w:rsidR="00F67B1E" w:rsidRPr="000B017B">
        <w:rPr>
          <w:rFonts w:asciiTheme="majorBidi" w:hAnsiTheme="majorBidi" w:cstheme="majorBidi"/>
        </w:rPr>
        <w:t xml:space="preserve"> </w:t>
      </w:r>
      <w:r w:rsidR="00374912" w:rsidRPr="000B017B">
        <w:rPr>
          <w:rFonts w:asciiTheme="majorBidi" w:hAnsiTheme="majorBidi" w:cstheme="majorBidi"/>
        </w:rPr>
        <w:t xml:space="preserve">meat and their edible offal </w:t>
      </w:r>
      <w:r w:rsidR="00374912">
        <w:rPr>
          <w:rFonts w:asciiTheme="majorBidi" w:hAnsiTheme="majorBidi" w:cstheme="majorBidi"/>
        </w:rPr>
        <w:t>including</w:t>
      </w:r>
      <w:r w:rsidR="00374912" w:rsidRPr="000B017B">
        <w:rPr>
          <w:rFonts w:asciiTheme="majorBidi" w:hAnsiTheme="majorBidi" w:cstheme="majorBidi"/>
        </w:rPr>
        <w:t>:</w:t>
      </w:r>
      <w:r w:rsidR="00FA6913">
        <w:rPr>
          <w:rFonts w:asciiTheme="majorBidi" w:hAnsiTheme="majorBidi" w:cstheme="majorBidi"/>
        </w:rPr>
        <w:t xml:space="preserve"> </w:t>
      </w:r>
      <w:r w:rsidR="00374912" w:rsidRPr="000B017B">
        <w:rPr>
          <w:rFonts w:asciiTheme="majorBidi" w:hAnsiTheme="majorBidi" w:cstheme="majorBidi"/>
        </w:rPr>
        <w:t xml:space="preserve">Quantitative assessment of </w:t>
      </w:r>
      <w:r w:rsidR="00F67B1E">
        <w:rPr>
          <w:rFonts w:asciiTheme="majorBidi" w:hAnsiTheme="majorBidi" w:cstheme="majorBidi"/>
        </w:rPr>
        <w:t>c</w:t>
      </w:r>
      <w:r w:rsidR="00F67B1E" w:rsidRPr="000B017B">
        <w:rPr>
          <w:rFonts w:asciiTheme="majorBidi" w:hAnsiTheme="majorBidi" w:cstheme="majorBidi"/>
        </w:rPr>
        <w:t>iprofloxacin</w:t>
      </w:r>
      <w:r w:rsidR="00F67B1E">
        <w:rPr>
          <w:rFonts w:asciiTheme="majorBidi" w:hAnsiTheme="majorBidi" w:cstheme="majorBidi"/>
        </w:rPr>
        <w:t xml:space="preserve"> </w:t>
      </w:r>
      <w:r w:rsidR="00374912">
        <w:rPr>
          <w:rFonts w:asciiTheme="majorBidi" w:hAnsiTheme="majorBidi" w:cstheme="majorBidi"/>
        </w:rPr>
        <w:t>and</w:t>
      </w:r>
      <w:r w:rsidR="00FA6913">
        <w:rPr>
          <w:rFonts w:asciiTheme="majorBidi" w:hAnsiTheme="majorBidi" w:cstheme="majorBidi"/>
        </w:rPr>
        <w:t xml:space="preserve"> </w:t>
      </w:r>
      <w:r w:rsidR="003A4AF6" w:rsidRPr="009B47F6">
        <w:rPr>
          <w:rFonts w:asciiTheme="majorBidi" w:hAnsiTheme="majorBidi" w:cstheme="majorBidi"/>
        </w:rPr>
        <w:t>sulfonamide</w:t>
      </w:r>
      <w:r w:rsidR="00FA6913">
        <w:rPr>
          <w:rFonts w:asciiTheme="majorBidi" w:hAnsiTheme="majorBidi" w:cstheme="majorBidi"/>
        </w:rPr>
        <w:t xml:space="preserve"> </w:t>
      </w:r>
      <w:r>
        <w:rPr>
          <w:rFonts w:asciiTheme="majorBidi" w:hAnsiTheme="majorBidi" w:cstheme="majorBidi"/>
        </w:rPr>
        <w:t xml:space="preserve">and </w:t>
      </w:r>
      <w:r w:rsidR="00F67B1E">
        <w:rPr>
          <w:rFonts w:asciiTheme="majorBidi" w:hAnsiTheme="majorBidi" w:cstheme="majorBidi"/>
        </w:rPr>
        <w:t>g</w:t>
      </w:r>
      <w:r w:rsidR="00F67B1E" w:rsidRPr="009414E6">
        <w:rPr>
          <w:rFonts w:asciiTheme="majorBidi" w:hAnsiTheme="majorBidi" w:cstheme="majorBidi"/>
        </w:rPr>
        <w:t xml:space="preserve">rowth </w:t>
      </w:r>
      <w:r w:rsidR="00374912" w:rsidRPr="009414E6">
        <w:rPr>
          <w:rFonts w:asciiTheme="majorBidi" w:hAnsiTheme="majorBidi" w:cstheme="majorBidi"/>
        </w:rPr>
        <w:t xml:space="preserve">promoters’ </w:t>
      </w:r>
      <w:r w:rsidR="00374912" w:rsidRPr="00380A8A">
        <w:rPr>
          <w:rFonts w:asciiTheme="majorBidi" w:hAnsiTheme="majorBidi" w:cstheme="majorBidi"/>
        </w:rPr>
        <w:t>17β-Estradiol</w:t>
      </w:r>
      <w:r>
        <w:rPr>
          <w:rFonts w:asciiTheme="majorBidi" w:hAnsiTheme="majorBidi" w:cstheme="majorBidi"/>
        </w:rPr>
        <w:t>.</w:t>
      </w:r>
      <w:r w:rsidR="00F67B1E">
        <w:rPr>
          <w:rFonts w:asciiTheme="majorBidi" w:hAnsiTheme="majorBidi" w:cstheme="majorBidi"/>
        </w:rPr>
        <w:t xml:space="preserve"> </w:t>
      </w:r>
      <w:r w:rsidR="00374912" w:rsidRPr="00590184">
        <w:rPr>
          <w:rFonts w:asciiTheme="majorBidi" w:hAnsiTheme="majorBidi" w:cstheme="majorBidi"/>
        </w:rPr>
        <w:t>A total of 2</w:t>
      </w:r>
      <w:r w:rsidR="00374912">
        <w:rPr>
          <w:rFonts w:asciiTheme="majorBidi" w:hAnsiTheme="majorBidi" w:cstheme="majorBidi"/>
        </w:rPr>
        <w:t>14</w:t>
      </w:r>
      <w:r w:rsidR="00F67B1E">
        <w:rPr>
          <w:rFonts w:asciiTheme="majorBidi" w:hAnsiTheme="majorBidi" w:cstheme="majorBidi"/>
        </w:rPr>
        <w:t xml:space="preserve"> </w:t>
      </w:r>
      <w:r w:rsidR="00374912" w:rsidRPr="00590184">
        <w:rPr>
          <w:rFonts w:asciiTheme="majorBidi" w:hAnsiTheme="majorBidi" w:cstheme="majorBidi"/>
        </w:rPr>
        <w:t>fresh</w:t>
      </w:r>
      <w:r>
        <w:rPr>
          <w:rFonts w:asciiTheme="majorBidi" w:hAnsiTheme="majorBidi" w:cstheme="majorBidi"/>
        </w:rPr>
        <w:t xml:space="preserve"> and </w:t>
      </w:r>
      <w:r w:rsidR="003A4AF6">
        <w:rPr>
          <w:rFonts w:asciiTheme="majorBidi" w:hAnsiTheme="majorBidi" w:cstheme="majorBidi"/>
        </w:rPr>
        <w:t>imported</w:t>
      </w:r>
      <w:r w:rsidR="00374912" w:rsidRPr="00590184">
        <w:rPr>
          <w:rFonts w:asciiTheme="majorBidi" w:hAnsiTheme="majorBidi" w:cstheme="majorBidi"/>
        </w:rPr>
        <w:t xml:space="preserve"> chicken carcasses were purchased from different commercial </w:t>
      </w:r>
      <w:r w:rsidR="00F67B1E">
        <w:rPr>
          <w:rFonts w:asciiTheme="majorBidi" w:hAnsiTheme="majorBidi" w:cstheme="majorBidi"/>
        </w:rPr>
        <w:t xml:space="preserve">chicken </w:t>
      </w:r>
      <w:r w:rsidR="00374912" w:rsidRPr="00590184">
        <w:rPr>
          <w:rFonts w:asciiTheme="majorBidi" w:hAnsiTheme="majorBidi" w:cstheme="majorBidi"/>
        </w:rPr>
        <w:t xml:space="preserve">markets </w:t>
      </w:r>
      <w:r w:rsidR="00F67B1E">
        <w:rPr>
          <w:rFonts w:asciiTheme="majorBidi" w:hAnsiTheme="majorBidi" w:cstheme="majorBidi"/>
        </w:rPr>
        <w:t>at</w:t>
      </w:r>
      <w:r w:rsidR="00F67B1E" w:rsidRPr="00590184">
        <w:rPr>
          <w:rFonts w:asciiTheme="majorBidi" w:hAnsiTheme="majorBidi" w:cstheme="majorBidi"/>
        </w:rPr>
        <w:t xml:space="preserve"> </w:t>
      </w:r>
      <w:r w:rsidR="00374912" w:rsidRPr="00590184">
        <w:rPr>
          <w:rFonts w:asciiTheme="majorBidi" w:hAnsiTheme="majorBidi" w:cstheme="majorBidi"/>
        </w:rPr>
        <w:t>Ismailia governorate</w:t>
      </w:r>
      <w:r w:rsidR="00F67B1E">
        <w:rPr>
          <w:rFonts w:asciiTheme="majorBidi" w:hAnsiTheme="majorBidi" w:cstheme="majorBidi"/>
        </w:rPr>
        <w:t>, Egypt</w:t>
      </w:r>
      <w:r w:rsidR="00BA05E3">
        <w:rPr>
          <w:rFonts w:asciiTheme="majorBidi" w:hAnsiTheme="majorBidi" w:cstheme="majorBidi"/>
        </w:rPr>
        <w:t xml:space="preserve"> and Bahrain</w:t>
      </w:r>
      <w:r>
        <w:rPr>
          <w:rFonts w:asciiTheme="majorBidi" w:hAnsiTheme="majorBidi" w:cstheme="majorBidi"/>
        </w:rPr>
        <w:t xml:space="preserve">. </w:t>
      </w:r>
      <w:r w:rsidR="003A4AF6">
        <w:rPr>
          <w:rFonts w:asciiTheme="majorBidi" w:hAnsiTheme="majorBidi" w:cstheme="majorBidi"/>
        </w:rPr>
        <w:t>10</w:t>
      </w:r>
      <w:r w:rsidR="003A4AF6" w:rsidRPr="009B47F6">
        <w:rPr>
          <w:rFonts w:asciiTheme="majorBidi" w:hAnsiTheme="majorBidi" w:cstheme="majorBidi"/>
        </w:rPr>
        <w:t xml:space="preserve"> grams </w:t>
      </w:r>
      <w:r w:rsidR="00F67B1E">
        <w:rPr>
          <w:rFonts w:asciiTheme="majorBidi" w:hAnsiTheme="majorBidi" w:cstheme="majorBidi"/>
        </w:rPr>
        <w:t xml:space="preserve">of </w:t>
      </w:r>
      <w:r w:rsidR="003A4AF6">
        <w:rPr>
          <w:rFonts w:asciiTheme="majorBidi" w:hAnsiTheme="majorBidi" w:cstheme="majorBidi"/>
        </w:rPr>
        <w:t>m</w:t>
      </w:r>
      <w:r w:rsidR="00374912" w:rsidRPr="009B47F6">
        <w:rPr>
          <w:rFonts w:asciiTheme="majorBidi" w:hAnsiTheme="majorBidi" w:cstheme="majorBidi"/>
        </w:rPr>
        <w:t>eat sample</w:t>
      </w:r>
      <w:r w:rsidR="00FA6913">
        <w:rPr>
          <w:rFonts w:asciiTheme="majorBidi" w:hAnsiTheme="majorBidi" w:cstheme="majorBidi"/>
        </w:rPr>
        <w:t xml:space="preserve"> </w:t>
      </w:r>
      <w:r w:rsidR="00F67B1E">
        <w:rPr>
          <w:rFonts w:asciiTheme="majorBidi" w:hAnsiTheme="majorBidi" w:cstheme="majorBidi"/>
        </w:rPr>
        <w:t xml:space="preserve">was </w:t>
      </w:r>
      <w:r w:rsidR="00374912" w:rsidRPr="009B47F6">
        <w:rPr>
          <w:rFonts w:asciiTheme="majorBidi" w:hAnsiTheme="majorBidi" w:cstheme="majorBidi"/>
        </w:rPr>
        <w:t>blended</w:t>
      </w:r>
      <w:r w:rsidR="003A4AF6">
        <w:rPr>
          <w:rFonts w:asciiTheme="majorBidi" w:hAnsiTheme="majorBidi" w:cstheme="majorBidi"/>
        </w:rPr>
        <w:t>,</w:t>
      </w:r>
      <w:r w:rsidR="00FA6913">
        <w:rPr>
          <w:rFonts w:asciiTheme="majorBidi" w:hAnsiTheme="majorBidi" w:cstheme="majorBidi"/>
        </w:rPr>
        <w:t xml:space="preserve"> </w:t>
      </w:r>
      <w:r w:rsidR="003A4AF6">
        <w:rPr>
          <w:rFonts w:asciiTheme="majorBidi" w:hAnsiTheme="majorBidi" w:cstheme="majorBidi"/>
        </w:rPr>
        <w:t>c</w:t>
      </w:r>
      <w:r w:rsidR="00374912" w:rsidRPr="009B47F6">
        <w:rPr>
          <w:rFonts w:asciiTheme="majorBidi" w:hAnsiTheme="majorBidi" w:cstheme="majorBidi"/>
        </w:rPr>
        <w:t>entrifuge</w:t>
      </w:r>
      <w:r w:rsidR="003A4AF6">
        <w:rPr>
          <w:rFonts w:asciiTheme="majorBidi" w:hAnsiTheme="majorBidi" w:cstheme="majorBidi"/>
        </w:rPr>
        <w:t>d,</w:t>
      </w:r>
      <w:r w:rsidR="00374912" w:rsidRPr="009B47F6">
        <w:rPr>
          <w:rFonts w:asciiTheme="majorBidi" w:hAnsiTheme="majorBidi" w:cstheme="majorBidi"/>
        </w:rPr>
        <w:t xml:space="preserve"> homogenized</w:t>
      </w:r>
      <w:r w:rsidR="003A4AF6">
        <w:rPr>
          <w:rFonts w:asciiTheme="majorBidi" w:hAnsiTheme="majorBidi" w:cstheme="majorBidi"/>
        </w:rPr>
        <w:t xml:space="preserve">, extracted and analyzed by </w:t>
      </w:r>
      <w:r w:rsidR="00374912" w:rsidRPr="009B47F6">
        <w:rPr>
          <w:rFonts w:asciiTheme="majorBidi" w:hAnsiTheme="majorBidi" w:cstheme="majorBidi"/>
        </w:rPr>
        <w:t>HPLC</w:t>
      </w:r>
      <w:r w:rsidR="003A4AF6">
        <w:rPr>
          <w:rFonts w:asciiTheme="majorBidi" w:hAnsiTheme="majorBidi" w:cstheme="majorBidi"/>
        </w:rPr>
        <w:t xml:space="preserve"> to estimate the concentration </w:t>
      </w:r>
      <w:r w:rsidR="00F67B1E">
        <w:rPr>
          <w:rFonts w:asciiTheme="majorBidi" w:hAnsiTheme="majorBidi" w:cstheme="majorBidi"/>
        </w:rPr>
        <w:t xml:space="preserve">levels </w:t>
      </w:r>
      <w:r w:rsidR="003A4AF6">
        <w:rPr>
          <w:rFonts w:asciiTheme="majorBidi" w:hAnsiTheme="majorBidi" w:cstheme="majorBidi"/>
        </w:rPr>
        <w:t xml:space="preserve">of </w:t>
      </w:r>
      <w:r w:rsidR="00F67B1E">
        <w:rPr>
          <w:rFonts w:asciiTheme="majorBidi" w:hAnsiTheme="majorBidi" w:cstheme="majorBidi"/>
        </w:rPr>
        <w:t>c</w:t>
      </w:r>
      <w:r w:rsidR="00F67B1E" w:rsidRPr="000B017B">
        <w:rPr>
          <w:rFonts w:asciiTheme="majorBidi" w:hAnsiTheme="majorBidi" w:cstheme="majorBidi"/>
        </w:rPr>
        <w:t>iprofloxacin</w:t>
      </w:r>
      <w:r w:rsidR="00F67B1E">
        <w:rPr>
          <w:rFonts w:asciiTheme="majorBidi" w:hAnsiTheme="majorBidi" w:cstheme="majorBidi"/>
        </w:rPr>
        <w:t xml:space="preserve"> and </w:t>
      </w:r>
      <w:r w:rsidR="00E130A3" w:rsidRPr="009B47F6">
        <w:rPr>
          <w:rFonts w:asciiTheme="majorBidi" w:hAnsiTheme="majorBidi" w:cstheme="majorBidi"/>
        </w:rPr>
        <w:t xml:space="preserve">17β-Estradiol </w:t>
      </w:r>
      <w:r w:rsidR="00F67B1E">
        <w:rPr>
          <w:rFonts w:asciiTheme="majorBidi" w:hAnsiTheme="majorBidi" w:cstheme="majorBidi"/>
        </w:rPr>
        <w:t>residues</w:t>
      </w:r>
      <w:r w:rsidR="00374912" w:rsidRPr="009B47F6">
        <w:rPr>
          <w:rFonts w:asciiTheme="majorBidi" w:hAnsiTheme="majorBidi" w:cstheme="majorBidi"/>
        </w:rPr>
        <w:t xml:space="preserve">. Spectrophotometer used </w:t>
      </w:r>
      <w:r w:rsidR="00F67B1E">
        <w:rPr>
          <w:rFonts w:asciiTheme="majorBidi" w:hAnsiTheme="majorBidi" w:cstheme="majorBidi"/>
        </w:rPr>
        <w:t>to</w:t>
      </w:r>
      <w:r w:rsidR="00F67B1E" w:rsidRPr="009B47F6">
        <w:rPr>
          <w:rFonts w:asciiTheme="majorBidi" w:hAnsiTheme="majorBidi" w:cstheme="majorBidi"/>
        </w:rPr>
        <w:t xml:space="preserve"> </w:t>
      </w:r>
      <w:r w:rsidR="00374912" w:rsidRPr="009B47F6">
        <w:rPr>
          <w:rFonts w:asciiTheme="majorBidi" w:hAnsiTheme="majorBidi" w:cstheme="majorBidi"/>
        </w:rPr>
        <w:t xml:space="preserve">detection of sulfonamide residues. </w:t>
      </w:r>
      <w:r w:rsidR="00F67B1E">
        <w:rPr>
          <w:rFonts w:asciiTheme="majorBidi" w:hAnsiTheme="majorBidi" w:cstheme="majorBidi"/>
        </w:rPr>
        <w:t xml:space="preserve">The </w:t>
      </w:r>
      <w:r w:rsidR="00F67B1E">
        <w:t>m</w:t>
      </w:r>
      <w:r w:rsidR="00374912" w:rsidRPr="00BB3EDE">
        <w:t xml:space="preserve">ean concentrations ciprofloxacin values for </w:t>
      </w:r>
      <w:r w:rsidR="00BA05E3">
        <w:t>Egyptian and Bahrainis</w:t>
      </w:r>
      <w:r w:rsidR="00374912" w:rsidRPr="00BB3EDE">
        <w:t xml:space="preserve"> chicken meat were; 0.33</w:t>
      </w:r>
      <w:r w:rsidR="00374912">
        <w:t>9</w:t>
      </w:r>
      <w:r w:rsidR="00374912" w:rsidRPr="00BB3EDE">
        <w:t xml:space="preserve"> ± 0.026 and 0.126 ± 0.031 µg/g respectively.</w:t>
      </w:r>
      <w:r w:rsidR="00E130A3">
        <w:t xml:space="preserve"> While,</w:t>
      </w:r>
      <w:r w:rsidR="00F67B1E">
        <w:t xml:space="preserve"> </w:t>
      </w:r>
      <w:r w:rsidR="00E130A3">
        <w:t>t</w:t>
      </w:r>
      <w:r w:rsidR="00374912" w:rsidRPr="00BB3EDE">
        <w:t xml:space="preserve">he mean concentrations ciprofloxacin values for </w:t>
      </w:r>
      <w:r w:rsidR="00851955">
        <w:t>Egyptian and Bahrainis</w:t>
      </w:r>
      <w:r w:rsidR="00F67B1E">
        <w:t xml:space="preserve"> </w:t>
      </w:r>
      <w:r w:rsidR="00374912" w:rsidRPr="00BB3EDE">
        <w:t xml:space="preserve">chicken </w:t>
      </w:r>
      <w:r w:rsidR="00E130A3">
        <w:t>offal</w:t>
      </w:r>
      <w:r w:rsidR="00374912" w:rsidRPr="00BB3EDE">
        <w:t xml:space="preserve"> were; 0.65 ± 0.075 and 0.545 ± 0.045 µg/g respectively. </w:t>
      </w:r>
      <w:r w:rsidR="00E130A3">
        <w:t>T</w:t>
      </w:r>
      <w:r w:rsidR="00374912" w:rsidRPr="00BB3EDE">
        <w:t>he mean concentrations Sulfadiazine values were; 0.020 ± 0.003 and 0.006 ± 0.002 µg/g respectively</w:t>
      </w:r>
      <w:r w:rsidR="00851955">
        <w:t xml:space="preserve"> while,</w:t>
      </w:r>
      <w:r w:rsidR="00F67B1E">
        <w:t xml:space="preserve"> </w:t>
      </w:r>
      <w:r w:rsidR="00851955">
        <w:t xml:space="preserve">in </w:t>
      </w:r>
      <w:r w:rsidR="00374912" w:rsidRPr="00BB3EDE">
        <w:t>chicken offal were 0.045 ± 0.020 and 0.025 ± 0.015 µg/g respectively.</w:t>
      </w:r>
      <w:r w:rsidR="00E130A3">
        <w:t xml:space="preserve"> Th</w:t>
      </w:r>
      <w:r w:rsidR="00374912" w:rsidRPr="00BB3EDE">
        <w:t xml:space="preserve">e mean concentrations 17β-Estradiol values for chicken meat were; 1.626 ± 0.076 and 1.593 ± 0.069 µg/g respectively. </w:t>
      </w:r>
      <w:r w:rsidR="00E130A3">
        <w:t xml:space="preserve">While, </w:t>
      </w:r>
      <w:r w:rsidR="00851955">
        <w:t>in</w:t>
      </w:r>
      <w:r w:rsidR="00374912" w:rsidRPr="00BB3EDE">
        <w:t xml:space="preserve"> chicken offal were 2.60 ± 0.089 and 2.95 ± 0.075 µg/g respectively. </w:t>
      </w:r>
      <w:r w:rsidR="00851955">
        <w:t>R</w:t>
      </w:r>
      <w:r w:rsidR="00374912" w:rsidRPr="0002662E">
        <w:t xml:space="preserve">esults of this study observed that the </w:t>
      </w:r>
      <w:r w:rsidR="00851955">
        <w:t>Egyptian</w:t>
      </w:r>
      <w:r w:rsidR="00374912" w:rsidRPr="0002662E">
        <w:t xml:space="preserve"> chicken meat </w:t>
      </w:r>
      <w:r w:rsidR="00F67B1E">
        <w:t xml:space="preserve">under </w:t>
      </w:r>
      <w:r w:rsidR="00107C46">
        <w:t>investigation</w:t>
      </w:r>
      <w:r w:rsidR="00F67B1E">
        <w:t xml:space="preserve"> contained</w:t>
      </w:r>
      <w:r w:rsidR="00107C46">
        <w:t xml:space="preserve"> </w:t>
      </w:r>
      <w:r w:rsidR="00374912" w:rsidRPr="0002662E">
        <w:t xml:space="preserve">several </w:t>
      </w:r>
      <w:r w:rsidR="00F67B1E">
        <w:t xml:space="preserve">chemical </w:t>
      </w:r>
      <w:r w:rsidR="00374912" w:rsidRPr="0002662E">
        <w:t xml:space="preserve">residues than </w:t>
      </w:r>
      <w:r w:rsidR="00851955">
        <w:t>Bahrain</w:t>
      </w:r>
      <w:r w:rsidR="00F67B1E">
        <w:t xml:space="preserve"> </w:t>
      </w:r>
      <w:r w:rsidR="00374912" w:rsidRPr="0002662E">
        <w:t>samples</w:t>
      </w:r>
      <w:r w:rsidR="00F67B1E">
        <w:t xml:space="preserve"> which may represent a sever public health hazards for consumers if increase their daily intake level of chicken meat</w:t>
      </w:r>
      <w:r w:rsidR="00374912" w:rsidRPr="0002662E">
        <w:t>. In addition to</w:t>
      </w:r>
      <w:r w:rsidR="00F67B1E">
        <w:t>,</w:t>
      </w:r>
      <w:r w:rsidR="00374912" w:rsidRPr="0002662E">
        <w:t xml:space="preserve"> </w:t>
      </w:r>
      <w:r w:rsidR="00F67B1E">
        <w:t xml:space="preserve"> such chemical residues </w:t>
      </w:r>
      <w:r w:rsidR="00374912" w:rsidRPr="0002662E">
        <w:t xml:space="preserve">were more </w:t>
      </w:r>
      <w:r w:rsidR="00F67B1E">
        <w:t>concentrated</w:t>
      </w:r>
      <w:r w:rsidR="00F67B1E" w:rsidRPr="0002662E">
        <w:t xml:space="preserve"> </w:t>
      </w:r>
      <w:r w:rsidR="00374912" w:rsidRPr="0002662E">
        <w:t xml:space="preserve">in </w:t>
      </w:r>
      <w:r w:rsidR="00F67B1E">
        <w:t xml:space="preserve">the </w:t>
      </w:r>
      <w:r w:rsidR="00374912" w:rsidRPr="0002662E">
        <w:t>chicken offal than chicken meat.</w:t>
      </w:r>
      <w:r w:rsidR="00F67B1E">
        <w:t xml:space="preserve"> More attention from the concerned authority must be considered in controlling </w:t>
      </w:r>
      <w:r w:rsidR="00F67B1E">
        <w:rPr>
          <w:rFonts w:asciiTheme="majorBidi" w:hAnsiTheme="majorBidi" w:cstheme="majorBidi"/>
        </w:rPr>
        <w:t>a</w:t>
      </w:r>
      <w:r w:rsidR="00F67B1E" w:rsidRPr="00380A8A">
        <w:rPr>
          <w:rFonts w:asciiTheme="majorBidi" w:hAnsiTheme="majorBidi" w:cstheme="majorBidi"/>
        </w:rPr>
        <w:t>ntibiotics and hormone-like anabolic agents</w:t>
      </w:r>
      <w:r w:rsidR="00F67B1E">
        <w:t xml:space="preserve"> at chicken farms.</w:t>
      </w:r>
    </w:p>
    <w:p w:rsidR="00754ACB" w:rsidRPr="00C82585" w:rsidRDefault="00E130A3" w:rsidP="00C82585">
      <w:pPr>
        <w:spacing w:before="240" w:after="240" w:line="360" w:lineRule="auto"/>
      </w:pPr>
      <w:r w:rsidRPr="00141F8F">
        <w:rPr>
          <w:rFonts w:asciiTheme="majorBidi" w:hAnsiTheme="majorBidi" w:cstheme="majorBidi"/>
          <w:b/>
        </w:rPr>
        <w:t xml:space="preserve">Key Words: </w:t>
      </w:r>
      <w:r w:rsidRPr="0002662E">
        <w:t>ciprofloxacin</w:t>
      </w:r>
      <w:r>
        <w:t>,</w:t>
      </w:r>
      <w:r w:rsidRPr="0002662E">
        <w:t xml:space="preserve"> sulfadiazine</w:t>
      </w:r>
      <w:r>
        <w:t xml:space="preserve">, </w:t>
      </w:r>
      <w:r w:rsidRPr="0002662E">
        <w:t>17β-Estradiol</w:t>
      </w:r>
      <w:r>
        <w:t xml:space="preserve">, </w:t>
      </w:r>
      <w:r w:rsidR="00B83D98">
        <w:t>local, imported, residues.</w:t>
      </w:r>
    </w:p>
    <w:p w:rsidR="001E7CCA" w:rsidRPr="009B47F6" w:rsidRDefault="002954C7" w:rsidP="002954C7">
      <w:pPr>
        <w:pStyle w:val="a3"/>
        <w:spacing w:line="360" w:lineRule="auto"/>
        <w:ind w:left="0"/>
        <w:rPr>
          <w:rFonts w:asciiTheme="majorBidi" w:hAnsiTheme="majorBidi" w:cstheme="majorBidi"/>
          <w:b/>
        </w:rPr>
      </w:pPr>
      <w:r>
        <w:rPr>
          <w:rFonts w:asciiTheme="majorBidi" w:hAnsiTheme="majorBidi" w:cstheme="majorBidi"/>
          <w:b/>
        </w:rPr>
        <w:t xml:space="preserve">1. </w:t>
      </w:r>
      <w:r w:rsidR="001E7CCA" w:rsidRPr="009B47F6">
        <w:rPr>
          <w:rFonts w:asciiTheme="majorBidi" w:hAnsiTheme="majorBidi" w:cstheme="majorBidi"/>
          <w:b/>
        </w:rPr>
        <w:t>Introduction</w:t>
      </w:r>
    </w:p>
    <w:p w:rsidR="00747C4B" w:rsidRDefault="00380A8A" w:rsidP="00754ACB">
      <w:pPr>
        <w:ind w:firstLine="720"/>
        <w:jc w:val="both"/>
        <w:rPr>
          <w:rFonts w:asciiTheme="majorBidi" w:hAnsiTheme="majorBidi" w:cstheme="majorBidi"/>
        </w:rPr>
      </w:pPr>
      <w:r>
        <w:rPr>
          <w:rFonts w:asciiTheme="majorBidi" w:hAnsiTheme="majorBidi" w:cstheme="majorBidi"/>
        </w:rPr>
        <w:t>T</w:t>
      </w:r>
      <w:r w:rsidRPr="00747C4B">
        <w:rPr>
          <w:rFonts w:asciiTheme="majorBidi" w:hAnsiTheme="majorBidi" w:cstheme="majorBidi"/>
        </w:rPr>
        <w:t xml:space="preserve">he first consumer right is to consume a meat of good quality and does not constitute any health hazards. To completely explore trials to control of some chemical and biological hazards in </w:t>
      </w:r>
      <w:r w:rsidR="00754ACB">
        <w:rPr>
          <w:rFonts w:asciiTheme="majorBidi" w:hAnsiTheme="majorBidi" w:cstheme="majorBidi"/>
        </w:rPr>
        <w:t>chicken</w:t>
      </w:r>
      <w:r w:rsidR="00754ACB" w:rsidRPr="00747C4B">
        <w:rPr>
          <w:rFonts w:asciiTheme="majorBidi" w:hAnsiTheme="majorBidi" w:cstheme="majorBidi"/>
        </w:rPr>
        <w:t xml:space="preserve"> </w:t>
      </w:r>
      <w:r w:rsidRPr="00747C4B">
        <w:rPr>
          <w:rFonts w:asciiTheme="majorBidi" w:hAnsiTheme="majorBidi" w:cstheme="majorBidi"/>
        </w:rPr>
        <w:t xml:space="preserve">meat, a variability of </w:t>
      </w:r>
      <w:r w:rsidR="00754ACB">
        <w:rPr>
          <w:rFonts w:asciiTheme="majorBidi" w:hAnsiTheme="majorBidi" w:cstheme="majorBidi"/>
        </w:rPr>
        <w:t xml:space="preserve">food </w:t>
      </w:r>
      <w:r w:rsidRPr="00747C4B">
        <w:rPr>
          <w:rFonts w:asciiTheme="majorBidi" w:hAnsiTheme="majorBidi" w:cstheme="majorBidi"/>
        </w:rPr>
        <w:t xml:space="preserve">bacteriological and chemical analyses </w:t>
      </w:r>
      <w:r w:rsidR="00C82585">
        <w:rPr>
          <w:rFonts w:asciiTheme="majorBidi" w:hAnsiTheme="majorBidi" w:cstheme="majorBidi"/>
        </w:rPr>
        <w:t>is</w:t>
      </w:r>
      <w:r w:rsidR="00754ACB" w:rsidRPr="00747C4B">
        <w:rPr>
          <w:rFonts w:asciiTheme="majorBidi" w:hAnsiTheme="majorBidi" w:cstheme="majorBidi"/>
        </w:rPr>
        <w:t xml:space="preserve"> </w:t>
      </w:r>
      <w:r w:rsidRPr="00747C4B">
        <w:rPr>
          <w:rFonts w:asciiTheme="majorBidi" w:hAnsiTheme="majorBidi" w:cstheme="majorBidi"/>
        </w:rPr>
        <w:t xml:space="preserve">necessary. </w:t>
      </w:r>
      <w:r w:rsidR="00747C4B" w:rsidRPr="00747C4B">
        <w:rPr>
          <w:rFonts w:asciiTheme="majorBidi" w:hAnsiTheme="majorBidi" w:cstheme="majorBidi"/>
        </w:rPr>
        <w:t xml:space="preserve">Chicken meat can be contaminated by </w:t>
      </w:r>
      <w:r w:rsidR="00754ACB">
        <w:rPr>
          <w:rFonts w:asciiTheme="majorBidi" w:hAnsiTheme="majorBidi" w:cstheme="majorBidi"/>
        </w:rPr>
        <w:t xml:space="preserve">different </w:t>
      </w:r>
      <w:r w:rsidR="00747C4B" w:rsidRPr="00747C4B">
        <w:rPr>
          <w:rFonts w:asciiTheme="majorBidi" w:hAnsiTheme="majorBidi" w:cstheme="majorBidi"/>
        </w:rPr>
        <w:t>biological, chemical or physical hazards</w:t>
      </w:r>
      <w:r w:rsidR="00754ACB">
        <w:rPr>
          <w:rFonts w:asciiTheme="majorBidi" w:hAnsiTheme="majorBidi" w:cstheme="majorBidi"/>
        </w:rPr>
        <w:t xml:space="preserve"> during farming and final processing, c</w:t>
      </w:r>
      <w:r w:rsidR="00754ACB" w:rsidRPr="00747C4B">
        <w:rPr>
          <w:rFonts w:asciiTheme="majorBidi" w:hAnsiTheme="majorBidi" w:cstheme="majorBidi"/>
        </w:rPr>
        <w:t xml:space="preserve">hemical </w:t>
      </w:r>
      <w:r w:rsidR="00747C4B" w:rsidRPr="00747C4B">
        <w:rPr>
          <w:rFonts w:asciiTheme="majorBidi" w:hAnsiTheme="majorBidi" w:cstheme="majorBidi"/>
        </w:rPr>
        <w:t xml:space="preserve">residues </w:t>
      </w:r>
      <w:r w:rsidR="00754ACB">
        <w:rPr>
          <w:rFonts w:asciiTheme="majorBidi" w:hAnsiTheme="majorBidi" w:cstheme="majorBidi"/>
        </w:rPr>
        <w:t xml:space="preserve">as </w:t>
      </w:r>
      <w:r w:rsidR="00747C4B" w:rsidRPr="00747C4B">
        <w:rPr>
          <w:rFonts w:asciiTheme="majorBidi" w:hAnsiTheme="majorBidi" w:cstheme="majorBidi"/>
        </w:rPr>
        <w:t>antibiotics and veterinary medications, insecticides and growth promoters</w:t>
      </w:r>
      <w:r w:rsidR="00754ACB">
        <w:rPr>
          <w:rFonts w:asciiTheme="majorBidi" w:hAnsiTheme="majorBidi" w:cstheme="majorBidi"/>
        </w:rPr>
        <w:t xml:space="preserve"> are an </w:t>
      </w:r>
      <w:r w:rsidR="00C82585">
        <w:rPr>
          <w:rFonts w:asciiTheme="majorBidi" w:hAnsiTheme="majorBidi" w:cstheme="majorBidi"/>
        </w:rPr>
        <w:t>example</w:t>
      </w:r>
      <w:r w:rsidR="00754ACB">
        <w:rPr>
          <w:rFonts w:asciiTheme="majorBidi" w:hAnsiTheme="majorBidi" w:cstheme="majorBidi"/>
        </w:rPr>
        <w:t xml:space="preserve"> for important chicken meat residues</w:t>
      </w:r>
      <w:r w:rsidR="00C82585">
        <w:rPr>
          <w:rFonts w:asciiTheme="majorBidi" w:hAnsiTheme="majorBidi" w:cstheme="majorBidi"/>
        </w:rPr>
        <w:t xml:space="preserve"> </w:t>
      </w:r>
      <w:r w:rsidR="00747C4B" w:rsidRPr="00B07CE6">
        <w:rPr>
          <w:rFonts w:asciiTheme="majorBidi" w:hAnsiTheme="majorBidi" w:cstheme="majorBidi"/>
          <w:b/>
          <w:bCs/>
        </w:rPr>
        <w:t xml:space="preserve">(Ahmed </w:t>
      </w:r>
      <w:r w:rsidR="00B07CE6">
        <w:rPr>
          <w:rFonts w:asciiTheme="majorBidi" w:hAnsiTheme="majorBidi" w:cstheme="majorBidi"/>
          <w:b/>
          <w:bCs/>
        </w:rPr>
        <w:t>&amp;</w:t>
      </w:r>
      <w:r w:rsidR="00747C4B" w:rsidRPr="00B07CE6">
        <w:rPr>
          <w:rFonts w:asciiTheme="majorBidi" w:hAnsiTheme="majorBidi" w:cstheme="majorBidi"/>
          <w:b/>
          <w:bCs/>
        </w:rPr>
        <w:t xml:space="preserve"> Shimamoto, 2014)</w:t>
      </w:r>
      <w:r w:rsidR="00747C4B" w:rsidRPr="00747C4B">
        <w:rPr>
          <w:rFonts w:asciiTheme="majorBidi" w:hAnsiTheme="majorBidi" w:cstheme="majorBidi"/>
        </w:rPr>
        <w:t xml:space="preserve">.  </w:t>
      </w:r>
    </w:p>
    <w:p w:rsidR="00747C4B" w:rsidRDefault="00544C3F" w:rsidP="00B07CE6">
      <w:pPr>
        <w:ind w:firstLine="720"/>
        <w:jc w:val="both"/>
        <w:rPr>
          <w:rFonts w:asciiTheme="majorBidi" w:hAnsiTheme="majorBidi" w:cstheme="majorBidi"/>
        </w:rPr>
      </w:pPr>
      <w:r>
        <w:rPr>
          <w:rFonts w:asciiTheme="majorBidi" w:hAnsiTheme="majorBidi" w:cstheme="majorBidi"/>
        </w:rPr>
        <w:t>I</w:t>
      </w:r>
      <w:r w:rsidRPr="00380A8A">
        <w:rPr>
          <w:rFonts w:asciiTheme="majorBidi" w:hAnsiTheme="majorBidi" w:cstheme="majorBidi"/>
        </w:rPr>
        <w:t xml:space="preserve">n order to intensify the production of </w:t>
      </w:r>
      <w:r>
        <w:rPr>
          <w:rFonts w:asciiTheme="majorBidi" w:hAnsiTheme="majorBidi" w:cstheme="majorBidi"/>
        </w:rPr>
        <w:t>chicken farms</w:t>
      </w:r>
      <w:r w:rsidRPr="00380A8A">
        <w:rPr>
          <w:rFonts w:asciiTheme="majorBidi" w:hAnsiTheme="majorBidi" w:cstheme="majorBidi"/>
        </w:rPr>
        <w:t>. Antibiotics, chemotherapeutics, ionophores, hormones and hormone-like anabolic agents were used for this purpose</w:t>
      </w:r>
      <w:r>
        <w:rPr>
          <w:rFonts w:asciiTheme="majorBidi" w:hAnsiTheme="majorBidi" w:cstheme="majorBidi"/>
        </w:rPr>
        <w:t>.</w:t>
      </w:r>
      <w:r w:rsidR="00754ACB">
        <w:rPr>
          <w:rFonts w:asciiTheme="majorBidi" w:hAnsiTheme="majorBidi" w:cstheme="majorBidi"/>
        </w:rPr>
        <w:t xml:space="preserve"> </w:t>
      </w:r>
      <w:r w:rsidR="00747C4B" w:rsidRPr="00747C4B">
        <w:rPr>
          <w:rFonts w:asciiTheme="majorBidi" w:hAnsiTheme="majorBidi" w:cstheme="majorBidi"/>
        </w:rPr>
        <w:t xml:space="preserve">Poultry growers use disease preventive medications, growth promoter and antimicrobials for quicker development of </w:t>
      </w:r>
      <w:r w:rsidR="00747C4B" w:rsidRPr="00747C4B">
        <w:rPr>
          <w:rFonts w:asciiTheme="majorBidi" w:hAnsiTheme="majorBidi" w:cstheme="majorBidi"/>
        </w:rPr>
        <w:lastRenderedPageBreak/>
        <w:t xml:space="preserve">chickens in the shortest probable </w:t>
      </w:r>
      <w:r w:rsidR="00572272" w:rsidRPr="00747C4B">
        <w:rPr>
          <w:rFonts w:asciiTheme="majorBidi" w:hAnsiTheme="majorBidi" w:cstheme="majorBidi"/>
        </w:rPr>
        <w:t>period</w:t>
      </w:r>
      <w:r w:rsidR="00747C4B" w:rsidRPr="00747C4B">
        <w:rPr>
          <w:rFonts w:asciiTheme="majorBidi" w:hAnsiTheme="majorBidi" w:cstheme="majorBidi"/>
        </w:rPr>
        <w:t xml:space="preserve"> to enhance the rate of feed conversion and to minimize the occurrence of deaths caused by a pathogen attack.</w:t>
      </w:r>
      <w:r w:rsidR="00754ACB">
        <w:rPr>
          <w:rFonts w:asciiTheme="majorBidi" w:hAnsiTheme="majorBidi" w:cstheme="majorBidi"/>
        </w:rPr>
        <w:t xml:space="preserve"> </w:t>
      </w:r>
      <w:r w:rsidR="00747C4B" w:rsidRPr="00747C4B">
        <w:rPr>
          <w:rFonts w:asciiTheme="majorBidi" w:hAnsiTheme="majorBidi" w:cstheme="majorBidi"/>
        </w:rPr>
        <w:t xml:space="preserve">Antibiotics are consumed by the poultry farmers and poultry veterinarians to enhance growth, feed conversion and reduce disease. While these uses benefit the farmers and the veterinarians, unlikely, consumer awareness are that edible tissues are polluted with harmful concentrations of antibiotic residues in the comestible tissues and by-products of the treated birds </w:t>
      </w:r>
      <w:r w:rsidR="00747C4B" w:rsidRPr="00B07CE6">
        <w:rPr>
          <w:rFonts w:asciiTheme="majorBidi" w:hAnsiTheme="majorBidi" w:cstheme="majorBidi"/>
          <w:b/>
          <w:bCs/>
        </w:rPr>
        <w:t>(</w:t>
      </w:r>
      <w:r w:rsidR="00C77ACE" w:rsidRPr="00527285">
        <w:rPr>
          <w:rFonts w:asciiTheme="majorBidi" w:hAnsiTheme="majorBidi" w:cstheme="majorBidi"/>
          <w:b/>
          <w:bCs/>
        </w:rPr>
        <w:t>Donoghue, 2003</w:t>
      </w:r>
      <w:r w:rsidR="00C77ACE">
        <w:rPr>
          <w:rFonts w:asciiTheme="majorBidi" w:hAnsiTheme="majorBidi" w:cstheme="majorBidi"/>
          <w:b/>
          <w:bCs/>
        </w:rPr>
        <w:t xml:space="preserve"> and </w:t>
      </w:r>
      <w:r w:rsidR="00B07CE6" w:rsidRPr="00B07CE6">
        <w:rPr>
          <w:rFonts w:asciiTheme="majorBidi" w:hAnsiTheme="majorBidi" w:cstheme="majorBidi"/>
          <w:b/>
          <w:bCs/>
        </w:rPr>
        <w:t>Ibrahim, 2009</w:t>
      </w:r>
      <w:r w:rsidR="00747C4B" w:rsidRPr="00B07CE6">
        <w:rPr>
          <w:rFonts w:asciiTheme="majorBidi" w:hAnsiTheme="majorBidi" w:cstheme="majorBidi"/>
          <w:b/>
          <w:bCs/>
        </w:rPr>
        <w:t>)</w:t>
      </w:r>
      <w:r w:rsidR="00747C4B" w:rsidRPr="00747C4B">
        <w:rPr>
          <w:rFonts w:asciiTheme="majorBidi" w:hAnsiTheme="majorBidi" w:cstheme="majorBidi"/>
        </w:rPr>
        <w:t>.</w:t>
      </w:r>
    </w:p>
    <w:p w:rsidR="001E7CCA" w:rsidRDefault="001E7CCA" w:rsidP="001E7CCA">
      <w:pPr>
        <w:ind w:firstLine="720"/>
        <w:jc w:val="both"/>
        <w:rPr>
          <w:rFonts w:asciiTheme="majorBidi" w:hAnsiTheme="majorBidi" w:cstheme="majorBidi"/>
        </w:rPr>
      </w:pPr>
      <w:r w:rsidRPr="000B017B">
        <w:rPr>
          <w:rFonts w:asciiTheme="majorBidi" w:hAnsiTheme="majorBidi" w:cstheme="majorBidi"/>
        </w:rPr>
        <w:t xml:space="preserve">The usage of antimicrobial agents during the food series assigned to the development of resistant bacteria that could be passed directly to human being. The occurrence and transmission of resistant bacterial strains from poultry meat and its products to individuals put humans at danger for the strains of bacteria that resist antibiotic treatment </w:t>
      </w:r>
      <w:r w:rsidRPr="00527285">
        <w:rPr>
          <w:rFonts w:asciiTheme="majorBidi" w:hAnsiTheme="majorBidi" w:cstheme="majorBidi"/>
          <w:b/>
          <w:bCs/>
        </w:rPr>
        <w:t>(</w:t>
      </w:r>
      <w:proofErr w:type="spellStart"/>
      <w:r w:rsidRPr="00527285">
        <w:rPr>
          <w:rFonts w:asciiTheme="majorBidi" w:hAnsiTheme="majorBidi" w:cstheme="majorBidi"/>
          <w:b/>
          <w:bCs/>
        </w:rPr>
        <w:t>Apata</w:t>
      </w:r>
      <w:proofErr w:type="spellEnd"/>
      <w:r w:rsidRPr="00527285">
        <w:rPr>
          <w:rFonts w:asciiTheme="majorBidi" w:hAnsiTheme="majorBidi" w:cstheme="majorBidi"/>
          <w:b/>
          <w:bCs/>
        </w:rPr>
        <w:t>, 2009)</w:t>
      </w:r>
      <w:r w:rsidRPr="000B017B">
        <w:rPr>
          <w:rFonts w:asciiTheme="majorBidi" w:hAnsiTheme="majorBidi" w:cstheme="majorBidi"/>
        </w:rPr>
        <w:t>.</w:t>
      </w:r>
    </w:p>
    <w:p w:rsidR="009C4C60" w:rsidRDefault="00380A8A" w:rsidP="009C4C60">
      <w:pPr>
        <w:ind w:firstLine="720"/>
        <w:jc w:val="both"/>
        <w:rPr>
          <w:rFonts w:asciiTheme="majorBidi" w:hAnsiTheme="majorBidi" w:cstheme="majorBidi"/>
        </w:rPr>
      </w:pPr>
      <w:r>
        <w:rPr>
          <w:rFonts w:asciiTheme="majorBidi" w:hAnsiTheme="majorBidi" w:cstheme="majorBidi"/>
        </w:rPr>
        <w:t>H</w:t>
      </w:r>
      <w:r w:rsidRPr="00380A8A">
        <w:rPr>
          <w:rFonts w:asciiTheme="majorBidi" w:hAnsiTheme="majorBidi" w:cstheme="majorBidi"/>
        </w:rPr>
        <w:t>ormones play a tremendously important role in upholding the normal living functions of the body. This hormone balance is essential to attain maturation, sexual development, regeneration, and the replacement of many physiological functions. Any disturbance of hormone balance can result in malfunctioning of many organs or disorders that affect the whole body. The consumption of meat and meat products resulting from hormone-applied animals can outcome in consumers to be exposed to various levels of hormone residues. There is a worry that hormones, which are very important for the human body, can be a reason of many health hazards if they are consumed, even in little quantities found in foods of animal origin. The quantity of exposure to hormone residues differs individually depending on the consumer's eating habits</w:t>
      </w:r>
      <w:r w:rsidR="00754ACB">
        <w:rPr>
          <w:rFonts w:asciiTheme="majorBidi" w:hAnsiTheme="majorBidi" w:cstheme="majorBidi"/>
          <w:b/>
          <w:bCs/>
        </w:rPr>
        <w:t xml:space="preserve"> </w:t>
      </w:r>
      <w:r w:rsidR="00D237BB" w:rsidRPr="00D237BB">
        <w:rPr>
          <w:rFonts w:asciiTheme="majorBidi" w:hAnsiTheme="majorBidi" w:cstheme="majorBidi"/>
          <w:b/>
          <w:bCs/>
        </w:rPr>
        <w:t>(</w:t>
      </w:r>
      <w:proofErr w:type="spellStart"/>
      <w:r w:rsidR="000C75C4" w:rsidRPr="000C75C4">
        <w:rPr>
          <w:rFonts w:eastAsia="Calibri"/>
          <w:b/>
          <w:bCs/>
          <w:color w:val="222222"/>
          <w:shd w:val="clear" w:color="auto" w:fill="FFFFFF"/>
        </w:rPr>
        <w:t>Getabalew</w:t>
      </w:r>
      <w:proofErr w:type="spellEnd"/>
      <w:r w:rsidR="00754ACB">
        <w:rPr>
          <w:rFonts w:eastAsia="Calibri"/>
          <w:b/>
          <w:bCs/>
          <w:color w:val="222222"/>
          <w:shd w:val="clear" w:color="auto" w:fill="FFFFFF"/>
        </w:rPr>
        <w:t xml:space="preserve"> </w:t>
      </w:r>
      <w:r w:rsidR="00D237BB" w:rsidRPr="00D237BB">
        <w:rPr>
          <w:rFonts w:asciiTheme="majorBidi" w:hAnsiTheme="majorBidi" w:cstheme="majorBidi"/>
          <w:b/>
          <w:bCs/>
          <w:i/>
          <w:iCs/>
        </w:rPr>
        <w:t>et. al.</w:t>
      </w:r>
      <w:r w:rsidR="00D237BB" w:rsidRPr="00D237BB">
        <w:rPr>
          <w:rFonts w:asciiTheme="majorBidi" w:hAnsiTheme="majorBidi" w:cstheme="majorBidi"/>
          <w:b/>
          <w:bCs/>
        </w:rPr>
        <w:t xml:space="preserve"> 20</w:t>
      </w:r>
      <w:r w:rsidR="000C75C4">
        <w:rPr>
          <w:rFonts w:asciiTheme="majorBidi" w:hAnsiTheme="majorBidi" w:cstheme="majorBidi"/>
          <w:b/>
          <w:bCs/>
        </w:rPr>
        <w:t>20</w:t>
      </w:r>
      <w:r w:rsidR="00D237BB" w:rsidRPr="00D237BB">
        <w:rPr>
          <w:rFonts w:asciiTheme="majorBidi" w:hAnsiTheme="majorBidi" w:cstheme="majorBidi"/>
          <w:b/>
          <w:bCs/>
        </w:rPr>
        <w:t>)</w:t>
      </w:r>
      <w:r w:rsidR="00D237BB">
        <w:rPr>
          <w:rFonts w:asciiTheme="majorBidi" w:hAnsiTheme="majorBidi" w:cstheme="majorBidi"/>
        </w:rPr>
        <w:t>.</w:t>
      </w:r>
    </w:p>
    <w:p w:rsidR="00C82585" w:rsidRDefault="009C4C60" w:rsidP="00C82585">
      <w:pPr>
        <w:ind w:firstLine="720"/>
        <w:jc w:val="both"/>
        <w:rPr>
          <w:rFonts w:asciiTheme="majorBidi" w:hAnsiTheme="majorBidi" w:cstheme="majorBidi"/>
        </w:rPr>
      </w:pPr>
      <w:r w:rsidRPr="00380A8A">
        <w:rPr>
          <w:rFonts w:asciiTheme="majorBidi" w:hAnsiTheme="majorBidi" w:cstheme="majorBidi"/>
        </w:rPr>
        <w:t>17β-Estradiol affects body weight by enhancing secretion of growth hormone, but it results in a great suppression in LH values</w:t>
      </w:r>
      <w:r w:rsidR="00754ACB">
        <w:rPr>
          <w:rFonts w:asciiTheme="majorBidi" w:hAnsiTheme="majorBidi" w:cstheme="majorBidi"/>
          <w:b/>
          <w:bCs/>
        </w:rPr>
        <w:t xml:space="preserve"> </w:t>
      </w:r>
      <w:r w:rsidRPr="009C4C60">
        <w:rPr>
          <w:rFonts w:asciiTheme="majorBidi" w:hAnsiTheme="majorBidi" w:cstheme="majorBidi"/>
          <w:b/>
          <w:bCs/>
        </w:rPr>
        <w:t>(</w:t>
      </w:r>
      <w:proofErr w:type="spellStart"/>
      <w:r w:rsidRPr="009C4C60">
        <w:rPr>
          <w:rFonts w:asciiTheme="majorBidi" w:hAnsiTheme="majorBidi" w:cstheme="majorBidi"/>
          <w:b/>
          <w:bCs/>
        </w:rPr>
        <w:t>Hemmat</w:t>
      </w:r>
      <w:proofErr w:type="spellEnd"/>
      <w:r w:rsidRPr="009C4C60">
        <w:rPr>
          <w:rFonts w:asciiTheme="majorBidi" w:hAnsiTheme="majorBidi" w:cstheme="majorBidi"/>
          <w:b/>
          <w:bCs/>
        </w:rPr>
        <w:t xml:space="preserve"> </w:t>
      </w:r>
      <w:r w:rsidRPr="009C4C60">
        <w:rPr>
          <w:rFonts w:asciiTheme="majorBidi" w:hAnsiTheme="majorBidi" w:cstheme="majorBidi"/>
          <w:b/>
          <w:bCs/>
          <w:i/>
          <w:iCs/>
        </w:rPr>
        <w:t>et. al.</w:t>
      </w:r>
      <w:r w:rsidRPr="009C4C60">
        <w:rPr>
          <w:rFonts w:asciiTheme="majorBidi" w:hAnsiTheme="majorBidi" w:cstheme="majorBidi"/>
          <w:b/>
          <w:bCs/>
        </w:rPr>
        <w:t xml:space="preserve"> 2018)</w:t>
      </w:r>
      <w:r w:rsidRPr="00380A8A">
        <w:rPr>
          <w:rFonts w:asciiTheme="majorBidi" w:hAnsiTheme="majorBidi" w:cstheme="majorBidi"/>
        </w:rPr>
        <w:t xml:space="preserve">. </w:t>
      </w:r>
    </w:p>
    <w:p w:rsidR="00C82585" w:rsidRDefault="008732C1" w:rsidP="00C82585">
      <w:pPr>
        <w:ind w:firstLine="720"/>
        <w:jc w:val="both"/>
        <w:rPr>
          <w:rFonts w:asciiTheme="majorBidi" w:hAnsiTheme="majorBidi" w:cstheme="majorBidi"/>
        </w:rPr>
      </w:pPr>
      <w:r w:rsidRPr="00AF73CC">
        <w:rPr>
          <w:rFonts w:asciiTheme="majorBidi" w:hAnsiTheme="majorBidi" w:cstheme="majorBidi"/>
        </w:rPr>
        <w:t xml:space="preserve">Therefore, the main purpose of the present study was to analyze some chemical hazards in </w:t>
      </w:r>
      <w:proofErr w:type="spellStart"/>
      <w:r w:rsidR="00754ACB">
        <w:rPr>
          <w:rFonts w:asciiTheme="majorBidi" w:hAnsiTheme="majorBidi" w:cstheme="majorBidi"/>
        </w:rPr>
        <w:t>chcicken</w:t>
      </w:r>
      <w:proofErr w:type="spellEnd"/>
      <w:r w:rsidR="00754ACB" w:rsidRPr="00AF73CC">
        <w:rPr>
          <w:rFonts w:asciiTheme="majorBidi" w:hAnsiTheme="majorBidi" w:cstheme="majorBidi"/>
        </w:rPr>
        <w:t xml:space="preserve"> </w:t>
      </w:r>
      <w:r w:rsidRPr="00AF73CC">
        <w:rPr>
          <w:rFonts w:asciiTheme="majorBidi" w:hAnsiTheme="majorBidi" w:cstheme="majorBidi"/>
        </w:rPr>
        <w:t xml:space="preserve">meat and their edible offal </w:t>
      </w:r>
      <w:r w:rsidR="00754ACB">
        <w:rPr>
          <w:rFonts w:asciiTheme="majorBidi" w:hAnsiTheme="majorBidi" w:cstheme="majorBidi"/>
        </w:rPr>
        <w:t xml:space="preserve"> collected from two different Arab countries </w:t>
      </w:r>
      <w:r w:rsidRPr="00AF73CC">
        <w:rPr>
          <w:rFonts w:asciiTheme="majorBidi" w:hAnsiTheme="majorBidi" w:cstheme="majorBidi"/>
        </w:rPr>
        <w:t>to evaluate the potential of control trials on these chemical hazards as follows:</w:t>
      </w:r>
      <w:r w:rsidR="00754ACB">
        <w:rPr>
          <w:rFonts w:asciiTheme="majorBidi" w:hAnsiTheme="majorBidi" w:cstheme="majorBidi"/>
        </w:rPr>
        <w:t xml:space="preserve"> </w:t>
      </w:r>
      <w:r w:rsidR="00AF73CC" w:rsidRPr="00AF73CC">
        <w:rPr>
          <w:rFonts w:asciiTheme="majorBidi" w:hAnsiTheme="majorBidi" w:cstheme="majorBidi"/>
        </w:rPr>
        <w:t>Quantitative assessment of Ciprofloxacin</w:t>
      </w:r>
      <w:r w:rsidR="00754ACB">
        <w:rPr>
          <w:rFonts w:asciiTheme="majorBidi" w:hAnsiTheme="majorBidi" w:cstheme="majorBidi"/>
        </w:rPr>
        <w:t xml:space="preserve"> </w:t>
      </w:r>
      <w:r w:rsidR="00AF73CC">
        <w:rPr>
          <w:rFonts w:asciiTheme="majorBidi" w:hAnsiTheme="majorBidi" w:cstheme="majorBidi"/>
        </w:rPr>
        <w:t>&amp;</w:t>
      </w:r>
      <w:r w:rsidR="00754ACB">
        <w:rPr>
          <w:rFonts w:asciiTheme="majorBidi" w:hAnsiTheme="majorBidi" w:cstheme="majorBidi"/>
        </w:rPr>
        <w:t xml:space="preserve"> </w:t>
      </w:r>
      <w:r w:rsidR="00AF73CC" w:rsidRPr="00AF73CC">
        <w:rPr>
          <w:rFonts w:asciiTheme="majorBidi" w:hAnsiTheme="majorBidi" w:cstheme="majorBidi"/>
        </w:rPr>
        <w:t xml:space="preserve">Sulfates </w:t>
      </w:r>
      <w:r w:rsidRPr="00AF73CC">
        <w:rPr>
          <w:rFonts w:asciiTheme="majorBidi" w:hAnsiTheme="majorBidi" w:cstheme="majorBidi"/>
        </w:rPr>
        <w:t>Antibiotic residues</w:t>
      </w:r>
      <w:r w:rsidR="00AF73CC">
        <w:rPr>
          <w:rFonts w:asciiTheme="majorBidi" w:hAnsiTheme="majorBidi" w:cstheme="majorBidi"/>
        </w:rPr>
        <w:t xml:space="preserve"> and </w:t>
      </w:r>
      <w:r w:rsidR="00AF73CC" w:rsidRPr="00AF73CC">
        <w:rPr>
          <w:rFonts w:asciiTheme="majorBidi" w:hAnsiTheme="majorBidi" w:cstheme="majorBidi"/>
        </w:rPr>
        <w:t xml:space="preserve">Quantitative assessment of Steroidal </w:t>
      </w:r>
      <w:r w:rsidRPr="00AF73CC">
        <w:rPr>
          <w:rFonts w:asciiTheme="majorBidi" w:hAnsiTheme="majorBidi" w:cstheme="majorBidi"/>
        </w:rPr>
        <w:t>Growth promoters’ evaluation</w:t>
      </w:r>
      <w:r w:rsidR="00C82585">
        <w:rPr>
          <w:rFonts w:asciiTheme="majorBidi" w:hAnsiTheme="majorBidi" w:cstheme="majorBidi"/>
        </w:rPr>
        <w:t>.</w:t>
      </w:r>
    </w:p>
    <w:p w:rsidR="009C4C60" w:rsidRPr="00107C46" w:rsidRDefault="002954C7" w:rsidP="00C82585">
      <w:pPr>
        <w:jc w:val="both"/>
        <w:rPr>
          <w:rFonts w:asciiTheme="majorBidi" w:hAnsiTheme="majorBidi" w:cstheme="majorBidi"/>
        </w:rPr>
      </w:pPr>
      <w:r>
        <w:rPr>
          <w:rFonts w:asciiTheme="majorBidi" w:hAnsiTheme="majorBidi" w:cstheme="majorBidi"/>
          <w:b/>
        </w:rPr>
        <w:t xml:space="preserve">2. </w:t>
      </w:r>
      <w:r w:rsidR="009C4C60" w:rsidRPr="00107C46">
        <w:rPr>
          <w:rFonts w:asciiTheme="majorBidi" w:hAnsiTheme="majorBidi" w:cstheme="majorBidi"/>
          <w:b/>
        </w:rPr>
        <w:t>Materials and Methods</w:t>
      </w:r>
    </w:p>
    <w:p w:rsidR="009C4C60" w:rsidRPr="0049787F" w:rsidRDefault="009C4C60" w:rsidP="00C82585">
      <w:pPr>
        <w:jc w:val="both"/>
        <w:rPr>
          <w:rFonts w:asciiTheme="majorBidi" w:hAnsiTheme="majorBidi" w:cstheme="majorBidi"/>
          <w:b/>
        </w:rPr>
      </w:pPr>
      <w:r w:rsidRPr="0049787F">
        <w:rPr>
          <w:rFonts w:asciiTheme="majorBidi" w:hAnsiTheme="majorBidi" w:cstheme="majorBidi"/>
          <w:b/>
        </w:rPr>
        <w:t>Study Area:</w:t>
      </w:r>
    </w:p>
    <w:p w:rsidR="00754ACB" w:rsidRDefault="009C4C60" w:rsidP="009C4C60">
      <w:pPr>
        <w:ind w:firstLine="720"/>
        <w:jc w:val="both"/>
        <w:rPr>
          <w:rFonts w:asciiTheme="majorBidi" w:hAnsiTheme="majorBidi" w:cstheme="majorBidi"/>
        </w:rPr>
      </w:pPr>
      <w:r w:rsidRPr="0049787F">
        <w:rPr>
          <w:rFonts w:asciiTheme="majorBidi" w:hAnsiTheme="majorBidi" w:cstheme="majorBidi"/>
        </w:rPr>
        <w:t xml:space="preserve">Ismailia governorate is one of </w:t>
      </w:r>
      <w:hyperlink r:id="rId8">
        <w:r w:rsidRPr="0049787F">
          <w:rPr>
            <w:rFonts w:asciiTheme="majorBidi" w:hAnsiTheme="majorBidi" w:cstheme="majorBidi"/>
          </w:rPr>
          <w:t>Egypt</w:t>
        </w:r>
      </w:hyperlink>
      <w:r w:rsidR="00754ACB">
        <w:t xml:space="preserve"> </w:t>
      </w:r>
      <w:hyperlink r:id="rId9">
        <w:r w:rsidRPr="0049787F">
          <w:rPr>
            <w:rFonts w:asciiTheme="majorBidi" w:hAnsiTheme="majorBidi" w:cstheme="majorBidi"/>
          </w:rPr>
          <w:t>governorates</w:t>
        </w:r>
      </w:hyperlink>
      <w:r w:rsidRPr="0049787F">
        <w:rPr>
          <w:rFonts w:asciiTheme="majorBidi" w:hAnsiTheme="majorBidi" w:cstheme="majorBidi"/>
        </w:rPr>
        <w:t xml:space="preserve">, which situated on the west side of the </w:t>
      </w:r>
      <w:hyperlink r:id="rId10">
        <w:r w:rsidRPr="0049787F">
          <w:rPr>
            <w:rFonts w:asciiTheme="majorBidi" w:hAnsiTheme="majorBidi" w:cstheme="majorBidi"/>
          </w:rPr>
          <w:t>Suez Canal</w:t>
        </w:r>
      </w:hyperlink>
      <w:r w:rsidRPr="0049787F">
        <w:rPr>
          <w:rFonts w:asciiTheme="majorBidi" w:hAnsiTheme="majorBidi" w:cstheme="majorBidi"/>
        </w:rPr>
        <w:t>.</w:t>
      </w:r>
      <w:r w:rsidR="00754ACB">
        <w:rPr>
          <w:rFonts w:asciiTheme="majorBidi" w:hAnsiTheme="majorBidi" w:cstheme="majorBidi"/>
        </w:rPr>
        <w:t xml:space="preserve"> </w:t>
      </w:r>
      <w:r w:rsidRPr="0049787F">
        <w:rPr>
          <w:rFonts w:asciiTheme="majorBidi" w:hAnsiTheme="majorBidi" w:cstheme="majorBidi"/>
        </w:rPr>
        <w:t>The governorate's total area covers 5066.97 km</w:t>
      </w:r>
      <w:r w:rsidRPr="00107C46">
        <w:rPr>
          <w:rFonts w:asciiTheme="majorBidi" w:hAnsiTheme="majorBidi" w:cstheme="majorBidi"/>
          <w:vertAlign w:val="superscript"/>
        </w:rPr>
        <w:t>2</w:t>
      </w:r>
      <w:r w:rsidRPr="0049787F">
        <w:rPr>
          <w:rFonts w:asciiTheme="majorBidi" w:hAnsiTheme="majorBidi" w:cstheme="majorBidi"/>
        </w:rPr>
        <w:t xml:space="preserve">, </w:t>
      </w:r>
      <w:r w:rsidR="00C82585" w:rsidRPr="0049787F">
        <w:rPr>
          <w:rFonts w:asciiTheme="majorBidi" w:hAnsiTheme="majorBidi" w:cstheme="majorBidi"/>
        </w:rPr>
        <w:t>it</w:t>
      </w:r>
      <w:r w:rsidRPr="0049787F">
        <w:rPr>
          <w:rFonts w:asciiTheme="majorBidi" w:hAnsiTheme="majorBidi" w:cstheme="majorBidi"/>
        </w:rPr>
        <w:t xml:space="preserve"> encompasses 7</w:t>
      </w:r>
      <w:r w:rsidR="00754ACB">
        <w:rPr>
          <w:rFonts w:asciiTheme="majorBidi" w:hAnsiTheme="majorBidi" w:cstheme="majorBidi"/>
        </w:rPr>
        <w:t xml:space="preserve"> </w:t>
      </w:r>
      <w:r w:rsidRPr="0049787F">
        <w:rPr>
          <w:rFonts w:asciiTheme="majorBidi" w:hAnsiTheme="majorBidi" w:cstheme="majorBidi"/>
        </w:rPr>
        <w:t>offices, 3 districts, 33 rural local units annexed by 33 villages, and 592 hamlets.</w:t>
      </w:r>
    </w:p>
    <w:p w:rsidR="00C82585" w:rsidRDefault="00E03907" w:rsidP="00C82585">
      <w:pPr>
        <w:ind w:firstLine="720"/>
        <w:jc w:val="both"/>
        <w:rPr>
          <w:rFonts w:asciiTheme="majorBidi" w:hAnsiTheme="majorBidi" w:cstheme="majorBidi"/>
        </w:rPr>
      </w:pPr>
      <w:hyperlink r:id="rId11">
        <w:r w:rsidR="00C82585" w:rsidRPr="00C60623">
          <w:rPr>
            <w:rFonts w:asciiTheme="majorBidi" w:hAnsiTheme="majorBidi" w:cstheme="majorBidi"/>
          </w:rPr>
          <w:t>Bahrain</w:t>
        </w:r>
      </w:hyperlink>
      <w:r w:rsidR="00C82585" w:rsidRPr="00C60623">
        <w:rPr>
          <w:rFonts w:asciiTheme="majorBidi" w:hAnsiTheme="majorBidi" w:cstheme="majorBidi"/>
        </w:rPr>
        <w:t xml:space="preserve"> is a secret gem tucked within the gulf region. </w:t>
      </w:r>
      <w:r w:rsidR="00C82585">
        <w:rPr>
          <w:rFonts w:asciiTheme="majorBidi" w:hAnsiTheme="majorBidi" w:cstheme="majorBidi"/>
        </w:rPr>
        <w:t>I</w:t>
      </w:r>
      <w:r w:rsidR="00C82585" w:rsidRPr="00C60623">
        <w:rPr>
          <w:rFonts w:asciiTheme="majorBidi" w:hAnsiTheme="majorBidi" w:cstheme="majorBidi"/>
        </w:rPr>
        <w:t xml:space="preserve">t is connected by the 25 kilometers (16mi) King Fahd’s Causeway. The kingdom of Bahrain consists of Bahrain Island and 33 of the Bahrain islands, lying in the Arabian Gulf. </w:t>
      </w:r>
    </w:p>
    <w:p w:rsidR="00C82585" w:rsidRDefault="00C82585" w:rsidP="00C82585">
      <w:pPr>
        <w:ind w:firstLine="720"/>
        <w:jc w:val="both"/>
        <w:rPr>
          <w:rFonts w:asciiTheme="majorBidi" w:hAnsiTheme="majorBidi" w:cstheme="majorBidi"/>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82585" w:rsidTr="00C82585">
        <w:trPr>
          <w:jc w:val="center"/>
        </w:trPr>
        <w:tc>
          <w:tcPr>
            <w:tcW w:w="4814" w:type="dxa"/>
          </w:tcPr>
          <w:p w:rsidR="00C82585" w:rsidRDefault="00C82585" w:rsidP="00C82585">
            <w:pPr>
              <w:jc w:val="both"/>
              <w:rPr>
                <w:rFonts w:asciiTheme="majorBidi" w:hAnsiTheme="majorBidi" w:cstheme="majorBidi"/>
                <w:b/>
              </w:rPr>
            </w:pPr>
            <w:r w:rsidRPr="00107C46">
              <w:rPr>
                <w:b/>
                <w:noProof/>
                <w:color w:val="0D0D0D" w:themeColor="text1" w:themeTint="F2"/>
                <w:sz w:val="28"/>
                <w:szCs w:val="28"/>
              </w:rPr>
              <w:drawing>
                <wp:inline distT="0" distB="0" distL="0" distR="0" wp14:anchorId="630E9CFF" wp14:editId="42A9D0C8">
                  <wp:extent cx="2688772" cy="1697990"/>
                  <wp:effectExtent l="76200" t="76200" r="130810" b="13081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693890" cy="17012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815" w:type="dxa"/>
          </w:tcPr>
          <w:p w:rsidR="00C82585" w:rsidRDefault="00C82585" w:rsidP="00C82585">
            <w:pPr>
              <w:jc w:val="both"/>
              <w:rPr>
                <w:rFonts w:asciiTheme="majorBidi" w:hAnsiTheme="majorBidi" w:cstheme="majorBidi"/>
                <w:b/>
              </w:rPr>
            </w:pPr>
            <w:r w:rsidRPr="00107C46">
              <w:rPr>
                <w:noProof/>
                <w:color w:val="0D0D0D" w:themeColor="text1" w:themeTint="F2"/>
              </w:rPr>
              <w:drawing>
                <wp:anchor distT="0" distB="0" distL="114300" distR="114300" simplePos="0" relativeHeight="251667456" behindDoc="0" locked="0" layoutInCell="1" allowOverlap="1" wp14:anchorId="4D1420EF" wp14:editId="1840414D">
                  <wp:simplePos x="0" y="0"/>
                  <wp:positionH relativeFrom="column">
                    <wp:posOffset>147955</wp:posOffset>
                  </wp:positionH>
                  <wp:positionV relativeFrom="paragraph">
                    <wp:posOffset>0</wp:posOffset>
                  </wp:positionV>
                  <wp:extent cx="2555240" cy="1813560"/>
                  <wp:effectExtent l="0" t="0" r="0" b="0"/>
                  <wp:wrapSquare wrapText="bothSides"/>
                  <wp:docPr id="30"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3"/>
                          <a:srcRect/>
                          <a:stretch>
                            <a:fillRect/>
                          </a:stretch>
                        </pic:blipFill>
                        <pic:spPr bwMode="auto">
                          <a:xfrm>
                            <a:off x="0" y="0"/>
                            <a:ext cx="2555240" cy="1813560"/>
                          </a:xfrm>
                          <a:prstGeom prst="rect">
                            <a:avLst/>
                          </a:prstGeom>
                          <a:noFill/>
                          <a:ln w="9525">
                            <a:noFill/>
                            <a:miter lim="800000"/>
                            <a:headEnd/>
                            <a:tailEnd/>
                          </a:ln>
                        </pic:spPr>
                      </pic:pic>
                    </a:graphicData>
                  </a:graphic>
                  <wp14:sizeRelV relativeFrom="margin">
                    <wp14:pctHeight>0</wp14:pctHeight>
                  </wp14:sizeRelV>
                </wp:anchor>
              </w:drawing>
            </w:r>
          </w:p>
        </w:tc>
      </w:tr>
      <w:tr w:rsidR="00C82585" w:rsidTr="00C82585">
        <w:trPr>
          <w:jc w:val="center"/>
        </w:trPr>
        <w:tc>
          <w:tcPr>
            <w:tcW w:w="4814" w:type="dxa"/>
          </w:tcPr>
          <w:p w:rsidR="00C82585" w:rsidRDefault="00C82585" w:rsidP="00C82585">
            <w:pPr>
              <w:jc w:val="both"/>
              <w:rPr>
                <w:rFonts w:asciiTheme="majorBidi" w:hAnsiTheme="majorBidi" w:cstheme="majorBidi"/>
                <w:b/>
              </w:rPr>
            </w:pPr>
            <w:r w:rsidRPr="00107C46">
              <w:rPr>
                <w:b/>
                <w:color w:val="0D0D0D" w:themeColor="text1" w:themeTint="F2"/>
                <w:sz w:val="28"/>
                <w:szCs w:val="28"/>
              </w:rPr>
              <w:t>Image (1): Ismailia governorate map.</w:t>
            </w:r>
          </w:p>
        </w:tc>
        <w:tc>
          <w:tcPr>
            <w:tcW w:w="4815" w:type="dxa"/>
          </w:tcPr>
          <w:p w:rsidR="00C82585" w:rsidRDefault="00C82585" w:rsidP="00C82585">
            <w:pPr>
              <w:jc w:val="both"/>
              <w:rPr>
                <w:rFonts w:asciiTheme="majorBidi" w:hAnsiTheme="majorBidi" w:cstheme="majorBidi"/>
                <w:b/>
              </w:rPr>
            </w:pPr>
            <w:r w:rsidRPr="00107C46">
              <w:rPr>
                <w:b/>
                <w:color w:val="0D0D0D" w:themeColor="text1" w:themeTint="F2"/>
                <w:sz w:val="28"/>
                <w:szCs w:val="28"/>
              </w:rPr>
              <w:t>Image (2): Bahrain Province map.</w:t>
            </w:r>
          </w:p>
        </w:tc>
      </w:tr>
    </w:tbl>
    <w:p w:rsidR="00C82585" w:rsidRDefault="00C82585" w:rsidP="00754ACB">
      <w:pPr>
        <w:jc w:val="both"/>
        <w:rPr>
          <w:rFonts w:asciiTheme="majorBidi" w:hAnsiTheme="majorBidi" w:cstheme="majorBidi"/>
          <w:b/>
        </w:rPr>
      </w:pPr>
    </w:p>
    <w:p w:rsidR="009C4C60" w:rsidRPr="00590184" w:rsidRDefault="009C4C60" w:rsidP="00754ACB">
      <w:pPr>
        <w:jc w:val="both"/>
        <w:rPr>
          <w:rFonts w:asciiTheme="majorBidi" w:hAnsiTheme="majorBidi" w:cstheme="majorBidi"/>
          <w:b/>
        </w:rPr>
      </w:pPr>
      <w:r w:rsidRPr="00590184">
        <w:rPr>
          <w:rFonts w:asciiTheme="majorBidi" w:hAnsiTheme="majorBidi" w:cstheme="majorBidi"/>
          <w:b/>
        </w:rPr>
        <w:t>Sample Size:</w:t>
      </w:r>
    </w:p>
    <w:p w:rsidR="00754ACB" w:rsidRDefault="009C4C60" w:rsidP="00C82585">
      <w:pPr>
        <w:ind w:firstLine="720"/>
        <w:jc w:val="both"/>
        <w:rPr>
          <w:rFonts w:asciiTheme="majorBidi" w:hAnsiTheme="majorBidi" w:cstheme="majorBidi"/>
        </w:rPr>
      </w:pPr>
      <w:r>
        <w:rPr>
          <w:rFonts w:asciiTheme="majorBidi" w:hAnsiTheme="majorBidi" w:cstheme="majorBidi"/>
        </w:rPr>
        <w:t xml:space="preserve">Sample size calculated </w:t>
      </w:r>
      <w:r w:rsidRPr="000274AF">
        <w:rPr>
          <w:rFonts w:asciiTheme="majorBidi" w:hAnsiTheme="majorBidi" w:cstheme="majorBidi"/>
        </w:rPr>
        <w:t>statistical</w:t>
      </w:r>
      <w:r>
        <w:rPr>
          <w:rFonts w:asciiTheme="majorBidi" w:hAnsiTheme="majorBidi" w:cstheme="majorBidi"/>
        </w:rPr>
        <w:t>ly by “Raosoft” sample size calculator program</w:t>
      </w:r>
      <w:r w:rsidR="001D3D3C">
        <w:rPr>
          <w:rFonts w:asciiTheme="majorBidi" w:hAnsiTheme="majorBidi" w:cstheme="majorBidi"/>
        </w:rPr>
        <w:t xml:space="preserve"> (figure, 1)</w:t>
      </w:r>
      <w:r>
        <w:rPr>
          <w:rFonts w:asciiTheme="majorBidi" w:hAnsiTheme="majorBidi" w:cstheme="majorBidi"/>
        </w:rPr>
        <w:t xml:space="preserve">. The calculation based on the number of  </w:t>
      </w:r>
      <w:r w:rsidRPr="00590184">
        <w:rPr>
          <w:rFonts w:asciiTheme="majorBidi" w:hAnsiTheme="majorBidi" w:cstheme="majorBidi"/>
        </w:rPr>
        <w:t>480 broiler farms</w:t>
      </w:r>
      <w:r>
        <w:rPr>
          <w:rFonts w:asciiTheme="majorBidi" w:hAnsiTheme="majorBidi" w:cstheme="majorBidi"/>
        </w:rPr>
        <w:t xml:space="preserve"> in</w:t>
      </w:r>
      <w:r w:rsidRPr="00590184">
        <w:rPr>
          <w:rFonts w:asciiTheme="majorBidi" w:hAnsiTheme="majorBidi" w:cstheme="majorBidi"/>
        </w:rPr>
        <w:t xml:space="preserve"> Ismailia governorate </w:t>
      </w:r>
      <w:r>
        <w:rPr>
          <w:rFonts w:asciiTheme="majorBidi" w:hAnsiTheme="majorBidi" w:cstheme="majorBidi"/>
        </w:rPr>
        <w:t>which</w:t>
      </w:r>
      <w:r w:rsidRPr="00590184">
        <w:rPr>
          <w:rFonts w:asciiTheme="majorBidi" w:hAnsiTheme="majorBidi" w:cstheme="majorBidi"/>
        </w:rPr>
        <w:t xml:space="preserve"> served by 11 slaughterhouses under the supervision of the General Organization for Veterinary Services with a </w:t>
      </w:r>
      <w:r w:rsidRPr="00590184">
        <w:rPr>
          <w:rFonts w:asciiTheme="majorBidi" w:hAnsiTheme="majorBidi" w:cstheme="majorBidi"/>
        </w:rPr>
        <w:lastRenderedPageBreak/>
        <w:t>production capacity up to 4.17675 million broiler chickens slaughtered annually.</w:t>
      </w:r>
      <w:r w:rsidR="00754ACB">
        <w:rPr>
          <w:rFonts w:asciiTheme="majorBidi" w:hAnsiTheme="majorBidi" w:cstheme="majorBidi"/>
        </w:rPr>
        <w:t xml:space="preserve"> </w:t>
      </w:r>
      <w:r w:rsidR="00DD496A" w:rsidRPr="005065E3">
        <w:rPr>
          <w:rFonts w:asciiTheme="majorBidi" w:hAnsiTheme="majorBidi" w:cstheme="majorBidi"/>
        </w:rPr>
        <w:t>Kingdom of Bahrain has 19 broiler farms.</w:t>
      </w:r>
      <w:r w:rsidR="00754ACB">
        <w:rPr>
          <w:rFonts w:asciiTheme="majorBidi" w:hAnsiTheme="majorBidi" w:cstheme="majorBidi"/>
        </w:rPr>
        <w:t xml:space="preserve"> </w:t>
      </w:r>
      <w:r w:rsidR="00DD496A" w:rsidRPr="005065E3">
        <w:rPr>
          <w:rFonts w:asciiTheme="majorBidi" w:hAnsiTheme="majorBidi" w:cstheme="majorBidi"/>
        </w:rPr>
        <w:t xml:space="preserve">According to </w:t>
      </w:r>
      <w:hyperlink r:id="rId14">
        <w:r w:rsidR="00DD496A" w:rsidRPr="00107C46">
          <w:rPr>
            <w:rFonts w:asciiTheme="majorBidi" w:hAnsiTheme="majorBidi" w:cstheme="majorBidi"/>
            <w:b/>
            <w:bCs/>
          </w:rPr>
          <w:t>Raosoft</w:t>
        </w:r>
      </w:hyperlink>
      <w:r w:rsidR="00DD496A" w:rsidRPr="00107C46">
        <w:rPr>
          <w:rFonts w:asciiTheme="majorBidi" w:hAnsiTheme="majorBidi" w:cstheme="majorBidi"/>
          <w:b/>
          <w:bCs/>
        </w:rPr>
        <w:t xml:space="preserve"> (2004)</w:t>
      </w:r>
      <w:r w:rsidR="00DD496A" w:rsidRPr="005065E3">
        <w:rPr>
          <w:rFonts w:asciiTheme="majorBidi" w:hAnsiTheme="majorBidi" w:cstheme="majorBidi"/>
        </w:rPr>
        <w:t xml:space="preserve"> sample size calculated as 214 samples from Ismailia and 19 from Bahrain</w:t>
      </w:r>
      <w:r w:rsidR="00754ACB">
        <w:rPr>
          <w:rFonts w:asciiTheme="majorBidi" w:hAnsiTheme="majorBidi" w:cstheme="majorBidi"/>
        </w:rPr>
        <w:t>.</w:t>
      </w:r>
    </w:p>
    <w:p w:rsidR="00C82585" w:rsidRPr="00C82585" w:rsidRDefault="00C82585" w:rsidP="00C82585">
      <w:pPr>
        <w:ind w:firstLine="720"/>
        <w:jc w:val="both"/>
        <w:rPr>
          <w:rFonts w:asciiTheme="majorBidi" w:hAnsiTheme="majorBidi" w:cstheme="majorBidi"/>
        </w:rPr>
      </w:pPr>
    </w:p>
    <w:tbl>
      <w:tblPr>
        <w:tblW w:w="0" w:type="auto"/>
        <w:jc w:val="center"/>
        <w:tblLook w:val="04A0" w:firstRow="1" w:lastRow="0" w:firstColumn="1" w:lastColumn="0" w:noHBand="0" w:noVBand="1"/>
      </w:tblPr>
      <w:tblGrid>
        <w:gridCol w:w="4776"/>
        <w:gridCol w:w="4776"/>
      </w:tblGrid>
      <w:tr w:rsidR="00754ACB" w:rsidTr="00754ACB">
        <w:trPr>
          <w:jc w:val="center"/>
        </w:trPr>
        <w:tc>
          <w:tcPr>
            <w:tcW w:w="4456" w:type="dxa"/>
            <w:shd w:val="clear" w:color="auto" w:fill="auto"/>
          </w:tcPr>
          <w:p w:rsidR="00754ACB" w:rsidRPr="003F20E1" w:rsidRDefault="00754ACB" w:rsidP="00754ACB">
            <w:pPr>
              <w:jc w:val="both"/>
              <w:rPr>
                <w:sz w:val="28"/>
                <w:szCs w:val="28"/>
              </w:rPr>
            </w:pPr>
            <w:r>
              <w:rPr>
                <w:noProof/>
                <w:sz w:val="28"/>
                <w:szCs w:val="28"/>
              </w:rPr>
              <w:drawing>
                <wp:inline distT="0" distB="0" distL="0" distR="0">
                  <wp:extent cx="2678430" cy="3385457"/>
                  <wp:effectExtent l="76200" t="76200" r="140970" b="139065"/>
                  <wp:docPr id="4"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5"/>
                          <a:srcRect/>
                          <a:stretch>
                            <a:fillRect/>
                          </a:stretch>
                        </pic:blipFill>
                        <pic:spPr bwMode="auto">
                          <a:xfrm>
                            <a:off x="0" y="0"/>
                            <a:ext cx="2680691" cy="3388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54ACB" w:rsidRPr="00107C46" w:rsidRDefault="00754ACB" w:rsidP="00754ACB">
            <w:pPr>
              <w:jc w:val="center"/>
              <w:rPr>
                <w:b/>
                <w:color w:val="0D0D0D" w:themeColor="text1" w:themeTint="F2"/>
                <w:sz w:val="28"/>
                <w:szCs w:val="28"/>
              </w:rPr>
            </w:pPr>
            <w:r w:rsidRPr="00107C46">
              <w:rPr>
                <w:b/>
                <w:color w:val="0D0D0D" w:themeColor="text1" w:themeTint="F2"/>
                <w:sz w:val="28"/>
                <w:szCs w:val="28"/>
              </w:rPr>
              <w:t>Image (3): Raosoft sample size calculator website (Ismailia).</w:t>
            </w:r>
          </w:p>
          <w:p w:rsidR="00754ACB" w:rsidRPr="003F20E1" w:rsidRDefault="00754ACB" w:rsidP="00754ACB">
            <w:pPr>
              <w:jc w:val="both"/>
              <w:rPr>
                <w:sz w:val="28"/>
                <w:szCs w:val="28"/>
              </w:rPr>
            </w:pPr>
          </w:p>
        </w:tc>
        <w:tc>
          <w:tcPr>
            <w:tcW w:w="4457" w:type="dxa"/>
            <w:shd w:val="clear" w:color="auto" w:fill="auto"/>
          </w:tcPr>
          <w:p w:rsidR="00754ACB" w:rsidRPr="00107C46" w:rsidRDefault="00754ACB" w:rsidP="00754ACB">
            <w:pPr>
              <w:jc w:val="both"/>
              <w:rPr>
                <w:color w:val="0D0D0D" w:themeColor="text1" w:themeTint="F2"/>
                <w:sz w:val="28"/>
                <w:szCs w:val="28"/>
              </w:rPr>
            </w:pPr>
            <w:r w:rsidRPr="00107C46">
              <w:rPr>
                <w:noProof/>
                <w:color w:val="0D0D0D" w:themeColor="text1" w:themeTint="F2"/>
                <w:sz w:val="28"/>
                <w:szCs w:val="28"/>
              </w:rPr>
              <w:drawing>
                <wp:inline distT="0" distB="0" distL="0" distR="0">
                  <wp:extent cx="2693035" cy="3418114"/>
                  <wp:effectExtent l="76200" t="76200" r="126365" b="125730"/>
                  <wp:docPr id="5"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6"/>
                          <a:srcRect/>
                          <a:stretch>
                            <a:fillRect/>
                          </a:stretch>
                        </pic:blipFill>
                        <pic:spPr bwMode="auto">
                          <a:xfrm>
                            <a:off x="0" y="0"/>
                            <a:ext cx="2696387" cy="34223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54ACB" w:rsidRPr="00107C46" w:rsidRDefault="00754ACB">
            <w:pPr>
              <w:jc w:val="center"/>
              <w:rPr>
                <w:b/>
                <w:color w:val="0D0D0D" w:themeColor="text1" w:themeTint="F2"/>
                <w:sz w:val="28"/>
                <w:szCs w:val="28"/>
              </w:rPr>
            </w:pPr>
            <w:r w:rsidRPr="00107C46">
              <w:rPr>
                <w:b/>
                <w:color w:val="0D0D0D" w:themeColor="text1" w:themeTint="F2"/>
                <w:sz w:val="28"/>
                <w:szCs w:val="28"/>
              </w:rPr>
              <w:t>Image (4): Raosoft sample size calculator website (Bahrain).</w:t>
            </w:r>
          </w:p>
        </w:tc>
      </w:tr>
    </w:tbl>
    <w:p w:rsidR="009C4C60" w:rsidRPr="001D7EF7" w:rsidRDefault="009C4C60" w:rsidP="009C4C60">
      <w:pPr>
        <w:jc w:val="both"/>
        <w:rPr>
          <w:rFonts w:asciiTheme="majorBidi" w:hAnsiTheme="majorBidi" w:cstheme="majorBidi"/>
          <w:b/>
        </w:rPr>
      </w:pPr>
      <w:r w:rsidRPr="001D7EF7">
        <w:rPr>
          <w:rFonts w:asciiTheme="majorBidi" w:hAnsiTheme="majorBidi" w:cstheme="majorBidi"/>
          <w:b/>
        </w:rPr>
        <w:t>Samples Collection:</w:t>
      </w:r>
    </w:p>
    <w:p w:rsidR="009C4C60" w:rsidRPr="00590184" w:rsidRDefault="009C4C60" w:rsidP="00754ACB">
      <w:pPr>
        <w:ind w:firstLine="720"/>
        <w:jc w:val="both"/>
        <w:rPr>
          <w:rFonts w:asciiTheme="majorBidi" w:hAnsiTheme="majorBidi" w:cstheme="majorBidi"/>
        </w:rPr>
      </w:pPr>
      <w:r w:rsidRPr="00590184">
        <w:rPr>
          <w:rFonts w:asciiTheme="majorBidi" w:hAnsiTheme="majorBidi" w:cstheme="majorBidi"/>
        </w:rPr>
        <w:t xml:space="preserve">A total of </w:t>
      </w:r>
      <w:r w:rsidR="001D3D3C">
        <w:rPr>
          <w:rFonts w:asciiTheme="majorBidi" w:hAnsiTheme="majorBidi" w:cstheme="majorBidi"/>
        </w:rPr>
        <w:t>233</w:t>
      </w:r>
      <w:r w:rsidRPr="00590184">
        <w:rPr>
          <w:rFonts w:asciiTheme="majorBidi" w:hAnsiTheme="majorBidi" w:cstheme="majorBidi"/>
        </w:rPr>
        <w:t xml:space="preserve">fresh chicken carcasses and their offal (liver and kidney) </w:t>
      </w:r>
      <w:r w:rsidR="00754ACB">
        <w:rPr>
          <w:rFonts w:asciiTheme="majorBidi" w:hAnsiTheme="majorBidi" w:cstheme="majorBidi"/>
        </w:rPr>
        <w:t>were</w:t>
      </w:r>
      <w:r w:rsidR="00754ACB" w:rsidRPr="00590184">
        <w:rPr>
          <w:rFonts w:asciiTheme="majorBidi" w:hAnsiTheme="majorBidi" w:cstheme="majorBidi"/>
        </w:rPr>
        <w:t xml:space="preserve"> </w:t>
      </w:r>
      <w:r w:rsidRPr="00590184">
        <w:rPr>
          <w:rFonts w:asciiTheme="majorBidi" w:hAnsiTheme="majorBidi" w:cstheme="majorBidi"/>
        </w:rPr>
        <w:t xml:space="preserve">collected from November 2018 to </w:t>
      </w:r>
      <w:r>
        <w:rPr>
          <w:rFonts w:asciiTheme="majorBidi" w:hAnsiTheme="majorBidi" w:cstheme="majorBidi"/>
        </w:rPr>
        <w:t>November</w:t>
      </w:r>
      <w:r w:rsidRPr="00590184">
        <w:rPr>
          <w:rFonts w:asciiTheme="majorBidi" w:hAnsiTheme="majorBidi" w:cstheme="majorBidi"/>
        </w:rPr>
        <w:t xml:space="preserve"> 2019. The carcasses (1050 to 1350g dressed weight) were purchased from different commercial Ismailia governorate, on the day of slaughter, (800 to 1100g dressed weight) were purchased from different </w:t>
      </w:r>
      <w:hyperlink r:id="rId17">
        <w:r w:rsidR="00153641" w:rsidRPr="00C60623">
          <w:rPr>
            <w:rFonts w:asciiTheme="majorBidi" w:hAnsiTheme="majorBidi" w:cstheme="majorBidi"/>
          </w:rPr>
          <w:t>Bahrain</w:t>
        </w:r>
      </w:hyperlink>
      <w:r w:rsidR="00754ACB">
        <w:rPr>
          <w:rFonts w:asciiTheme="majorBidi" w:hAnsiTheme="majorBidi" w:cstheme="majorBidi"/>
        </w:rPr>
        <w:t xml:space="preserve"> </w:t>
      </w:r>
      <w:r>
        <w:rPr>
          <w:rFonts w:asciiTheme="majorBidi" w:hAnsiTheme="majorBidi" w:cstheme="majorBidi"/>
        </w:rPr>
        <w:t xml:space="preserve">poultry </w:t>
      </w:r>
      <w:r w:rsidRPr="00590184">
        <w:rPr>
          <w:rFonts w:asciiTheme="majorBidi" w:hAnsiTheme="majorBidi" w:cstheme="majorBidi"/>
        </w:rPr>
        <w:t>market</w:t>
      </w:r>
      <w:r>
        <w:rPr>
          <w:rFonts w:asciiTheme="majorBidi" w:hAnsiTheme="majorBidi" w:cstheme="majorBidi"/>
        </w:rPr>
        <w:t>ed</w:t>
      </w:r>
      <w:r w:rsidRPr="00590184">
        <w:rPr>
          <w:rFonts w:asciiTheme="majorBidi" w:hAnsiTheme="majorBidi" w:cstheme="majorBidi"/>
        </w:rPr>
        <w:t>.</w:t>
      </w:r>
      <w:r w:rsidR="00754ACB">
        <w:rPr>
          <w:rFonts w:asciiTheme="majorBidi" w:hAnsiTheme="majorBidi" w:cstheme="majorBidi"/>
        </w:rPr>
        <w:t xml:space="preserve"> </w:t>
      </w:r>
      <w:r w:rsidRPr="00590184">
        <w:rPr>
          <w:rFonts w:asciiTheme="majorBidi" w:hAnsiTheme="majorBidi" w:cstheme="majorBidi"/>
        </w:rPr>
        <w:t>The samples were individually placed in sterile coolers and immediately transported to Food Hygiene Lab., Faculty of Veterinary Medicine, Suez Canal University.</w:t>
      </w:r>
    </w:p>
    <w:p w:rsidR="009C4C60" w:rsidRPr="009B47F6" w:rsidRDefault="009C4C60" w:rsidP="00AF73CC">
      <w:pPr>
        <w:jc w:val="both"/>
        <w:rPr>
          <w:rFonts w:asciiTheme="majorBidi" w:hAnsiTheme="majorBidi" w:cstheme="majorBidi"/>
          <w:b/>
        </w:rPr>
      </w:pPr>
      <w:r w:rsidRPr="009B47F6">
        <w:rPr>
          <w:rFonts w:asciiTheme="majorBidi" w:hAnsiTheme="majorBidi" w:cstheme="majorBidi"/>
          <w:b/>
        </w:rPr>
        <w:t>Determination of Antibiotic residues:</w:t>
      </w:r>
    </w:p>
    <w:p w:rsidR="009C4C60" w:rsidRPr="009B47F6" w:rsidRDefault="009C4C60" w:rsidP="009C4C60">
      <w:pPr>
        <w:jc w:val="both"/>
        <w:rPr>
          <w:rFonts w:asciiTheme="majorBidi" w:hAnsiTheme="majorBidi" w:cstheme="majorBidi"/>
          <w:b/>
        </w:rPr>
      </w:pPr>
      <w:r w:rsidRPr="009B47F6">
        <w:rPr>
          <w:rFonts w:asciiTheme="majorBidi" w:hAnsiTheme="majorBidi" w:cstheme="majorBidi"/>
          <w:b/>
        </w:rPr>
        <w:t xml:space="preserve">Application of HPLC technique for Ciprofloxacin: </w:t>
      </w:r>
    </w:p>
    <w:p w:rsidR="009C4C60" w:rsidRPr="00590184" w:rsidRDefault="009C4C60" w:rsidP="00D45E80">
      <w:pPr>
        <w:ind w:firstLine="720"/>
        <w:jc w:val="both"/>
        <w:rPr>
          <w:rFonts w:asciiTheme="majorBidi" w:hAnsiTheme="majorBidi" w:cstheme="majorBidi"/>
        </w:rPr>
      </w:pPr>
      <w:r w:rsidRPr="00590184">
        <w:rPr>
          <w:rFonts w:asciiTheme="majorBidi" w:hAnsiTheme="majorBidi" w:cstheme="majorBidi"/>
        </w:rPr>
        <w:t xml:space="preserve">Accurately, 5gm of each sample and 10 gm of anhydrous sodium sulfate were blended with 20 ml of ethyl acetate and then centrifuged. </w:t>
      </w:r>
      <w:r w:rsidR="00D45E80">
        <w:rPr>
          <w:rFonts w:asciiTheme="majorBidi" w:hAnsiTheme="majorBidi" w:cstheme="majorBidi"/>
        </w:rPr>
        <w:t>D</w:t>
      </w:r>
      <w:r w:rsidR="00D45E80" w:rsidRPr="00590184">
        <w:rPr>
          <w:rFonts w:asciiTheme="majorBidi" w:hAnsiTheme="majorBidi" w:cstheme="majorBidi"/>
        </w:rPr>
        <w:t>ried evaporate</w:t>
      </w:r>
      <w:r w:rsidR="00754ACB">
        <w:rPr>
          <w:rFonts w:asciiTheme="majorBidi" w:hAnsiTheme="majorBidi" w:cstheme="majorBidi"/>
        </w:rPr>
        <w:t xml:space="preserve"> </w:t>
      </w:r>
      <w:r w:rsidRPr="00590184">
        <w:rPr>
          <w:rFonts w:asciiTheme="majorBidi" w:hAnsiTheme="majorBidi" w:cstheme="majorBidi"/>
        </w:rPr>
        <w:t>supernatant</w:t>
      </w:r>
      <w:r w:rsidR="00754ACB">
        <w:rPr>
          <w:rFonts w:asciiTheme="majorBidi" w:hAnsiTheme="majorBidi" w:cstheme="majorBidi"/>
        </w:rPr>
        <w:t xml:space="preserve"> </w:t>
      </w:r>
      <w:r w:rsidR="00D45E80" w:rsidRPr="00590184">
        <w:rPr>
          <w:rFonts w:asciiTheme="majorBidi" w:hAnsiTheme="majorBidi" w:cstheme="majorBidi"/>
        </w:rPr>
        <w:t>was dissolved in 5ml of ethy1 acetate-n-hexane</w:t>
      </w:r>
      <w:r w:rsidRPr="00590184">
        <w:rPr>
          <w:rFonts w:asciiTheme="majorBidi" w:hAnsiTheme="majorBidi" w:cstheme="majorBidi"/>
        </w:rPr>
        <w:t>.</w:t>
      </w:r>
      <w:r w:rsidR="00754ACB">
        <w:rPr>
          <w:rFonts w:asciiTheme="majorBidi" w:hAnsiTheme="majorBidi" w:cstheme="majorBidi"/>
        </w:rPr>
        <w:t xml:space="preserve"> </w:t>
      </w:r>
      <w:r w:rsidRPr="00590184">
        <w:rPr>
          <w:rFonts w:asciiTheme="majorBidi" w:hAnsiTheme="majorBidi" w:cstheme="majorBidi"/>
        </w:rPr>
        <w:t xml:space="preserve">The surveyed antimicrobial residues were eluted from the cartridge with 5ml acetonitrile (20%) and 0.05 M ammonium format. The preparation was injected into HPLC system (model LC – 10A series equipped with constant flow pump and variable wavelength U/V detection, Kyoto, Japan. </w:t>
      </w:r>
    </w:p>
    <w:p w:rsidR="009C4C60" w:rsidRPr="009B47F6" w:rsidRDefault="009C4C60" w:rsidP="009C4C60">
      <w:pPr>
        <w:ind w:firstLine="720"/>
        <w:jc w:val="both"/>
        <w:rPr>
          <w:rFonts w:asciiTheme="majorBidi" w:hAnsiTheme="majorBidi" w:cstheme="majorBidi"/>
        </w:rPr>
      </w:pPr>
      <w:r w:rsidRPr="00590184">
        <w:rPr>
          <w:rFonts w:asciiTheme="majorBidi" w:hAnsiTheme="majorBidi" w:cstheme="majorBidi"/>
        </w:rPr>
        <w:t xml:space="preserve">Operating conditions for analysis of amoxicillin were; eluant at 35°C, flow rate 1 ml/min., injection volume, 10ul; detection wavelength 216/ nm. While, the operating conditions for analysis of </w:t>
      </w:r>
      <w:proofErr w:type="spellStart"/>
      <w:r w:rsidRPr="00590184">
        <w:rPr>
          <w:rFonts w:asciiTheme="majorBidi" w:hAnsiTheme="majorBidi" w:cstheme="majorBidi"/>
        </w:rPr>
        <w:t>sulphaquinoxaline</w:t>
      </w:r>
      <w:proofErr w:type="spellEnd"/>
      <w:r w:rsidRPr="00590184">
        <w:rPr>
          <w:rFonts w:asciiTheme="majorBidi" w:hAnsiTheme="majorBidi" w:cstheme="majorBidi"/>
        </w:rPr>
        <w:t xml:space="preserve"> were; eluant at 30°C, flow rate 1 ml/min., injection volume, 20/ul; detection wavelength</w:t>
      </w:r>
      <w:r w:rsidRPr="009B47F6">
        <w:rPr>
          <w:rFonts w:asciiTheme="majorBidi" w:hAnsiTheme="majorBidi" w:cstheme="majorBidi"/>
        </w:rPr>
        <w:t xml:space="preserve"> 272nm </w:t>
      </w:r>
      <w:r w:rsidR="00D45E80" w:rsidRPr="00D45E80">
        <w:rPr>
          <w:rFonts w:asciiTheme="majorBidi" w:hAnsiTheme="majorBidi" w:cstheme="majorBidi"/>
          <w:b/>
          <w:bCs/>
        </w:rPr>
        <w:t>(</w:t>
      </w:r>
      <w:proofErr w:type="spellStart"/>
      <w:r w:rsidR="001D3D3C" w:rsidRPr="009B47F6">
        <w:rPr>
          <w:rFonts w:asciiTheme="majorBidi" w:hAnsiTheme="majorBidi" w:cstheme="majorBidi"/>
          <w:b/>
          <w:bCs/>
        </w:rPr>
        <w:t>Pieckova</w:t>
      </w:r>
      <w:proofErr w:type="spellEnd"/>
      <w:r w:rsidR="001D3D3C" w:rsidRPr="009B47F6">
        <w:rPr>
          <w:rFonts w:asciiTheme="majorBidi" w:hAnsiTheme="majorBidi" w:cstheme="majorBidi"/>
          <w:b/>
          <w:bCs/>
        </w:rPr>
        <w:t xml:space="preserve"> </w:t>
      </w:r>
      <w:r w:rsidR="00D45E80">
        <w:rPr>
          <w:rFonts w:asciiTheme="majorBidi" w:hAnsiTheme="majorBidi" w:cstheme="majorBidi"/>
          <w:b/>
          <w:bCs/>
        </w:rPr>
        <w:t>&amp;</w:t>
      </w:r>
      <w:r w:rsidR="001D3D3C" w:rsidRPr="009B47F6">
        <w:rPr>
          <w:rFonts w:asciiTheme="majorBidi" w:hAnsiTheme="majorBidi" w:cstheme="majorBidi"/>
          <w:b/>
          <w:bCs/>
        </w:rPr>
        <w:t xml:space="preserve"> Van </w:t>
      </w:r>
      <w:proofErr w:type="spellStart"/>
      <w:r w:rsidR="001D3D3C" w:rsidRPr="009B47F6">
        <w:rPr>
          <w:rFonts w:asciiTheme="majorBidi" w:hAnsiTheme="majorBidi" w:cstheme="majorBidi"/>
          <w:b/>
          <w:bCs/>
        </w:rPr>
        <w:t>Peteghem</w:t>
      </w:r>
      <w:proofErr w:type="spellEnd"/>
      <w:r w:rsidR="00D45E80">
        <w:rPr>
          <w:rFonts w:asciiTheme="majorBidi" w:hAnsiTheme="majorBidi" w:cstheme="majorBidi"/>
          <w:b/>
          <w:bCs/>
        </w:rPr>
        <w:t>,</w:t>
      </w:r>
      <w:r w:rsidR="001D3D3C" w:rsidRPr="009B47F6">
        <w:rPr>
          <w:rFonts w:asciiTheme="majorBidi" w:hAnsiTheme="majorBidi" w:cstheme="majorBidi"/>
          <w:b/>
          <w:bCs/>
        </w:rPr>
        <w:t xml:space="preserve"> 2001 and Oka </w:t>
      </w:r>
      <w:r w:rsidR="001D3D3C" w:rsidRPr="009B47F6">
        <w:rPr>
          <w:rFonts w:asciiTheme="majorBidi" w:hAnsiTheme="majorBidi" w:cstheme="majorBidi"/>
          <w:b/>
          <w:bCs/>
          <w:i/>
          <w:iCs/>
        </w:rPr>
        <w:t>et al.</w:t>
      </w:r>
      <w:r w:rsidR="00D45E80">
        <w:rPr>
          <w:rFonts w:asciiTheme="majorBidi" w:hAnsiTheme="majorBidi" w:cstheme="majorBidi"/>
          <w:b/>
          <w:bCs/>
          <w:i/>
          <w:iCs/>
        </w:rPr>
        <w:t>,</w:t>
      </w:r>
      <w:r w:rsidR="001D3D3C" w:rsidRPr="009B47F6">
        <w:rPr>
          <w:rFonts w:asciiTheme="majorBidi" w:hAnsiTheme="majorBidi" w:cstheme="majorBidi"/>
          <w:b/>
          <w:bCs/>
        </w:rPr>
        <w:t xml:space="preserve"> 2003)</w:t>
      </w:r>
      <w:r w:rsidR="001D3D3C" w:rsidRPr="00590184">
        <w:rPr>
          <w:rFonts w:asciiTheme="majorBidi" w:hAnsiTheme="majorBidi" w:cstheme="majorBidi"/>
        </w:rPr>
        <w:t>.</w:t>
      </w:r>
    </w:p>
    <w:p w:rsidR="006C7420" w:rsidRDefault="006C7420" w:rsidP="009C4C60">
      <w:pPr>
        <w:jc w:val="both"/>
        <w:rPr>
          <w:rFonts w:asciiTheme="majorBidi" w:hAnsiTheme="majorBidi" w:cstheme="majorBidi"/>
          <w:b/>
        </w:rPr>
      </w:pPr>
    </w:p>
    <w:p w:rsidR="009C4C60" w:rsidRPr="00E43FE5" w:rsidRDefault="009C4C60" w:rsidP="009C4C60">
      <w:pPr>
        <w:jc w:val="both"/>
        <w:rPr>
          <w:rFonts w:asciiTheme="majorBidi" w:hAnsiTheme="majorBidi" w:cstheme="majorBidi"/>
          <w:b/>
        </w:rPr>
      </w:pPr>
      <w:r w:rsidRPr="00E43FE5">
        <w:rPr>
          <w:rFonts w:asciiTheme="majorBidi" w:hAnsiTheme="majorBidi" w:cstheme="majorBidi"/>
          <w:b/>
        </w:rPr>
        <w:t>Preparation and Extraction of Meat Samples:</w:t>
      </w:r>
    </w:p>
    <w:p w:rsidR="00BE1589" w:rsidRDefault="009C4C60" w:rsidP="00BE1589">
      <w:pPr>
        <w:ind w:firstLine="720"/>
        <w:jc w:val="both"/>
        <w:rPr>
          <w:rFonts w:asciiTheme="majorBidi" w:hAnsiTheme="majorBidi" w:cstheme="majorBidi"/>
        </w:rPr>
      </w:pPr>
      <w:r w:rsidRPr="009B47F6">
        <w:rPr>
          <w:rFonts w:asciiTheme="majorBidi" w:hAnsiTheme="majorBidi" w:cstheme="majorBidi"/>
        </w:rPr>
        <w:t xml:space="preserve">Meat samples (50 g) were blended at 20000 rpm in a tissue blender (IKA, M 20, Germany) for 2 minutes. Ten grams of blended meat tissue and 10 ml of deionized water were taken in 50 ml </w:t>
      </w:r>
      <w:r w:rsidRPr="009B47F6">
        <w:rPr>
          <w:rFonts w:asciiTheme="majorBidi" w:hAnsiTheme="majorBidi" w:cstheme="majorBidi"/>
        </w:rPr>
        <w:lastRenderedPageBreak/>
        <w:t>polypropylene centrifuge tube. The mixture was homogenized for 1.5 minutes using Ultra-</w:t>
      </w:r>
      <w:proofErr w:type="spellStart"/>
      <w:r w:rsidRPr="009B47F6">
        <w:rPr>
          <w:rFonts w:asciiTheme="majorBidi" w:hAnsiTheme="majorBidi" w:cstheme="majorBidi"/>
        </w:rPr>
        <w:t>Turrax</w:t>
      </w:r>
      <w:proofErr w:type="spellEnd"/>
      <w:r w:rsidRPr="009B47F6">
        <w:rPr>
          <w:rFonts w:asciiTheme="majorBidi" w:hAnsiTheme="majorBidi" w:cstheme="majorBidi"/>
        </w:rPr>
        <w:t xml:space="preserve"> T25 tissue homogenizer (IKA, Ultra-</w:t>
      </w:r>
      <w:proofErr w:type="spellStart"/>
      <w:r w:rsidRPr="009B47F6">
        <w:rPr>
          <w:rFonts w:asciiTheme="majorBidi" w:hAnsiTheme="majorBidi" w:cstheme="majorBidi"/>
        </w:rPr>
        <w:t>Turrax</w:t>
      </w:r>
      <w:proofErr w:type="spellEnd"/>
      <w:r w:rsidRPr="009B47F6">
        <w:rPr>
          <w:rFonts w:asciiTheme="majorBidi" w:hAnsiTheme="majorBidi" w:cstheme="majorBidi"/>
        </w:rPr>
        <w:t>, T25 basic, Germany).</w:t>
      </w:r>
    </w:p>
    <w:p w:rsidR="009C4C60" w:rsidRPr="009B47F6" w:rsidRDefault="009C4C60" w:rsidP="00BE1589">
      <w:pPr>
        <w:ind w:firstLine="720"/>
        <w:jc w:val="both"/>
        <w:rPr>
          <w:rFonts w:asciiTheme="majorBidi" w:hAnsiTheme="majorBidi" w:cstheme="majorBidi"/>
        </w:rPr>
      </w:pPr>
      <w:r w:rsidRPr="009B47F6">
        <w:rPr>
          <w:rFonts w:asciiTheme="majorBidi" w:hAnsiTheme="majorBidi" w:cstheme="majorBidi"/>
        </w:rPr>
        <w:t xml:space="preserve">Extraction method similar in principle to method described by </w:t>
      </w:r>
      <w:r w:rsidRPr="00E43FE5">
        <w:rPr>
          <w:rFonts w:asciiTheme="majorBidi" w:hAnsiTheme="majorBidi" w:cstheme="majorBidi"/>
          <w:b/>
          <w:bCs/>
        </w:rPr>
        <w:t xml:space="preserve">Biswas </w:t>
      </w:r>
      <w:r w:rsidRPr="00E43FE5">
        <w:rPr>
          <w:rFonts w:asciiTheme="majorBidi" w:hAnsiTheme="majorBidi" w:cstheme="majorBidi"/>
          <w:b/>
          <w:bCs/>
          <w:i/>
          <w:iCs/>
        </w:rPr>
        <w:t>et al.,</w:t>
      </w:r>
      <w:r w:rsidRPr="00E43FE5">
        <w:rPr>
          <w:rFonts w:asciiTheme="majorBidi" w:hAnsiTheme="majorBidi" w:cstheme="majorBidi"/>
          <w:b/>
          <w:bCs/>
        </w:rPr>
        <w:t xml:space="preserve"> (2007)</w:t>
      </w:r>
      <w:r w:rsidR="00D45E80">
        <w:rPr>
          <w:rFonts w:asciiTheme="majorBidi" w:hAnsiTheme="majorBidi" w:cstheme="majorBidi"/>
        </w:rPr>
        <w:t>t</w:t>
      </w:r>
      <w:r w:rsidRPr="009B47F6">
        <w:rPr>
          <w:rFonts w:asciiTheme="majorBidi" w:hAnsiTheme="majorBidi" w:cstheme="majorBidi"/>
        </w:rPr>
        <w:t>he solid phase extraction (SPE) apparatus (</w:t>
      </w:r>
      <w:proofErr w:type="spellStart"/>
      <w:r w:rsidRPr="009B47F6">
        <w:rPr>
          <w:rFonts w:asciiTheme="majorBidi" w:hAnsiTheme="majorBidi" w:cstheme="majorBidi"/>
        </w:rPr>
        <w:t>Lichrolut</w:t>
      </w:r>
      <w:proofErr w:type="spellEnd"/>
      <w:r w:rsidRPr="009B47F6">
        <w:rPr>
          <w:rFonts w:asciiTheme="majorBidi" w:hAnsiTheme="majorBidi" w:cstheme="majorBidi"/>
        </w:rPr>
        <w:t>) was set up and Bond-Elute C18 cartridge. A 28 ml of universal bottles were placed under the column for receiving waste</w:t>
      </w:r>
      <w:r w:rsidR="00D45E80">
        <w:rPr>
          <w:rFonts w:asciiTheme="majorBidi" w:hAnsiTheme="majorBidi" w:cstheme="majorBidi"/>
        </w:rPr>
        <w:t xml:space="preserve"> t</w:t>
      </w:r>
      <w:r w:rsidRPr="009B47F6">
        <w:rPr>
          <w:rFonts w:asciiTheme="majorBidi" w:hAnsiTheme="majorBidi" w:cstheme="majorBidi"/>
        </w:rPr>
        <w:t>he</w:t>
      </w:r>
      <w:r w:rsidR="00D45E80">
        <w:rPr>
          <w:rFonts w:asciiTheme="majorBidi" w:hAnsiTheme="majorBidi" w:cstheme="majorBidi"/>
        </w:rPr>
        <w:t>n</w:t>
      </w:r>
      <w:r w:rsidRPr="009B47F6">
        <w:rPr>
          <w:rFonts w:asciiTheme="majorBidi" w:hAnsiTheme="majorBidi" w:cstheme="majorBidi"/>
        </w:rPr>
        <w:t xml:space="preserve"> supernatant fluids passed through a Bond-Elute C18 cartridge column (3 ml Varian, USA) at a flow rate of 1 ml/min preconditioned with 5 ml of HPLC water followed by vacuum drying. The residue was dissolved with 500 </w:t>
      </w:r>
      <w:proofErr w:type="spellStart"/>
      <w:r w:rsidRPr="009B47F6">
        <w:rPr>
          <w:rFonts w:asciiTheme="majorBidi" w:hAnsiTheme="majorBidi" w:cstheme="majorBidi"/>
        </w:rPr>
        <w:t>μL</w:t>
      </w:r>
      <w:proofErr w:type="spellEnd"/>
      <w:r w:rsidRPr="009B47F6">
        <w:rPr>
          <w:rFonts w:asciiTheme="majorBidi" w:hAnsiTheme="majorBidi" w:cstheme="majorBidi"/>
        </w:rPr>
        <w:t xml:space="preserve"> of an acetonitrile/water mixture (1:1) and filtered through a disposable syringe filter (Mini </w:t>
      </w:r>
      <w:proofErr w:type="spellStart"/>
      <w:r w:rsidRPr="009B47F6">
        <w:rPr>
          <w:rFonts w:asciiTheme="majorBidi" w:hAnsiTheme="majorBidi" w:cstheme="majorBidi"/>
        </w:rPr>
        <w:t>Sart</w:t>
      </w:r>
      <w:proofErr w:type="spellEnd"/>
      <w:r w:rsidRPr="009B47F6">
        <w:rPr>
          <w:rFonts w:asciiTheme="majorBidi" w:hAnsiTheme="majorBidi" w:cstheme="majorBidi"/>
        </w:rPr>
        <w:t xml:space="preserve"> RC4, 0.45 </w:t>
      </w:r>
      <w:proofErr w:type="spellStart"/>
      <w:r w:rsidRPr="009B47F6">
        <w:rPr>
          <w:rFonts w:asciiTheme="majorBidi" w:hAnsiTheme="majorBidi" w:cstheme="majorBidi"/>
        </w:rPr>
        <w:t>μm</w:t>
      </w:r>
      <w:proofErr w:type="spellEnd"/>
      <w:r w:rsidRPr="009B47F6">
        <w:rPr>
          <w:rFonts w:asciiTheme="majorBidi" w:hAnsiTheme="majorBidi" w:cstheme="majorBidi"/>
        </w:rPr>
        <w:t>, Sartorius AG, Germany) into HPLC autosampler vials for HPLC analysis.</w:t>
      </w:r>
    </w:p>
    <w:p w:rsidR="009C4C60" w:rsidRPr="00E43FE5" w:rsidRDefault="009C4C60" w:rsidP="00BE1589">
      <w:pPr>
        <w:jc w:val="both"/>
        <w:rPr>
          <w:rFonts w:asciiTheme="majorBidi" w:hAnsiTheme="majorBidi" w:cstheme="majorBidi"/>
          <w:b/>
        </w:rPr>
      </w:pPr>
      <w:r w:rsidRPr="00E43FE5">
        <w:rPr>
          <w:rFonts w:asciiTheme="majorBidi" w:hAnsiTheme="majorBidi" w:cstheme="majorBidi"/>
          <w:b/>
        </w:rPr>
        <w:t>HPLC Determination:</w:t>
      </w:r>
    </w:p>
    <w:p w:rsidR="009C4C60" w:rsidRPr="009B47F6" w:rsidRDefault="009C4C60" w:rsidP="009C4C60">
      <w:pPr>
        <w:ind w:firstLine="720"/>
        <w:jc w:val="both"/>
        <w:rPr>
          <w:rFonts w:asciiTheme="majorBidi" w:hAnsiTheme="majorBidi" w:cstheme="majorBidi"/>
        </w:rPr>
      </w:pPr>
      <w:r w:rsidRPr="009B47F6">
        <w:rPr>
          <w:rFonts w:asciiTheme="majorBidi" w:hAnsiTheme="majorBidi" w:cstheme="majorBidi"/>
        </w:rPr>
        <w:t xml:space="preserve">Analysis of the sulfonamide standards and extracted samples were conducted using a HPLC system equipped with HPLC column oven L-7300, detector L-7400, auto sampler L-7200, pump L-7100, vacuum degasser L-76610, interface module D-7000 and HSM software (Hitachi D-7000 series, Japan). The samples were filtered through disposable syringe filter (Mini </w:t>
      </w:r>
      <w:proofErr w:type="spellStart"/>
      <w:r w:rsidRPr="009B47F6">
        <w:rPr>
          <w:rFonts w:asciiTheme="majorBidi" w:hAnsiTheme="majorBidi" w:cstheme="majorBidi"/>
        </w:rPr>
        <w:t>Sart</w:t>
      </w:r>
      <w:proofErr w:type="spellEnd"/>
      <w:r w:rsidRPr="009B47F6">
        <w:rPr>
          <w:rFonts w:asciiTheme="majorBidi" w:hAnsiTheme="majorBidi" w:cstheme="majorBidi"/>
        </w:rPr>
        <w:t xml:space="preserve"> RC4, 0.45 </w:t>
      </w:r>
      <w:proofErr w:type="spellStart"/>
      <w:r w:rsidRPr="009B47F6">
        <w:rPr>
          <w:rFonts w:asciiTheme="majorBidi" w:hAnsiTheme="majorBidi" w:cstheme="majorBidi"/>
        </w:rPr>
        <w:t>μm</w:t>
      </w:r>
      <w:proofErr w:type="spellEnd"/>
      <w:r w:rsidRPr="009B47F6">
        <w:rPr>
          <w:rFonts w:asciiTheme="majorBidi" w:hAnsiTheme="majorBidi" w:cstheme="majorBidi"/>
        </w:rPr>
        <w:t xml:space="preserve">, Sartorius AG, Germany); the filtrates were directly collected into HPLC sample vials </w:t>
      </w:r>
      <w:r w:rsidR="00BE1589">
        <w:rPr>
          <w:rFonts w:asciiTheme="majorBidi" w:hAnsiTheme="majorBidi" w:cstheme="majorBidi"/>
        </w:rPr>
        <w:t>t</w:t>
      </w:r>
      <w:r w:rsidRPr="009B47F6">
        <w:rPr>
          <w:rFonts w:asciiTheme="majorBidi" w:hAnsiTheme="majorBidi" w:cstheme="majorBidi"/>
        </w:rPr>
        <w:t xml:space="preserve">hen placed in HPLC auto sampler vial rack. A </w:t>
      </w:r>
      <w:proofErr w:type="spellStart"/>
      <w:r w:rsidRPr="009B47F6">
        <w:rPr>
          <w:rFonts w:asciiTheme="majorBidi" w:hAnsiTheme="majorBidi" w:cstheme="majorBidi"/>
        </w:rPr>
        <w:t>Teknokroma</w:t>
      </w:r>
      <w:proofErr w:type="spellEnd"/>
      <w:r w:rsidRPr="009B47F6">
        <w:rPr>
          <w:rFonts w:asciiTheme="majorBidi" w:hAnsiTheme="majorBidi" w:cstheme="majorBidi"/>
        </w:rPr>
        <w:t xml:space="preserve"> </w:t>
      </w:r>
      <w:proofErr w:type="spellStart"/>
      <w:r w:rsidRPr="009B47F6">
        <w:rPr>
          <w:rFonts w:asciiTheme="majorBidi" w:hAnsiTheme="majorBidi" w:cstheme="majorBidi"/>
        </w:rPr>
        <w:t>Mediterranea</w:t>
      </w:r>
      <w:proofErr w:type="spellEnd"/>
      <w:r w:rsidRPr="009B47F6">
        <w:rPr>
          <w:rFonts w:asciiTheme="majorBidi" w:hAnsiTheme="majorBidi" w:cstheme="majorBidi"/>
        </w:rPr>
        <w:t xml:space="preserve"> C 18 (5 µm 25 cm×0.46) column was used for the separation of the 5 sulfonamides using 0.01 M potassium di-hydrogen phosphate buffer and methanol at 70:30, v/v as the mobile phase. The flow rate was fixed at 1.0 ml/min and analysis was performed at 35 ºC. The injection volume was 15 </w:t>
      </w:r>
      <w:proofErr w:type="spellStart"/>
      <w:r w:rsidRPr="009B47F6">
        <w:rPr>
          <w:rFonts w:asciiTheme="majorBidi" w:hAnsiTheme="majorBidi" w:cstheme="majorBidi"/>
        </w:rPr>
        <w:t>μL</w:t>
      </w:r>
      <w:proofErr w:type="spellEnd"/>
      <w:r w:rsidRPr="009B47F6">
        <w:rPr>
          <w:rFonts w:asciiTheme="majorBidi" w:hAnsiTheme="majorBidi" w:cstheme="majorBidi"/>
        </w:rPr>
        <w:t xml:space="preserve"> and ultraviolet detector wavelength of 265 nm was applied.</w:t>
      </w:r>
    </w:p>
    <w:p w:rsidR="009C4C60" w:rsidRPr="00E43FE5" w:rsidRDefault="009C4C60" w:rsidP="009C4C60">
      <w:pPr>
        <w:jc w:val="both"/>
        <w:rPr>
          <w:rFonts w:asciiTheme="majorBidi" w:hAnsiTheme="majorBidi" w:cstheme="majorBidi"/>
          <w:b/>
        </w:rPr>
      </w:pPr>
      <w:r w:rsidRPr="00E43FE5">
        <w:rPr>
          <w:rFonts w:asciiTheme="majorBidi" w:hAnsiTheme="majorBidi" w:cstheme="majorBidi"/>
          <w:b/>
        </w:rPr>
        <w:t>The optimal wavelength of detection:</w:t>
      </w:r>
    </w:p>
    <w:p w:rsidR="009C4C60" w:rsidRPr="009B47F6" w:rsidRDefault="009C4C60" w:rsidP="0035181E">
      <w:pPr>
        <w:ind w:firstLine="720"/>
        <w:jc w:val="both"/>
        <w:rPr>
          <w:rFonts w:asciiTheme="majorBidi" w:hAnsiTheme="majorBidi" w:cstheme="majorBidi"/>
        </w:rPr>
      </w:pPr>
      <w:r w:rsidRPr="009B47F6">
        <w:rPr>
          <w:rFonts w:asciiTheme="majorBidi" w:hAnsiTheme="majorBidi" w:cstheme="majorBidi"/>
        </w:rPr>
        <w:t xml:space="preserve">Spectrophotometer </w:t>
      </w:r>
      <w:r w:rsidR="0035181E">
        <w:rPr>
          <w:rFonts w:asciiTheme="majorBidi" w:hAnsiTheme="majorBidi" w:cstheme="majorBidi"/>
        </w:rPr>
        <w:t xml:space="preserve">used for detection of </w:t>
      </w:r>
      <w:r w:rsidR="0035181E" w:rsidRPr="009B47F6">
        <w:rPr>
          <w:rFonts w:asciiTheme="majorBidi" w:hAnsiTheme="majorBidi" w:cstheme="majorBidi"/>
        </w:rPr>
        <w:t xml:space="preserve">sulfonamides residues in poultry meat and </w:t>
      </w:r>
      <w:r w:rsidR="0035181E">
        <w:rPr>
          <w:rFonts w:asciiTheme="majorBidi" w:hAnsiTheme="majorBidi" w:cstheme="majorBidi"/>
        </w:rPr>
        <w:t xml:space="preserve">offal with </w:t>
      </w:r>
      <w:r w:rsidRPr="009B47F6">
        <w:rPr>
          <w:rFonts w:asciiTheme="majorBidi" w:hAnsiTheme="majorBidi" w:cstheme="majorBidi"/>
        </w:rPr>
        <w:t>maximum absorption at 250-275 nm</w:t>
      </w:r>
      <w:r w:rsidR="0035181E">
        <w:rPr>
          <w:rFonts w:asciiTheme="majorBidi" w:hAnsiTheme="majorBidi" w:cstheme="majorBidi"/>
        </w:rPr>
        <w:t>,</w:t>
      </w:r>
      <w:r w:rsidRPr="009B47F6">
        <w:rPr>
          <w:rFonts w:asciiTheme="majorBidi" w:hAnsiTheme="majorBidi" w:cstheme="majorBidi"/>
        </w:rPr>
        <w:t xml:space="preserve"> UV at 265 nm. A standard calibration curve for sulfonamides was obtained (in triplicate) on HPLC and then plotting peak areas against concentrations </w:t>
      </w:r>
      <w:r w:rsidR="00FD7BAB">
        <w:rPr>
          <w:rFonts w:asciiTheme="majorBidi" w:hAnsiTheme="majorBidi" w:cstheme="majorBidi"/>
        </w:rPr>
        <w:t>(</w:t>
      </w:r>
      <w:r w:rsidRPr="009B47F6">
        <w:rPr>
          <w:rFonts w:asciiTheme="majorBidi" w:hAnsiTheme="majorBidi" w:cstheme="majorBidi"/>
        </w:rPr>
        <w:t>µg/g</w:t>
      </w:r>
      <w:r w:rsidR="00FD7BAB">
        <w:rPr>
          <w:rFonts w:asciiTheme="majorBidi" w:hAnsiTheme="majorBidi" w:cstheme="majorBidi"/>
        </w:rPr>
        <w:t>)</w:t>
      </w:r>
      <w:r w:rsidRPr="009B47F6">
        <w:rPr>
          <w:rFonts w:asciiTheme="majorBidi" w:hAnsiTheme="majorBidi" w:cstheme="majorBidi"/>
        </w:rPr>
        <w:t xml:space="preserve">. Linearity was evaluated through the correlation coefficient. The best fit of data was determined by linear regression using the following equation: </w:t>
      </w:r>
    </w:p>
    <w:p w:rsidR="009C4C60" w:rsidRPr="009B47F6" w:rsidRDefault="009C4C60" w:rsidP="009C4C60">
      <w:pPr>
        <w:ind w:firstLine="720"/>
        <w:jc w:val="both"/>
        <w:rPr>
          <w:rFonts w:asciiTheme="majorBidi" w:hAnsiTheme="majorBidi" w:cstheme="majorBidi"/>
        </w:rPr>
      </w:pPr>
      <w:r w:rsidRPr="009B47F6">
        <w:rPr>
          <w:rFonts w:asciiTheme="majorBidi" w:hAnsiTheme="majorBidi" w:cstheme="majorBidi"/>
        </w:rPr>
        <w:t>Y= mx +b</w:t>
      </w:r>
    </w:p>
    <w:p w:rsidR="009C4C60" w:rsidRPr="009B47F6" w:rsidRDefault="009C4C60" w:rsidP="00FD7BAB">
      <w:pPr>
        <w:jc w:val="both"/>
        <w:rPr>
          <w:rFonts w:asciiTheme="majorBidi" w:hAnsiTheme="majorBidi" w:cstheme="majorBidi"/>
        </w:rPr>
      </w:pPr>
      <w:r w:rsidRPr="009B47F6">
        <w:rPr>
          <w:rFonts w:asciiTheme="majorBidi" w:hAnsiTheme="majorBidi" w:cstheme="majorBidi"/>
        </w:rPr>
        <w:t>Where:</w:t>
      </w:r>
      <w:r w:rsidR="00754ACB">
        <w:rPr>
          <w:rFonts w:asciiTheme="majorBidi" w:hAnsiTheme="majorBidi" w:cstheme="majorBidi"/>
        </w:rPr>
        <w:t xml:space="preserve"> </w:t>
      </w:r>
      <w:r w:rsidRPr="009B47F6">
        <w:rPr>
          <w:rFonts w:asciiTheme="majorBidi" w:hAnsiTheme="majorBidi" w:cstheme="majorBidi"/>
        </w:rPr>
        <w:t>Y = Peak area</w:t>
      </w:r>
      <w:r w:rsidRPr="009B47F6">
        <w:rPr>
          <w:rFonts w:asciiTheme="majorBidi" w:hAnsiTheme="majorBidi" w:cstheme="majorBidi"/>
        </w:rPr>
        <w:tab/>
      </w:r>
      <w:r w:rsidRPr="009B47F6">
        <w:rPr>
          <w:rFonts w:asciiTheme="majorBidi" w:hAnsiTheme="majorBidi" w:cstheme="majorBidi"/>
        </w:rPr>
        <w:tab/>
        <w:t>m = Slope</w:t>
      </w:r>
      <w:r w:rsidR="00FD7BAB">
        <w:rPr>
          <w:rFonts w:asciiTheme="majorBidi" w:hAnsiTheme="majorBidi" w:cstheme="majorBidi"/>
        </w:rPr>
        <w:tab/>
      </w:r>
      <w:r w:rsidRPr="009B47F6">
        <w:rPr>
          <w:rFonts w:asciiTheme="majorBidi" w:hAnsiTheme="majorBidi" w:cstheme="majorBidi"/>
        </w:rPr>
        <w:t>x = Concentration</w:t>
      </w:r>
      <w:r w:rsidRPr="009B47F6">
        <w:rPr>
          <w:rFonts w:asciiTheme="majorBidi" w:hAnsiTheme="majorBidi" w:cstheme="majorBidi"/>
        </w:rPr>
        <w:tab/>
      </w:r>
      <w:r w:rsidRPr="009B47F6">
        <w:rPr>
          <w:rFonts w:asciiTheme="majorBidi" w:hAnsiTheme="majorBidi" w:cstheme="majorBidi"/>
        </w:rPr>
        <w:tab/>
        <w:t>b = Intercept</w:t>
      </w:r>
    </w:p>
    <w:p w:rsidR="009C4C60" w:rsidRPr="0035181E" w:rsidRDefault="009C4C60" w:rsidP="0035181E">
      <w:pPr>
        <w:jc w:val="both"/>
        <w:rPr>
          <w:rFonts w:asciiTheme="majorBidi" w:hAnsiTheme="majorBidi" w:cstheme="majorBidi"/>
          <w:b/>
        </w:rPr>
      </w:pPr>
      <w:r w:rsidRPr="00A84F44">
        <w:rPr>
          <w:rFonts w:asciiTheme="majorBidi" w:hAnsiTheme="majorBidi" w:cstheme="majorBidi"/>
          <w:b/>
        </w:rPr>
        <w:t>Limit of Detection (LOD):</w:t>
      </w:r>
      <w:r w:rsidR="00754ACB">
        <w:rPr>
          <w:rFonts w:asciiTheme="majorBidi" w:hAnsiTheme="majorBidi" w:cstheme="majorBidi"/>
        </w:rPr>
        <w:t xml:space="preserve"> </w:t>
      </w:r>
      <w:r w:rsidRPr="009B47F6">
        <w:rPr>
          <w:rFonts w:asciiTheme="majorBidi" w:hAnsiTheme="majorBidi" w:cstheme="majorBidi"/>
        </w:rPr>
        <w:t xml:space="preserve">The present method provided the limit of detection of sulfonamides residues in meat samples at 0.02 </w:t>
      </w:r>
      <w:proofErr w:type="spellStart"/>
      <w:r w:rsidRPr="009B47F6">
        <w:rPr>
          <w:rFonts w:asciiTheme="majorBidi" w:hAnsiTheme="majorBidi" w:cstheme="majorBidi"/>
        </w:rPr>
        <w:t>μg</w:t>
      </w:r>
      <w:proofErr w:type="spellEnd"/>
      <w:r w:rsidRPr="009B47F6">
        <w:rPr>
          <w:rFonts w:asciiTheme="majorBidi" w:hAnsiTheme="majorBidi" w:cstheme="majorBidi"/>
        </w:rPr>
        <w:t xml:space="preserve">/g and 0.025 µg/ml, respectively which were below the MRL (0.1 </w:t>
      </w:r>
      <w:proofErr w:type="spellStart"/>
      <w:r w:rsidRPr="009B47F6">
        <w:rPr>
          <w:rFonts w:asciiTheme="majorBidi" w:hAnsiTheme="majorBidi" w:cstheme="majorBidi"/>
        </w:rPr>
        <w:t>μg</w:t>
      </w:r>
      <w:proofErr w:type="spellEnd"/>
      <w:r w:rsidRPr="009B47F6">
        <w:rPr>
          <w:rFonts w:asciiTheme="majorBidi" w:hAnsiTheme="majorBidi" w:cstheme="majorBidi"/>
        </w:rPr>
        <w:t>/g).</w:t>
      </w:r>
    </w:p>
    <w:p w:rsidR="009C4C60" w:rsidRPr="00A84F44" w:rsidRDefault="009C4C60" w:rsidP="009C4C60">
      <w:pPr>
        <w:jc w:val="both"/>
        <w:rPr>
          <w:rFonts w:asciiTheme="majorBidi" w:hAnsiTheme="majorBidi" w:cstheme="majorBidi"/>
          <w:b/>
        </w:rPr>
      </w:pPr>
      <w:r w:rsidRPr="00A84F44">
        <w:rPr>
          <w:rFonts w:asciiTheme="majorBidi" w:hAnsiTheme="majorBidi" w:cstheme="majorBidi"/>
          <w:b/>
        </w:rPr>
        <w:t>Detection of 17 β-Estradiol residues:</w:t>
      </w:r>
    </w:p>
    <w:p w:rsidR="009C4C60" w:rsidRPr="00A84F44" w:rsidRDefault="009C4C60" w:rsidP="009C4C60">
      <w:pPr>
        <w:jc w:val="both"/>
        <w:rPr>
          <w:rFonts w:asciiTheme="majorBidi" w:hAnsiTheme="majorBidi" w:cstheme="majorBidi"/>
          <w:b/>
        </w:rPr>
      </w:pPr>
      <w:r w:rsidRPr="00A84F44">
        <w:rPr>
          <w:rFonts w:asciiTheme="majorBidi" w:hAnsiTheme="majorBidi" w:cstheme="majorBidi"/>
          <w:b/>
        </w:rPr>
        <w:t>Preparation of samples</w:t>
      </w:r>
    </w:p>
    <w:p w:rsidR="009C4C60" w:rsidRPr="009B47F6" w:rsidRDefault="009C4C60" w:rsidP="009C4C60">
      <w:pPr>
        <w:ind w:firstLine="720"/>
        <w:jc w:val="both"/>
        <w:rPr>
          <w:rFonts w:asciiTheme="majorBidi" w:hAnsiTheme="majorBidi" w:cstheme="majorBidi"/>
        </w:rPr>
      </w:pPr>
      <w:r w:rsidRPr="009B47F6">
        <w:rPr>
          <w:rFonts w:asciiTheme="majorBidi" w:hAnsiTheme="majorBidi" w:cstheme="majorBidi"/>
        </w:rPr>
        <w:t xml:space="preserve">Ten grams of </w:t>
      </w:r>
      <w:r w:rsidR="0035181E">
        <w:rPr>
          <w:rFonts w:asciiTheme="majorBidi" w:hAnsiTheme="majorBidi" w:cstheme="majorBidi"/>
        </w:rPr>
        <w:t xml:space="preserve">samples </w:t>
      </w:r>
      <w:r w:rsidRPr="009B47F6">
        <w:rPr>
          <w:rFonts w:asciiTheme="majorBidi" w:hAnsiTheme="majorBidi" w:cstheme="majorBidi"/>
        </w:rPr>
        <w:t>homogenized with 10 mL of 67mM PBS buffer by mixer for 5minutes.Then</w:t>
      </w:r>
      <w:r w:rsidR="00640F4B">
        <w:rPr>
          <w:rFonts w:asciiTheme="majorBidi" w:hAnsiTheme="majorBidi" w:cstheme="majorBidi"/>
        </w:rPr>
        <w:t>2</w:t>
      </w:r>
      <w:r w:rsidRPr="009B47F6">
        <w:rPr>
          <w:rFonts w:asciiTheme="majorBidi" w:hAnsiTheme="majorBidi" w:cstheme="majorBidi"/>
        </w:rPr>
        <w:t xml:space="preserve"> gm of homogenized sample were mixed with 5mL of tertiary butyl methyl ether (TBME) in a centrifugal and shaken vigorously by shaker for 30-60min. After that, </w:t>
      </w:r>
      <w:r w:rsidR="00640F4B">
        <w:rPr>
          <w:rFonts w:asciiTheme="majorBidi" w:hAnsiTheme="majorBidi" w:cstheme="majorBidi"/>
        </w:rPr>
        <w:t>re</w:t>
      </w:r>
      <w:r w:rsidR="00754ACB">
        <w:rPr>
          <w:rFonts w:asciiTheme="majorBidi" w:hAnsiTheme="majorBidi" w:cstheme="majorBidi"/>
        </w:rPr>
        <w:t>-</w:t>
      </w:r>
      <w:r w:rsidRPr="009B47F6">
        <w:rPr>
          <w:rFonts w:asciiTheme="majorBidi" w:hAnsiTheme="majorBidi" w:cstheme="majorBidi"/>
        </w:rPr>
        <w:t>centrifuged at 3000 rpm</w:t>
      </w:r>
      <w:r w:rsidR="00640F4B">
        <w:rPr>
          <w:rFonts w:asciiTheme="majorBidi" w:hAnsiTheme="majorBidi" w:cstheme="majorBidi"/>
        </w:rPr>
        <w:t>/</w:t>
      </w:r>
      <w:r w:rsidRPr="009B47F6">
        <w:rPr>
          <w:rFonts w:asciiTheme="majorBidi" w:hAnsiTheme="majorBidi" w:cstheme="majorBidi"/>
        </w:rPr>
        <w:t>10 min.</w:t>
      </w:r>
      <w:r w:rsidR="00754ACB">
        <w:rPr>
          <w:rFonts w:asciiTheme="majorBidi" w:hAnsiTheme="majorBidi" w:cstheme="majorBidi"/>
        </w:rPr>
        <w:t xml:space="preserve"> </w:t>
      </w:r>
      <w:r w:rsidRPr="009B47F6">
        <w:rPr>
          <w:rFonts w:asciiTheme="majorBidi" w:hAnsiTheme="majorBidi" w:cstheme="majorBidi"/>
        </w:rPr>
        <w:t>The</w:t>
      </w:r>
      <w:r w:rsidR="00640F4B">
        <w:rPr>
          <w:rFonts w:asciiTheme="majorBidi" w:hAnsiTheme="majorBidi" w:cstheme="majorBidi"/>
        </w:rPr>
        <w:t>n dried</w:t>
      </w:r>
      <w:r w:rsidRPr="009B47F6">
        <w:rPr>
          <w:rFonts w:asciiTheme="majorBidi" w:hAnsiTheme="majorBidi" w:cstheme="majorBidi"/>
        </w:rPr>
        <w:t xml:space="preserve"> extract </w:t>
      </w:r>
      <w:r w:rsidR="00640F4B">
        <w:rPr>
          <w:rFonts w:asciiTheme="majorBidi" w:hAnsiTheme="majorBidi" w:cstheme="majorBidi"/>
        </w:rPr>
        <w:t>and</w:t>
      </w:r>
      <w:r w:rsidRPr="009B47F6">
        <w:rPr>
          <w:rFonts w:asciiTheme="majorBidi" w:hAnsiTheme="majorBidi" w:cstheme="majorBidi"/>
        </w:rPr>
        <w:t xml:space="preserve"> dissolved in 1mL of 40% methanol for MT and 80% methanol for TBA.</w:t>
      </w:r>
    </w:p>
    <w:p w:rsidR="009C4C60" w:rsidRPr="009B47F6" w:rsidRDefault="009C4C60" w:rsidP="009C4C60">
      <w:pPr>
        <w:ind w:firstLine="720"/>
        <w:jc w:val="both"/>
        <w:rPr>
          <w:rFonts w:asciiTheme="majorBidi" w:hAnsiTheme="majorBidi" w:cstheme="majorBidi"/>
        </w:rPr>
      </w:pPr>
      <w:r w:rsidRPr="009B47F6">
        <w:rPr>
          <w:rFonts w:asciiTheme="majorBidi" w:hAnsiTheme="majorBidi" w:cstheme="majorBidi"/>
        </w:rPr>
        <w:t>The methanolic solution was diluted with 2mL of 20mM PBS-buffer and applied to a RIDA C18 column (Art. No. R2002); flow rate: 1 drop / sec.-Column was rinsed by flowing of 3mL methanol (100%).Column was rinsed by injection of 2mL methanol(40%).Column was dried by pressing nitrogen through it for 3min.Sample was eluted</w:t>
      </w:r>
      <w:r w:rsidR="00640F4B">
        <w:rPr>
          <w:rFonts w:asciiTheme="majorBidi" w:hAnsiTheme="majorBidi" w:cstheme="majorBidi"/>
        </w:rPr>
        <w:t>,</w:t>
      </w:r>
      <w:r w:rsidRPr="009B47F6">
        <w:rPr>
          <w:rFonts w:asciiTheme="majorBidi" w:hAnsiTheme="majorBidi" w:cstheme="majorBidi"/>
        </w:rPr>
        <w:t xml:space="preserve"> injection of 1mL methanol (80 %) </w:t>
      </w:r>
      <w:r w:rsidR="00640F4B">
        <w:rPr>
          <w:rFonts w:asciiTheme="majorBidi" w:hAnsiTheme="majorBidi" w:cstheme="majorBidi"/>
        </w:rPr>
        <w:t>then</w:t>
      </w:r>
      <w:r w:rsidRPr="009B47F6">
        <w:rPr>
          <w:rFonts w:asciiTheme="majorBidi" w:hAnsiTheme="majorBidi" w:cstheme="majorBidi"/>
        </w:rPr>
        <w:t xml:space="preserve"> diluted with water, 20μL per well of resulting solution was used in the test.</w:t>
      </w:r>
    </w:p>
    <w:p w:rsidR="009C4C60" w:rsidRPr="00FD7BAB" w:rsidRDefault="009C4C60" w:rsidP="00FD7BAB">
      <w:pPr>
        <w:jc w:val="both"/>
        <w:rPr>
          <w:rFonts w:asciiTheme="majorBidi" w:hAnsiTheme="majorBidi" w:cstheme="majorBidi"/>
          <w:b/>
        </w:rPr>
      </w:pPr>
      <w:r w:rsidRPr="00A84F44">
        <w:rPr>
          <w:rFonts w:asciiTheme="majorBidi" w:hAnsiTheme="majorBidi" w:cstheme="majorBidi"/>
          <w:b/>
        </w:rPr>
        <w:t>Test procedures</w:t>
      </w:r>
      <w:r w:rsidR="00FD7BAB">
        <w:rPr>
          <w:rFonts w:asciiTheme="majorBidi" w:hAnsiTheme="majorBidi" w:cstheme="majorBidi"/>
          <w:b/>
        </w:rPr>
        <w:t xml:space="preserve">: </w:t>
      </w:r>
      <w:r w:rsidRPr="009B47F6">
        <w:rPr>
          <w:rFonts w:asciiTheme="majorBidi" w:hAnsiTheme="majorBidi" w:cstheme="majorBidi"/>
        </w:rPr>
        <w:t>The test procedures were done according to the chart enclosed in the kits of RIDAR and RIDS screen.</w:t>
      </w:r>
      <w:r w:rsidR="00754ACB">
        <w:rPr>
          <w:rFonts w:asciiTheme="majorBidi" w:hAnsiTheme="majorBidi" w:cstheme="majorBidi"/>
        </w:rPr>
        <w:t xml:space="preserve"> </w:t>
      </w:r>
      <w:r w:rsidRPr="009B47F6">
        <w:rPr>
          <w:rFonts w:asciiTheme="majorBidi" w:hAnsiTheme="majorBidi" w:cstheme="majorBidi"/>
        </w:rPr>
        <w:t>R is register trademarks of R-</w:t>
      </w:r>
      <w:proofErr w:type="spellStart"/>
      <w:r w:rsidRPr="009B47F6">
        <w:rPr>
          <w:rFonts w:asciiTheme="majorBidi" w:hAnsiTheme="majorBidi" w:cstheme="majorBidi"/>
        </w:rPr>
        <w:t>Biopharm</w:t>
      </w:r>
      <w:proofErr w:type="spellEnd"/>
      <w:r w:rsidRPr="009B47F6">
        <w:rPr>
          <w:rFonts w:asciiTheme="majorBidi" w:hAnsiTheme="majorBidi" w:cstheme="majorBidi"/>
        </w:rPr>
        <w:t xml:space="preserve"> AG, Darmstadt, Germany. R-</w:t>
      </w:r>
      <w:proofErr w:type="spellStart"/>
      <w:r w:rsidRPr="009B47F6">
        <w:rPr>
          <w:rFonts w:asciiTheme="majorBidi" w:hAnsiTheme="majorBidi" w:cstheme="majorBidi"/>
        </w:rPr>
        <w:t>Biopharm</w:t>
      </w:r>
      <w:proofErr w:type="spellEnd"/>
      <w:r w:rsidRPr="009B47F6">
        <w:rPr>
          <w:rFonts w:asciiTheme="majorBidi" w:hAnsiTheme="majorBidi" w:cstheme="majorBidi"/>
        </w:rPr>
        <w:t xml:space="preserve"> AG is ISO certified.</w:t>
      </w:r>
    </w:p>
    <w:p w:rsidR="009C4C60" w:rsidRDefault="009C4C60" w:rsidP="00FD7BAB">
      <w:pPr>
        <w:jc w:val="both"/>
        <w:rPr>
          <w:rFonts w:asciiTheme="majorBidi" w:hAnsiTheme="majorBidi" w:cstheme="majorBidi"/>
        </w:rPr>
      </w:pPr>
      <w:r w:rsidRPr="00A84F44">
        <w:rPr>
          <w:rFonts w:asciiTheme="majorBidi" w:hAnsiTheme="majorBidi" w:cstheme="majorBidi"/>
          <w:b/>
        </w:rPr>
        <w:t>The results were calculated by this equation:</w:t>
      </w:r>
      <w:r w:rsidRPr="009B47F6">
        <w:rPr>
          <w:rFonts w:asciiTheme="majorBidi" w:hAnsiTheme="majorBidi" w:cstheme="majorBidi"/>
        </w:rPr>
        <w:t>% absorbance = (OD sample/ OD standard) x 100, results were calculated as ppt.</w:t>
      </w:r>
      <w:r w:rsidR="00754ACB">
        <w:rPr>
          <w:rFonts w:asciiTheme="majorBidi" w:hAnsiTheme="majorBidi" w:cstheme="majorBidi"/>
        </w:rPr>
        <w:t xml:space="preserve"> </w:t>
      </w:r>
      <w:r w:rsidRPr="009B47F6">
        <w:rPr>
          <w:rFonts w:asciiTheme="majorBidi" w:hAnsiTheme="majorBidi" w:cstheme="majorBidi"/>
        </w:rPr>
        <w:t>In order to obtain the 17β-Estradiol concentration in ppt contained in the samples. The concentration was read from the calibration standard curve.</w:t>
      </w:r>
    </w:p>
    <w:p w:rsidR="0070097C" w:rsidRPr="0070097C" w:rsidRDefault="0070097C" w:rsidP="0070097C">
      <w:pPr>
        <w:jc w:val="both"/>
        <w:rPr>
          <w:rFonts w:asciiTheme="majorBidi" w:hAnsiTheme="majorBidi" w:cstheme="majorBidi"/>
          <w:b/>
        </w:rPr>
      </w:pPr>
      <w:r w:rsidRPr="0070097C">
        <w:rPr>
          <w:rFonts w:asciiTheme="majorBidi" w:hAnsiTheme="majorBidi" w:cstheme="majorBidi"/>
          <w:b/>
        </w:rPr>
        <w:t>Assessment of health risk</w:t>
      </w:r>
    </w:p>
    <w:p w:rsidR="00E75C40" w:rsidRDefault="0070097C" w:rsidP="00754ACB">
      <w:pPr>
        <w:ind w:firstLine="720"/>
        <w:jc w:val="both"/>
        <w:rPr>
          <w:rFonts w:asciiTheme="majorBidi" w:hAnsiTheme="majorBidi" w:cstheme="majorBidi"/>
        </w:rPr>
      </w:pPr>
      <w:r w:rsidRPr="0070097C">
        <w:rPr>
          <w:rFonts w:asciiTheme="majorBidi" w:hAnsiTheme="majorBidi" w:cstheme="majorBidi"/>
        </w:rPr>
        <w:t xml:space="preserve">Health risk estimates for </w:t>
      </w:r>
      <w:r>
        <w:rPr>
          <w:rFonts w:asciiTheme="majorBidi" w:hAnsiTheme="majorBidi" w:cstheme="majorBidi"/>
        </w:rPr>
        <w:t xml:space="preserve">different </w:t>
      </w:r>
      <w:r w:rsidR="00640F4B">
        <w:rPr>
          <w:rFonts w:asciiTheme="majorBidi" w:hAnsiTheme="majorBidi" w:cstheme="majorBidi"/>
        </w:rPr>
        <w:t>chemical</w:t>
      </w:r>
      <w:r w:rsidRPr="0070097C">
        <w:rPr>
          <w:rFonts w:asciiTheme="majorBidi" w:hAnsiTheme="majorBidi" w:cstheme="majorBidi"/>
        </w:rPr>
        <w:t xml:space="preserve"> residues in chicken </w:t>
      </w:r>
      <w:r>
        <w:rPr>
          <w:rFonts w:asciiTheme="majorBidi" w:hAnsiTheme="majorBidi" w:cstheme="majorBidi"/>
        </w:rPr>
        <w:t>meat and offal</w:t>
      </w:r>
      <w:r w:rsidRPr="0070097C">
        <w:rPr>
          <w:rFonts w:asciiTheme="majorBidi" w:hAnsiTheme="majorBidi" w:cstheme="majorBidi"/>
        </w:rPr>
        <w:t xml:space="preserve"> was computed using two basic standard indices: Estimated Average Daily Intake (EADI) and the acceptable daily </w:t>
      </w:r>
      <w:r w:rsidRPr="0070097C">
        <w:rPr>
          <w:rFonts w:asciiTheme="majorBidi" w:hAnsiTheme="majorBidi" w:cstheme="majorBidi"/>
        </w:rPr>
        <w:lastRenderedPageBreak/>
        <w:t xml:space="preserve">intake (ADI). Degree of risk associated within the consumption of each </w:t>
      </w:r>
      <w:r w:rsidR="00640F4B">
        <w:rPr>
          <w:rFonts w:asciiTheme="majorBidi" w:hAnsiTheme="majorBidi" w:cstheme="majorBidi"/>
        </w:rPr>
        <w:t>chemicals</w:t>
      </w:r>
      <w:r w:rsidRPr="0070097C">
        <w:rPr>
          <w:rFonts w:asciiTheme="majorBidi" w:hAnsiTheme="majorBidi" w:cstheme="majorBidi"/>
        </w:rPr>
        <w:t xml:space="preserve"> detected (present in chicken </w:t>
      </w:r>
      <w:r>
        <w:rPr>
          <w:rFonts w:asciiTheme="majorBidi" w:hAnsiTheme="majorBidi" w:cstheme="majorBidi"/>
        </w:rPr>
        <w:t>meat and offal</w:t>
      </w:r>
      <w:r w:rsidRPr="0070097C">
        <w:rPr>
          <w:rFonts w:asciiTheme="majorBidi" w:hAnsiTheme="majorBidi" w:cstheme="majorBidi"/>
        </w:rPr>
        <w:t xml:space="preserve">) was monitored by evaluating the results of </w:t>
      </w:r>
      <w:r>
        <w:rPr>
          <w:rFonts w:asciiTheme="majorBidi" w:hAnsiTheme="majorBidi" w:cstheme="majorBidi"/>
        </w:rPr>
        <w:t>chemical</w:t>
      </w:r>
      <w:r w:rsidRPr="0070097C">
        <w:rPr>
          <w:rFonts w:asciiTheme="majorBidi" w:hAnsiTheme="majorBidi" w:cstheme="majorBidi"/>
        </w:rPr>
        <w:t xml:space="preserve"> residues detected in samples. Health risk index (HRI) was calculated by using estimated daily intake (EDI) and acceptable daily intake (ADI). The value of acceptable daily intake for </w:t>
      </w:r>
      <w:r w:rsidR="00E75C40" w:rsidRPr="00BB3EDE">
        <w:t xml:space="preserve">ciprofloxacin </w:t>
      </w:r>
      <w:r w:rsidRPr="0070097C">
        <w:rPr>
          <w:rFonts w:asciiTheme="majorBidi" w:hAnsiTheme="majorBidi" w:cstheme="majorBidi"/>
        </w:rPr>
        <w:t xml:space="preserve">and </w:t>
      </w:r>
      <w:r w:rsidR="00E75C40" w:rsidRPr="00BB3EDE">
        <w:t xml:space="preserve">Sulfadiazine </w:t>
      </w:r>
      <w:r w:rsidRPr="0070097C">
        <w:rPr>
          <w:rFonts w:asciiTheme="majorBidi" w:hAnsiTheme="majorBidi" w:cstheme="majorBidi"/>
        </w:rPr>
        <w:t xml:space="preserve">is 0.01 </w:t>
      </w:r>
      <w:proofErr w:type="spellStart"/>
      <w:r w:rsidRPr="0070097C">
        <w:rPr>
          <w:rFonts w:asciiTheme="majorBidi" w:hAnsiTheme="majorBidi" w:cstheme="majorBidi"/>
        </w:rPr>
        <w:t>ppm.The</w:t>
      </w:r>
      <w:proofErr w:type="spellEnd"/>
      <w:r w:rsidRPr="0070097C">
        <w:rPr>
          <w:rFonts w:asciiTheme="majorBidi" w:hAnsiTheme="majorBidi" w:cstheme="majorBidi"/>
        </w:rPr>
        <w:t xml:space="preserve"> EDI was calculated by multiplying average consumption of a person per day (kg/day) and residual concentration of </w:t>
      </w:r>
      <w:r w:rsidR="00E75C40">
        <w:rPr>
          <w:rFonts w:asciiTheme="majorBidi" w:hAnsiTheme="majorBidi" w:cstheme="majorBidi"/>
        </w:rPr>
        <w:t>antibiotics</w:t>
      </w:r>
      <w:r w:rsidRPr="0070097C">
        <w:rPr>
          <w:rFonts w:asciiTheme="majorBidi" w:hAnsiTheme="majorBidi" w:cstheme="majorBidi"/>
        </w:rPr>
        <w:t xml:space="preserve"> (mg/kg) and dividing by average weight of an Asian (60 kg) </w:t>
      </w:r>
      <w:r w:rsidRPr="00E75C40">
        <w:rPr>
          <w:rFonts w:asciiTheme="majorBidi" w:hAnsiTheme="majorBidi" w:cstheme="majorBidi"/>
          <w:b/>
          <w:bCs/>
        </w:rPr>
        <w:t xml:space="preserve">(Abubakar </w:t>
      </w:r>
      <w:r w:rsidRPr="002F4203">
        <w:rPr>
          <w:rFonts w:asciiTheme="majorBidi" w:hAnsiTheme="majorBidi" w:cstheme="majorBidi"/>
          <w:b/>
          <w:bCs/>
          <w:i/>
          <w:iCs/>
        </w:rPr>
        <w:t>et al.,</w:t>
      </w:r>
      <w:r w:rsidRPr="00E75C40">
        <w:rPr>
          <w:rFonts w:asciiTheme="majorBidi" w:hAnsiTheme="majorBidi" w:cstheme="majorBidi"/>
          <w:b/>
          <w:bCs/>
        </w:rPr>
        <w:t xml:space="preserve"> 2015; Hossain </w:t>
      </w:r>
      <w:r w:rsidRPr="002F4203">
        <w:rPr>
          <w:rFonts w:asciiTheme="majorBidi" w:hAnsiTheme="majorBidi" w:cstheme="majorBidi"/>
          <w:b/>
          <w:bCs/>
          <w:i/>
          <w:iCs/>
        </w:rPr>
        <w:t>et al.,</w:t>
      </w:r>
      <w:r w:rsidRPr="00E75C40">
        <w:rPr>
          <w:rFonts w:asciiTheme="majorBidi" w:hAnsiTheme="majorBidi" w:cstheme="majorBidi"/>
          <w:b/>
          <w:bCs/>
        </w:rPr>
        <w:t xml:space="preserve"> 2013</w:t>
      </w:r>
      <w:r w:rsidR="00754ACB">
        <w:rPr>
          <w:rFonts w:asciiTheme="majorBidi" w:hAnsiTheme="majorBidi" w:cstheme="majorBidi"/>
          <w:b/>
          <w:bCs/>
        </w:rPr>
        <w:t xml:space="preserve"> and</w:t>
      </w:r>
      <w:r w:rsidRPr="00E75C40">
        <w:rPr>
          <w:rFonts w:asciiTheme="majorBidi" w:hAnsiTheme="majorBidi" w:cstheme="majorBidi"/>
          <w:b/>
          <w:bCs/>
        </w:rPr>
        <w:t xml:space="preserve"> </w:t>
      </w:r>
      <w:proofErr w:type="spellStart"/>
      <w:r w:rsidRPr="00E75C40">
        <w:rPr>
          <w:rFonts w:asciiTheme="majorBidi" w:hAnsiTheme="majorBidi" w:cstheme="majorBidi"/>
          <w:b/>
          <w:bCs/>
        </w:rPr>
        <w:t>Balkhair</w:t>
      </w:r>
      <w:proofErr w:type="spellEnd"/>
      <w:r w:rsidRPr="00E75C40">
        <w:rPr>
          <w:rFonts w:asciiTheme="majorBidi" w:hAnsiTheme="majorBidi" w:cstheme="majorBidi"/>
          <w:b/>
          <w:bCs/>
        </w:rPr>
        <w:t xml:space="preserve"> &amp; Ashraf, 2016)</w:t>
      </w:r>
      <w:r w:rsidRPr="0070097C">
        <w:rPr>
          <w:rFonts w:asciiTheme="majorBidi" w:hAnsiTheme="majorBidi" w:cstheme="majorBidi"/>
        </w:rPr>
        <w:t xml:space="preserve">. The average consumption of chicken </w:t>
      </w:r>
      <w:r w:rsidR="00E75C40">
        <w:rPr>
          <w:rFonts w:asciiTheme="majorBidi" w:hAnsiTheme="majorBidi" w:cstheme="majorBidi"/>
        </w:rPr>
        <w:t>meat and offal</w:t>
      </w:r>
      <w:r w:rsidRPr="0070097C">
        <w:rPr>
          <w:rFonts w:asciiTheme="majorBidi" w:hAnsiTheme="majorBidi" w:cstheme="majorBidi"/>
        </w:rPr>
        <w:t xml:space="preserve"> was considered 0.0425 person/day. Health risk to consumers was assessed by calculating health risk index using formulas as given in </w:t>
      </w:r>
      <w:r w:rsidR="002F4203">
        <w:rPr>
          <w:rFonts w:asciiTheme="majorBidi" w:hAnsiTheme="majorBidi" w:cstheme="majorBidi"/>
        </w:rPr>
        <w:t xml:space="preserve">the following </w:t>
      </w:r>
      <w:r w:rsidRPr="0070097C">
        <w:rPr>
          <w:rFonts w:asciiTheme="majorBidi" w:hAnsiTheme="majorBidi" w:cstheme="majorBidi"/>
        </w:rPr>
        <w:t>Equation</w:t>
      </w:r>
      <w:r w:rsidR="002F4203">
        <w:rPr>
          <w:rFonts w:asciiTheme="majorBidi" w:hAnsiTheme="majorBidi" w:cstheme="majorBidi"/>
        </w:rPr>
        <w:t>s</w:t>
      </w:r>
      <w:r w:rsidR="00754ACB">
        <w:rPr>
          <w:rFonts w:asciiTheme="majorBidi" w:hAnsiTheme="majorBidi" w:cstheme="majorBidi"/>
        </w:rPr>
        <w:t xml:space="preserve"> </w:t>
      </w:r>
      <w:r w:rsidRPr="00E75C40">
        <w:rPr>
          <w:rFonts w:asciiTheme="majorBidi" w:hAnsiTheme="majorBidi" w:cstheme="majorBidi"/>
          <w:b/>
          <w:bCs/>
        </w:rPr>
        <w:t>(Mahmood &amp; Malik, 2014)</w:t>
      </w:r>
    </w:p>
    <w:p w:rsidR="009607A0" w:rsidRDefault="009607A0" w:rsidP="00E75C40">
      <w:pPr>
        <w:jc w:val="both"/>
        <w:rPr>
          <w:rFonts w:asciiTheme="majorBidi" w:hAnsiTheme="majorBidi" w:cstheme="majorBidi"/>
          <w:b/>
          <w:bCs/>
        </w:rPr>
      </w:pPr>
    </w:p>
    <w:p w:rsidR="00E75C40" w:rsidRDefault="00E75C40" w:rsidP="00E75C40">
      <w:pPr>
        <w:jc w:val="both"/>
        <w:rPr>
          <w:rFonts w:asciiTheme="majorBidi" w:hAnsiTheme="majorBidi" w:cstheme="majorBidi"/>
        </w:rPr>
      </w:pPr>
      <w:r w:rsidRPr="00E75C40">
        <w:rPr>
          <w:rFonts w:asciiTheme="majorBidi" w:hAnsiTheme="majorBidi" w:cstheme="majorBidi"/>
          <w:b/>
          <w:bCs/>
        </w:rPr>
        <w:t>Estimated Daily Intake</w:t>
      </w:r>
      <w:r>
        <w:rPr>
          <w:rFonts w:asciiTheme="majorBidi" w:hAnsiTheme="majorBidi" w:cstheme="majorBidi"/>
        </w:rPr>
        <w:t xml:space="preserve"> = </w:t>
      </w:r>
      <w:r w:rsidR="0070097C" w:rsidRPr="0070097C">
        <w:rPr>
          <w:rFonts w:asciiTheme="majorBidi" w:hAnsiTheme="majorBidi" w:cstheme="majorBidi"/>
        </w:rPr>
        <w:t xml:space="preserve">Residual </w:t>
      </w:r>
      <w:r>
        <w:rPr>
          <w:rFonts w:asciiTheme="majorBidi" w:hAnsiTheme="majorBidi" w:cstheme="majorBidi"/>
        </w:rPr>
        <w:t>antibiotics</w:t>
      </w:r>
      <w:r w:rsidR="0070097C" w:rsidRPr="0070097C">
        <w:rPr>
          <w:rFonts w:asciiTheme="majorBidi" w:hAnsiTheme="majorBidi" w:cstheme="majorBidi"/>
        </w:rPr>
        <w:t xml:space="preserve"> concentration </w:t>
      </w:r>
      <w:r>
        <w:rPr>
          <w:rFonts w:asciiTheme="majorBidi" w:hAnsiTheme="majorBidi" w:cstheme="majorBidi"/>
        </w:rPr>
        <w:t xml:space="preserve">X </w:t>
      </w:r>
      <w:r w:rsidR="0070097C" w:rsidRPr="0070097C">
        <w:rPr>
          <w:rFonts w:asciiTheme="majorBidi" w:hAnsiTheme="majorBidi" w:cstheme="majorBidi"/>
        </w:rPr>
        <w:t xml:space="preserve">Food consumption rate </w:t>
      </w:r>
      <w:r>
        <w:rPr>
          <w:rFonts w:asciiTheme="majorBidi" w:hAnsiTheme="majorBidi" w:cstheme="majorBidi"/>
        </w:rPr>
        <w:t xml:space="preserve">   (</w:t>
      </w:r>
      <w:r w:rsidR="0070097C" w:rsidRPr="0070097C">
        <w:rPr>
          <w:rFonts w:asciiTheme="majorBidi" w:hAnsiTheme="majorBidi" w:cstheme="majorBidi"/>
        </w:rPr>
        <w:t>kg / day</w:t>
      </w:r>
      <w:r>
        <w:rPr>
          <w:rFonts w:asciiTheme="majorBidi" w:hAnsiTheme="majorBidi" w:cstheme="majorBidi"/>
        </w:rPr>
        <w:t xml:space="preserve">) </w:t>
      </w:r>
    </w:p>
    <w:p w:rsidR="00E75C40" w:rsidRDefault="005E77CE" w:rsidP="00E75C40">
      <w:pPr>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3771900" cy="22860"/>
                <wp:effectExtent l="0" t="0" r="0" b="15240"/>
                <wp:wrapNone/>
                <wp:docPr id="3"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71900" cy="228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11A669D" id="رابط مستقيم 1" o:spid="_x0000_s1026" style="position:absolute;left:0;text-align:left;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5.8pt,0" to="542.8pt,1.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" strokecolor="black [3200]" strokeweight="1pt">
                <v:stroke joinstyle="miter"/>
                <o:lock v:ext="edit" shapetype="f"/>
                <w10:wrap anchorx="margin"/>
              </v:line>
            </w:pict>
          </mc:Fallback>
        </mc:AlternateContent>
      </w:r>
    </w:p>
    <w:p w:rsidR="00E75C40" w:rsidRDefault="0070097C" w:rsidP="00E75C40">
      <w:pPr>
        <w:ind w:left="2880" w:firstLine="720"/>
        <w:jc w:val="both"/>
        <w:rPr>
          <w:rFonts w:asciiTheme="majorBidi" w:hAnsiTheme="majorBidi" w:cstheme="majorBidi"/>
        </w:rPr>
      </w:pPr>
      <w:r w:rsidRPr="0070097C">
        <w:rPr>
          <w:rFonts w:asciiTheme="majorBidi" w:hAnsiTheme="majorBidi" w:cstheme="majorBidi"/>
        </w:rPr>
        <w:t>Body Weight for an adult 60 Kg</w:t>
      </w:r>
    </w:p>
    <w:p w:rsidR="00E75C40" w:rsidRDefault="00E75C40" w:rsidP="00E75C40">
      <w:pPr>
        <w:ind w:left="2880" w:firstLine="720"/>
        <w:jc w:val="both"/>
        <w:rPr>
          <w:rFonts w:asciiTheme="majorBidi" w:hAnsiTheme="majorBidi" w:cstheme="majorBidi"/>
        </w:rPr>
      </w:pPr>
    </w:p>
    <w:p w:rsidR="00E75C40" w:rsidRDefault="00E75C40" w:rsidP="00E75C40">
      <w:pPr>
        <w:ind w:left="2880" w:firstLine="720"/>
        <w:jc w:val="both"/>
        <w:rPr>
          <w:rFonts w:asciiTheme="majorBidi" w:hAnsiTheme="majorBidi" w:cstheme="majorBidi"/>
        </w:rPr>
      </w:pPr>
    </w:p>
    <w:p w:rsidR="00E75C40" w:rsidRDefault="009607A0" w:rsidP="009607A0">
      <w:pPr>
        <w:jc w:val="both"/>
        <w:rPr>
          <w:rFonts w:asciiTheme="majorBidi" w:hAnsiTheme="majorBidi" w:cstheme="majorBidi"/>
        </w:rPr>
      </w:pPr>
      <w:r w:rsidRPr="009607A0">
        <w:rPr>
          <w:rFonts w:asciiTheme="majorBidi" w:hAnsiTheme="majorBidi" w:cstheme="majorBidi"/>
          <w:b/>
          <w:bCs/>
        </w:rPr>
        <w:t>Health risk index</w:t>
      </w:r>
      <w:r>
        <w:rPr>
          <w:rFonts w:asciiTheme="majorBidi" w:hAnsiTheme="majorBidi" w:cstheme="majorBidi"/>
        </w:rPr>
        <w:t xml:space="preserve">=    </w:t>
      </w:r>
      <w:r w:rsidR="0070097C" w:rsidRPr="0070097C">
        <w:rPr>
          <w:rFonts w:asciiTheme="majorBidi" w:hAnsiTheme="majorBidi" w:cstheme="majorBidi"/>
        </w:rPr>
        <w:t>Estimated Daily Intake</w:t>
      </w:r>
    </w:p>
    <w:p w:rsidR="009607A0" w:rsidRDefault="005E77CE" w:rsidP="009607A0">
      <w:pPr>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5408" behindDoc="0" locked="0" layoutInCell="1" allowOverlap="1">
                <wp:simplePos x="0" y="0"/>
                <wp:positionH relativeFrom="margin">
                  <wp:posOffset>1234440</wp:posOffset>
                </wp:positionH>
                <wp:positionV relativeFrom="paragraph">
                  <wp:posOffset>99060</wp:posOffset>
                </wp:positionV>
                <wp:extent cx="1729740" cy="15240"/>
                <wp:effectExtent l="0" t="0" r="3810" b="3810"/>
                <wp:wrapNone/>
                <wp:docPr id="1"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793A4EF" id="رابط مستقيم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2pt,7.8pt" to="233.4pt,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" strokecolor="black [3200]" strokeweight="1pt">
                <v:stroke joinstyle="miter"/>
                <o:lock v:ext="edit" shapetype="f"/>
                <w10:wrap anchorx="margin"/>
              </v:line>
            </w:pict>
          </mc:Fallback>
        </mc:AlternateContent>
      </w:r>
    </w:p>
    <w:p w:rsidR="0070097C" w:rsidRDefault="0070097C" w:rsidP="009607A0">
      <w:pPr>
        <w:ind w:left="1440" w:firstLine="720"/>
        <w:jc w:val="both"/>
        <w:rPr>
          <w:rFonts w:asciiTheme="majorBidi" w:hAnsiTheme="majorBidi" w:cstheme="majorBidi"/>
        </w:rPr>
      </w:pPr>
      <w:r w:rsidRPr="0070097C">
        <w:rPr>
          <w:rFonts w:asciiTheme="majorBidi" w:hAnsiTheme="majorBidi" w:cstheme="majorBidi"/>
        </w:rPr>
        <w:t>Acceptable Daily Intake</w:t>
      </w:r>
    </w:p>
    <w:p w:rsidR="00563AC3" w:rsidRDefault="00563AC3" w:rsidP="00563AC3">
      <w:pPr>
        <w:jc w:val="both"/>
        <w:rPr>
          <w:rFonts w:asciiTheme="majorBidi" w:hAnsiTheme="majorBidi" w:cstheme="majorBidi"/>
        </w:rPr>
      </w:pPr>
    </w:p>
    <w:p w:rsidR="00563AC3" w:rsidRPr="0070097C" w:rsidRDefault="00563AC3" w:rsidP="00563AC3">
      <w:pPr>
        <w:jc w:val="both"/>
        <w:rPr>
          <w:rFonts w:asciiTheme="majorBidi" w:hAnsiTheme="majorBidi" w:cstheme="majorBidi"/>
        </w:rPr>
      </w:pPr>
    </w:p>
    <w:p w:rsidR="000C75C4" w:rsidRPr="00107C46" w:rsidRDefault="002954C7" w:rsidP="002954C7">
      <w:pPr>
        <w:spacing w:line="360" w:lineRule="auto"/>
        <w:rPr>
          <w:b/>
        </w:rPr>
      </w:pPr>
      <w:r>
        <w:rPr>
          <w:b/>
        </w:rPr>
        <w:t xml:space="preserve">3. </w:t>
      </w:r>
      <w:r w:rsidR="000C75C4" w:rsidRPr="00107C46">
        <w:rPr>
          <w:b/>
        </w:rPr>
        <w:t>Results and Discussion</w:t>
      </w:r>
    </w:p>
    <w:p w:rsidR="000C75C4" w:rsidRPr="00BB3EDE" w:rsidRDefault="000C75C4" w:rsidP="000C75C4">
      <w:pPr>
        <w:jc w:val="both"/>
        <w:rPr>
          <w:rFonts w:asciiTheme="majorBidi" w:hAnsiTheme="majorBidi" w:cstheme="majorBidi"/>
          <w:b/>
        </w:rPr>
      </w:pPr>
      <w:r w:rsidRPr="00BB3EDE">
        <w:rPr>
          <w:rFonts w:asciiTheme="majorBidi" w:hAnsiTheme="majorBidi" w:cstheme="majorBidi"/>
          <w:b/>
        </w:rPr>
        <w:t xml:space="preserve">Part </w:t>
      </w:r>
      <w:r>
        <w:rPr>
          <w:rFonts w:asciiTheme="majorBidi" w:hAnsiTheme="majorBidi" w:cstheme="majorBidi"/>
          <w:b/>
        </w:rPr>
        <w:t>I</w:t>
      </w:r>
      <w:r w:rsidRPr="00BB3EDE">
        <w:rPr>
          <w:rFonts w:asciiTheme="majorBidi" w:hAnsiTheme="majorBidi" w:cstheme="majorBidi"/>
          <w:b/>
        </w:rPr>
        <w:t xml:space="preserve">: </w:t>
      </w:r>
      <w:r>
        <w:rPr>
          <w:rFonts w:asciiTheme="majorBidi" w:hAnsiTheme="majorBidi" w:cstheme="majorBidi"/>
          <w:b/>
        </w:rPr>
        <w:t xml:space="preserve">Antibiotics </w:t>
      </w:r>
      <w:r w:rsidRPr="00BB3EDE">
        <w:rPr>
          <w:rFonts w:asciiTheme="majorBidi" w:hAnsiTheme="majorBidi" w:cstheme="majorBidi"/>
          <w:b/>
        </w:rPr>
        <w:t xml:space="preserve">Residues in Chicken meat </w:t>
      </w:r>
    </w:p>
    <w:p w:rsidR="000C75C4" w:rsidRPr="00BB3EDE" w:rsidRDefault="000C75C4" w:rsidP="000C75C4">
      <w:pPr>
        <w:jc w:val="both"/>
      </w:pPr>
      <w:r w:rsidRPr="00BB3EDE">
        <w:rPr>
          <w:b/>
          <w:u w:val="single"/>
        </w:rPr>
        <w:t>A. Ciprofloxacin</w:t>
      </w:r>
    </w:p>
    <w:p w:rsidR="000C75C4" w:rsidRPr="00BB3EDE" w:rsidRDefault="000C75C4" w:rsidP="00640F4B">
      <w:pPr>
        <w:ind w:firstLine="720"/>
        <w:jc w:val="both"/>
      </w:pPr>
      <w:r w:rsidRPr="00BB3EDE">
        <w:t>The mean concentrations level for ciprofloxacin residues in chicken meat samples were presented in table (</w:t>
      </w:r>
      <w:r>
        <w:t>1</w:t>
      </w:r>
      <w:r w:rsidRPr="00BB3EDE">
        <w:t xml:space="preserve">) as following; the mean concentrations ciprofloxacin values for </w:t>
      </w:r>
      <w:r w:rsidR="003E478F">
        <w:t xml:space="preserve">Egyptian </w:t>
      </w:r>
      <w:r w:rsidR="003E478F" w:rsidRPr="00BB3EDE">
        <w:t xml:space="preserve">and </w:t>
      </w:r>
      <w:r w:rsidR="00754ACB">
        <w:t>Bahrain</w:t>
      </w:r>
      <w:r w:rsidR="003E478F">
        <w:t xml:space="preserve"> </w:t>
      </w:r>
      <w:r w:rsidRPr="00BB3EDE">
        <w:t>chicken meat were; 0.33</w:t>
      </w:r>
      <w:r>
        <w:t>9</w:t>
      </w:r>
      <w:r w:rsidRPr="00BB3EDE">
        <w:t xml:space="preserve"> ± 0.026 and 0.126 ± 0.031 µg/g respectively. The minimum and maximum values ranged were; 0.21 – 0.45 and 0.00 – 0.28 µg/g for local and imported chicken meat respectively. </w:t>
      </w:r>
      <w:r w:rsidR="003E478F">
        <w:t>T</w:t>
      </w:r>
      <w:r w:rsidRPr="00BB3EDE">
        <w:t xml:space="preserve">he mean concentrations ciprofloxacin values for </w:t>
      </w:r>
      <w:r w:rsidR="003E478F">
        <w:t xml:space="preserve">Egyptian </w:t>
      </w:r>
      <w:r w:rsidRPr="00BB3EDE">
        <w:t xml:space="preserve">and </w:t>
      </w:r>
      <w:r w:rsidR="00754ACB">
        <w:t>Bahrain</w:t>
      </w:r>
      <w:r w:rsidR="003E478F">
        <w:t xml:space="preserve"> </w:t>
      </w:r>
      <w:r w:rsidRPr="00BB3EDE">
        <w:t xml:space="preserve">chicken </w:t>
      </w:r>
      <w:r w:rsidR="003E478F">
        <w:t>offal</w:t>
      </w:r>
      <w:r w:rsidRPr="00BB3EDE">
        <w:t xml:space="preserve"> were; 0.65 ± 0.075 and 0.545 ± 0.045 µg/g respectively. The minimum and maximum values ranged were; 0.20 – 0.87 and 0.41 – 0.65 µg/g for local and imported chicken meat respectively. </w:t>
      </w:r>
    </w:p>
    <w:p w:rsidR="000C75C4" w:rsidRPr="00BB3EDE" w:rsidRDefault="000C75C4" w:rsidP="003E478F">
      <w:pPr>
        <w:ind w:firstLine="720"/>
        <w:jc w:val="both"/>
      </w:pPr>
      <w:r w:rsidRPr="00BB3EDE">
        <w:t>The mean ciprofloxacin residues levels compared to</w:t>
      </w:r>
      <w:r>
        <w:t xml:space="preserve"> International and </w:t>
      </w:r>
      <w:r w:rsidRPr="00BB3EDE">
        <w:t xml:space="preserve">Egyptian standards (0.1 µg/g) in </w:t>
      </w:r>
      <w:r w:rsidR="003E478F">
        <w:t xml:space="preserve">Egyptian </w:t>
      </w:r>
      <w:r w:rsidR="003E478F" w:rsidRPr="00BB3EDE">
        <w:t xml:space="preserve">and </w:t>
      </w:r>
      <w:r w:rsidR="00754ACB">
        <w:t>Bahrain</w:t>
      </w:r>
      <w:r w:rsidR="003E478F">
        <w:t xml:space="preserve"> </w:t>
      </w:r>
      <w:r w:rsidRPr="00BB3EDE">
        <w:t xml:space="preserve">chicken meat </w:t>
      </w:r>
      <w:r w:rsidR="003E478F">
        <w:t xml:space="preserve">and offal </w:t>
      </w:r>
      <w:r w:rsidRPr="00BB3EDE">
        <w:t>were analyzed in table (</w:t>
      </w:r>
      <w:r>
        <w:t>2</w:t>
      </w:r>
      <w:r w:rsidRPr="00BB3EDE">
        <w:t xml:space="preserve">) in 100% of samples the concentrations of ciprofloxacin were as following; 10% of the local chicken meat </w:t>
      </w:r>
      <w:r w:rsidR="003E478F">
        <w:t xml:space="preserve">and offal </w:t>
      </w:r>
      <w:r w:rsidRPr="00BB3EDE">
        <w:t xml:space="preserve">were exceeding </w:t>
      </w:r>
      <w:r>
        <w:t xml:space="preserve">international and </w:t>
      </w:r>
      <w:r w:rsidRPr="00BB3EDE">
        <w:t xml:space="preserve">Egyptian permissible limits while about 80% of the </w:t>
      </w:r>
      <w:r w:rsidR="003E478F">
        <w:t>Bahrainis</w:t>
      </w:r>
      <w:r w:rsidRPr="00BB3EDE">
        <w:t xml:space="preserve"> chicken meat </w:t>
      </w:r>
      <w:r w:rsidR="003E478F">
        <w:t xml:space="preserve">and offal </w:t>
      </w:r>
      <w:r w:rsidRPr="00BB3EDE">
        <w:t xml:space="preserve">samples were within the both standards for ciprofloxacin (0.50 µg/kg for chicken offal) which recommended by </w:t>
      </w:r>
      <w:r w:rsidRPr="00BB3EDE">
        <w:rPr>
          <w:b/>
        </w:rPr>
        <w:t>(E.O.S., no. 7136, 2010)</w:t>
      </w:r>
      <w:r w:rsidRPr="00BB3EDE">
        <w:t xml:space="preserve">. </w:t>
      </w:r>
    </w:p>
    <w:p w:rsidR="003E478F" w:rsidRDefault="003E478F" w:rsidP="00EF27C0">
      <w:pPr>
        <w:ind w:firstLine="720"/>
        <w:jc w:val="both"/>
      </w:pPr>
      <w:r w:rsidRPr="00BB3EDE">
        <w:t>The maximum residue level (MRL) for fluroquinolone, such as; ciprofloxacin, legally permitted in food under European Union regulation of 30µg/kg of muscle, liver and kidney</w:t>
      </w:r>
      <w:r w:rsidR="00754ACB">
        <w:t xml:space="preserve"> </w:t>
      </w:r>
      <w:r w:rsidRPr="00BB3EDE">
        <w:t>and not more than 75µg/kg for quinolones according to Egyptian Organization Standardization</w:t>
      </w:r>
      <w:r w:rsidRPr="00BB3EDE">
        <w:rPr>
          <w:b/>
        </w:rPr>
        <w:t>(E.O.S. no. 7136, 2010)</w:t>
      </w:r>
      <w:r w:rsidRPr="00BB3EDE">
        <w:t>. All samples examined are lower than Egyptian permissible limits and fit for human consumption.</w:t>
      </w:r>
    </w:p>
    <w:p w:rsidR="000C75C4" w:rsidRPr="00BB3EDE" w:rsidRDefault="000C75C4" w:rsidP="000C75C4">
      <w:pPr>
        <w:ind w:firstLine="720"/>
        <w:jc w:val="both"/>
      </w:pPr>
      <w:r w:rsidRPr="00BB3EDE">
        <w:t xml:space="preserve">The highest concentration of ciprofloxacin was found in </w:t>
      </w:r>
      <w:r w:rsidR="00A82913">
        <w:t>Bahrain</w:t>
      </w:r>
      <w:r w:rsidR="00754ACB">
        <w:t xml:space="preserve"> </w:t>
      </w:r>
      <w:r w:rsidR="00A82913">
        <w:t>is</w:t>
      </w:r>
      <w:r w:rsidR="00754ACB">
        <w:t xml:space="preserve"> </w:t>
      </w:r>
      <w:r w:rsidRPr="00BB3EDE">
        <w:t>chicken meat samples. The same results were reported in organs of different slaughtered food animals by (</w:t>
      </w:r>
      <w:proofErr w:type="spellStart"/>
      <w:r w:rsidRPr="00BB3EDE">
        <w:rPr>
          <w:b/>
        </w:rPr>
        <w:t>Javadi</w:t>
      </w:r>
      <w:proofErr w:type="spellEnd"/>
      <w:r w:rsidRPr="00BB3EDE">
        <w:rPr>
          <w:b/>
        </w:rPr>
        <w:t xml:space="preserve"> </w:t>
      </w:r>
      <w:r w:rsidRPr="00BB3EDE">
        <w:rPr>
          <w:b/>
          <w:i/>
        </w:rPr>
        <w:t>et. al.,</w:t>
      </w:r>
      <w:r w:rsidRPr="00BB3EDE">
        <w:rPr>
          <w:b/>
        </w:rPr>
        <w:t xml:space="preserve"> 2011)</w:t>
      </w:r>
      <w:r w:rsidRPr="00BB3EDE">
        <w:t xml:space="preserve">. On the contrary, other authors had reported higher ciprofloxacin concentration levels </w:t>
      </w:r>
      <w:r w:rsidRPr="00BB3EDE">
        <w:rPr>
          <w:b/>
        </w:rPr>
        <w:t>(</w:t>
      </w:r>
      <w:proofErr w:type="spellStart"/>
      <w:r w:rsidRPr="00BB3EDE">
        <w:rPr>
          <w:b/>
        </w:rPr>
        <w:t>Cinquina</w:t>
      </w:r>
      <w:proofErr w:type="spellEnd"/>
      <w:r w:rsidRPr="00BB3EDE">
        <w:rPr>
          <w:b/>
        </w:rPr>
        <w:t xml:space="preserve">, </w:t>
      </w:r>
      <w:r w:rsidRPr="00DF335A">
        <w:rPr>
          <w:b/>
          <w:i/>
          <w:iCs/>
        </w:rPr>
        <w:t>et. al.</w:t>
      </w:r>
      <w:r w:rsidR="00754ACB">
        <w:rPr>
          <w:b/>
          <w:i/>
          <w:iCs/>
        </w:rPr>
        <w:t xml:space="preserve"> </w:t>
      </w:r>
      <w:r w:rsidRPr="00DF335A">
        <w:rPr>
          <w:b/>
          <w:i/>
          <w:iCs/>
        </w:rPr>
        <w:t>,</w:t>
      </w:r>
      <w:r w:rsidRPr="00BB3EDE">
        <w:rPr>
          <w:b/>
        </w:rPr>
        <w:t xml:space="preserve">2003 and Amjad </w:t>
      </w:r>
      <w:r w:rsidRPr="00BB3EDE">
        <w:rPr>
          <w:b/>
          <w:i/>
        </w:rPr>
        <w:t>et. al.,</w:t>
      </w:r>
      <w:r w:rsidRPr="00BB3EDE">
        <w:rPr>
          <w:b/>
        </w:rPr>
        <w:t xml:space="preserve"> 2006)</w:t>
      </w:r>
      <w:r w:rsidRPr="00BB3EDE">
        <w:t>.</w:t>
      </w:r>
      <w:r w:rsidRPr="00BB3EDE">
        <w:tab/>
      </w:r>
    </w:p>
    <w:p w:rsidR="000C75C4" w:rsidRPr="00BB3EDE" w:rsidRDefault="000C75C4" w:rsidP="00EF27C0">
      <w:pPr>
        <w:ind w:firstLine="720"/>
        <w:jc w:val="both"/>
        <w:rPr>
          <w:b/>
        </w:rPr>
      </w:pPr>
      <w:r w:rsidRPr="00BB3EDE">
        <w:t>The ciprofloxacin is a member of the fluoroquinolone antibiotics which is broad-spectrum antibiotic. It can result in adverse side effects. In most cases, such as tendinitis and tendon rupture, central nervous system toxicity, cardiovascular toxicity, renal failure, seizures. Ciprofloxacin is known to rapidly penetrate body tissues and fluid and has been detected in animals</w:t>
      </w:r>
      <w:r w:rsidR="00754ACB">
        <w:t xml:space="preserve"> </w:t>
      </w:r>
      <w:r w:rsidRPr="00BB3EDE">
        <w:t>but</w:t>
      </w:r>
      <w:r w:rsidR="00754ACB">
        <w:t xml:space="preserve"> </w:t>
      </w:r>
      <w:r w:rsidRPr="00BB3EDE">
        <w:t xml:space="preserve">presence of antibacterial agents in food animals induces pathogen resistance in humans such as; resistant </w:t>
      </w:r>
      <w:r w:rsidRPr="00BB3EDE">
        <w:rPr>
          <w:i/>
        </w:rPr>
        <w:t>S. typhi</w:t>
      </w:r>
      <w:r w:rsidRPr="00BB3EDE">
        <w:t xml:space="preserve">, </w:t>
      </w:r>
      <w:r w:rsidRPr="00BB3EDE">
        <w:rPr>
          <w:i/>
        </w:rPr>
        <w:t xml:space="preserve">Neisseria </w:t>
      </w:r>
      <w:proofErr w:type="spellStart"/>
      <w:r w:rsidRPr="00BB3EDE">
        <w:rPr>
          <w:i/>
        </w:rPr>
        <w:t>gonorrhoea</w:t>
      </w:r>
      <w:proofErr w:type="spellEnd"/>
      <w:r w:rsidRPr="00BB3EDE">
        <w:t xml:space="preserve">, </w:t>
      </w:r>
      <w:r w:rsidRPr="00BB3EDE">
        <w:rPr>
          <w:i/>
        </w:rPr>
        <w:t xml:space="preserve">Escherichia coli </w:t>
      </w:r>
      <w:r w:rsidRPr="00BB3EDE">
        <w:rPr>
          <w:b/>
        </w:rPr>
        <w:t>(</w:t>
      </w:r>
      <w:proofErr w:type="spellStart"/>
      <w:r w:rsidRPr="00BB3EDE">
        <w:rPr>
          <w:b/>
        </w:rPr>
        <w:t>Cinquina</w:t>
      </w:r>
      <w:proofErr w:type="spellEnd"/>
      <w:r w:rsidRPr="00BB3EDE">
        <w:rPr>
          <w:b/>
        </w:rPr>
        <w:t xml:space="preserve"> </w:t>
      </w:r>
      <w:r w:rsidRPr="00BB3EDE">
        <w:rPr>
          <w:b/>
          <w:i/>
        </w:rPr>
        <w:t>et. al.</w:t>
      </w:r>
      <w:r w:rsidRPr="00BB3EDE">
        <w:rPr>
          <w:b/>
        </w:rPr>
        <w:t>, 2003 and</w:t>
      </w:r>
      <w:r w:rsidR="00754ACB">
        <w:rPr>
          <w:b/>
        </w:rPr>
        <w:t xml:space="preserve"> </w:t>
      </w:r>
      <w:r w:rsidRPr="00BB3EDE">
        <w:rPr>
          <w:b/>
        </w:rPr>
        <w:t xml:space="preserve">Lolo </w:t>
      </w:r>
      <w:r w:rsidRPr="00BB3EDE">
        <w:rPr>
          <w:b/>
          <w:i/>
        </w:rPr>
        <w:t>et. al.</w:t>
      </w:r>
      <w:r w:rsidRPr="00BB3EDE">
        <w:rPr>
          <w:b/>
        </w:rPr>
        <w:t>, 2006)</w:t>
      </w:r>
      <w:r w:rsidRPr="00BB3EDE">
        <w:t xml:space="preserve">. </w:t>
      </w:r>
    </w:p>
    <w:p w:rsidR="000C75C4" w:rsidRPr="00BB3EDE" w:rsidRDefault="000C75C4" w:rsidP="000C75C4">
      <w:pPr>
        <w:jc w:val="both"/>
        <w:rPr>
          <w:b/>
          <w:u w:val="single"/>
        </w:rPr>
      </w:pPr>
      <w:r w:rsidRPr="00BB3EDE">
        <w:rPr>
          <w:b/>
          <w:u w:val="single"/>
        </w:rPr>
        <w:lastRenderedPageBreak/>
        <w:t>B. Sulfadiazine</w:t>
      </w:r>
    </w:p>
    <w:p w:rsidR="000C75C4" w:rsidRPr="00BB3EDE" w:rsidRDefault="000C75C4" w:rsidP="006A3E7C">
      <w:pPr>
        <w:ind w:firstLine="720"/>
        <w:jc w:val="both"/>
      </w:pPr>
      <w:r w:rsidRPr="00BB3EDE">
        <w:t xml:space="preserve">The mean concentrations level for Sulfadiazine residues in chicken meat </w:t>
      </w:r>
      <w:r w:rsidR="003E478F">
        <w:t xml:space="preserve">and offal </w:t>
      </w:r>
      <w:r w:rsidRPr="00BB3EDE">
        <w:t>samples were presented in table and figure (</w:t>
      </w:r>
      <w:r>
        <w:t>1</w:t>
      </w:r>
      <w:r w:rsidRPr="00BB3EDE">
        <w:t xml:space="preserve">) as following; the mean concentrations Sulfadiazine values for </w:t>
      </w:r>
      <w:r w:rsidR="006A3E7C">
        <w:t xml:space="preserve">Egyptian </w:t>
      </w:r>
      <w:r w:rsidR="006A3E7C" w:rsidRPr="00BB3EDE">
        <w:t xml:space="preserve">and </w:t>
      </w:r>
      <w:r w:rsidR="006A3E7C">
        <w:t xml:space="preserve">Bahrein </w:t>
      </w:r>
      <w:r w:rsidRPr="00BB3EDE">
        <w:t xml:space="preserve">chicken meat were; 0.020 ± 0.003 and 0.006 ± 0.002 µg/g respectively. The minimum and maximum values ranged were 0.01 – 0.038 and 0.00 – 0.016 µg/g for </w:t>
      </w:r>
      <w:r w:rsidR="006A3E7C">
        <w:t xml:space="preserve">Egyptian </w:t>
      </w:r>
      <w:r w:rsidR="006A3E7C" w:rsidRPr="00BB3EDE">
        <w:t xml:space="preserve">and </w:t>
      </w:r>
      <w:r w:rsidR="00754ACB">
        <w:t>Bahrain</w:t>
      </w:r>
      <w:r w:rsidR="006A3E7C">
        <w:t xml:space="preserve"> </w:t>
      </w:r>
      <w:r w:rsidRPr="00BB3EDE">
        <w:t xml:space="preserve">chicken meat respectively. </w:t>
      </w:r>
      <w:r w:rsidR="006A3E7C">
        <w:t xml:space="preserve">While, </w:t>
      </w:r>
      <w:r w:rsidRPr="00BB3EDE">
        <w:t xml:space="preserve">in chicken edible offal samples the mean concentrations Sulfadiazine values for </w:t>
      </w:r>
      <w:r w:rsidR="006A3E7C">
        <w:t xml:space="preserve">Egyptian </w:t>
      </w:r>
      <w:r w:rsidR="006A3E7C" w:rsidRPr="00BB3EDE">
        <w:t xml:space="preserve">and </w:t>
      </w:r>
      <w:r w:rsidR="00754ACB">
        <w:t>Bahrain</w:t>
      </w:r>
      <w:r w:rsidR="006A3E7C">
        <w:t xml:space="preserve"> </w:t>
      </w:r>
      <w:r w:rsidRPr="00BB3EDE">
        <w:t>chicken offal were</w:t>
      </w:r>
      <w:r w:rsidR="006A3E7C">
        <w:t>;</w:t>
      </w:r>
      <w:r w:rsidRPr="00BB3EDE">
        <w:t xml:space="preserve"> 0.045 ± 0.020 and 0.025 ± 0.015 µg/g respectively. The minimum and maximum values ranged were 0.03 – 0.058 and 0.019 – 0.38 µg/g for </w:t>
      </w:r>
      <w:r w:rsidR="006A3E7C">
        <w:t xml:space="preserve">Egyptian </w:t>
      </w:r>
      <w:r w:rsidR="006A3E7C" w:rsidRPr="00BB3EDE">
        <w:t xml:space="preserve">and </w:t>
      </w:r>
      <w:r w:rsidR="00754ACB">
        <w:t>Bahrain</w:t>
      </w:r>
      <w:r w:rsidR="006A3E7C">
        <w:t xml:space="preserve"> </w:t>
      </w:r>
      <w:r w:rsidRPr="00BB3EDE">
        <w:t xml:space="preserve">chicken offal respectively. </w:t>
      </w:r>
    </w:p>
    <w:p w:rsidR="000C75C4" w:rsidRPr="00BB3EDE" w:rsidRDefault="000C75C4" w:rsidP="006A3E7C">
      <w:pPr>
        <w:ind w:firstLine="720"/>
        <w:jc w:val="both"/>
      </w:pPr>
      <w:r w:rsidRPr="00BB3EDE">
        <w:t xml:space="preserve">The mean Sulfadiazine residues levels compared to </w:t>
      </w:r>
      <w:r>
        <w:t xml:space="preserve">International and </w:t>
      </w:r>
      <w:r w:rsidRPr="00BB3EDE">
        <w:t xml:space="preserve">Egyptian standards (0.1 µg/g) in </w:t>
      </w:r>
      <w:r w:rsidR="006A3E7C">
        <w:t xml:space="preserve">Egyptian </w:t>
      </w:r>
      <w:r w:rsidR="006A3E7C" w:rsidRPr="00BB3EDE">
        <w:t xml:space="preserve">and </w:t>
      </w:r>
      <w:r w:rsidR="00754ACB">
        <w:t>Bahrain</w:t>
      </w:r>
      <w:r w:rsidR="006A3E7C">
        <w:t xml:space="preserve"> </w:t>
      </w:r>
      <w:r w:rsidRPr="00BB3EDE">
        <w:t xml:space="preserve">chicken meat </w:t>
      </w:r>
      <w:r w:rsidR="006A3E7C">
        <w:t xml:space="preserve">and offal </w:t>
      </w:r>
      <w:r w:rsidRPr="00BB3EDE">
        <w:t>were analyzed in table (</w:t>
      </w:r>
      <w:r>
        <w:t>2</w:t>
      </w:r>
      <w:r w:rsidRPr="00BB3EDE">
        <w:t xml:space="preserve">) in 100% of samples the concentrations of Sulfadiazine were as following; about 10% of tested local chicken meat samples exceeding within the </w:t>
      </w:r>
      <w:r>
        <w:t xml:space="preserve">International and </w:t>
      </w:r>
      <w:r w:rsidRPr="00BB3EDE">
        <w:t xml:space="preserve">Egyptian permissible limits while about 80% of </w:t>
      </w:r>
      <w:r w:rsidR="00754ACB">
        <w:t>Bahrain</w:t>
      </w:r>
      <w:r w:rsidR="006A3E7C">
        <w:t xml:space="preserve"> </w:t>
      </w:r>
      <w:r w:rsidRPr="00BB3EDE">
        <w:t>chicken meat</w:t>
      </w:r>
      <w:r w:rsidR="006A3E7C">
        <w:t xml:space="preserve"> and offal</w:t>
      </w:r>
      <w:r w:rsidRPr="00BB3EDE">
        <w:t xml:space="preserve"> were within the both standards for Sulfadiazine (0.50 µg/kg for chicken offal) which recommended by </w:t>
      </w:r>
      <w:r w:rsidRPr="00BB3EDE">
        <w:rPr>
          <w:b/>
        </w:rPr>
        <w:t>(E.O.S., no. 7136, 2010)</w:t>
      </w:r>
      <w:r w:rsidRPr="00BB3EDE">
        <w:t xml:space="preserve">. </w:t>
      </w:r>
    </w:p>
    <w:p w:rsidR="000C75C4" w:rsidRPr="00BB3EDE" w:rsidRDefault="000C75C4" w:rsidP="000C75C4">
      <w:pPr>
        <w:ind w:firstLine="720"/>
        <w:jc w:val="both"/>
      </w:pPr>
      <w:r w:rsidRPr="00BB3EDE">
        <w:t xml:space="preserve">Nearly similar results were reported in chicken meat and offal in Malesia by </w:t>
      </w:r>
      <w:r w:rsidRPr="00BB3EDE">
        <w:rPr>
          <w:b/>
        </w:rPr>
        <w:t xml:space="preserve">Cheong, </w:t>
      </w:r>
      <w:r w:rsidRPr="00BB3EDE">
        <w:rPr>
          <w:b/>
          <w:i/>
        </w:rPr>
        <w:t xml:space="preserve">et. al., </w:t>
      </w:r>
      <w:r w:rsidRPr="00BB3EDE">
        <w:rPr>
          <w:b/>
        </w:rPr>
        <w:t>(2010)</w:t>
      </w:r>
      <w:r w:rsidRPr="00BB3EDE">
        <w:t xml:space="preserve"> whom reported about 0.005 and 0.008 </w:t>
      </w:r>
      <w:proofErr w:type="spellStart"/>
      <w:r w:rsidRPr="00BB3EDE">
        <w:t>μg</w:t>
      </w:r>
      <w:proofErr w:type="spellEnd"/>
      <w:r w:rsidRPr="00BB3EDE">
        <w:t xml:space="preserve"> g-1 from chicken meat and offal respectively and the authors added that these values were still within the criteria of the Codex for residue analysis. Different samples recorded by </w:t>
      </w:r>
      <w:proofErr w:type="spellStart"/>
      <w:r w:rsidRPr="00BB3EDE">
        <w:rPr>
          <w:b/>
        </w:rPr>
        <w:t>Zhenga</w:t>
      </w:r>
      <w:proofErr w:type="spellEnd"/>
      <w:r w:rsidRPr="00BB3EDE">
        <w:rPr>
          <w:b/>
        </w:rPr>
        <w:t xml:space="preserve"> </w:t>
      </w:r>
      <w:r w:rsidRPr="00BB3EDE">
        <w:rPr>
          <w:b/>
          <w:i/>
        </w:rPr>
        <w:t xml:space="preserve">et al., </w:t>
      </w:r>
      <w:r w:rsidRPr="00BB3EDE">
        <w:rPr>
          <w:b/>
        </w:rPr>
        <w:t xml:space="preserve">(2007) </w:t>
      </w:r>
      <w:r w:rsidRPr="00BB3EDE">
        <w:t>they had</w:t>
      </w:r>
      <w:r w:rsidR="00107C46">
        <w:t xml:space="preserve"> </w:t>
      </w:r>
      <w:r w:rsidRPr="00BB3EDE">
        <w:t xml:space="preserve">been rendered as the major cause in approximately 95% of all violations involving sulfonamides in tissues. </w:t>
      </w:r>
    </w:p>
    <w:p w:rsidR="00B33222" w:rsidRDefault="006A3E7C" w:rsidP="00B33222">
      <w:pPr>
        <w:ind w:firstLine="720"/>
        <w:jc w:val="both"/>
      </w:pPr>
      <w:r>
        <w:t>S</w:t>
      </w:r>
      <w:r w:rsidR="000C75C4" w:rsidRPr="00BB3EDE">
        <w:t xml:space="preserve">ulfonamides detected in chicken samples in Malaysia is considered low. For instance, in USA, the contamination rates of sulfonamides were reported to over 4%, while in Italy it was lower (less than 1% violation). Samples of poultry meat surveyed in Italy showed contamination of sulfadiazine at 0.64 - 21.0 </w:t>
      </w:r>
      <w:proofErr w:type="spellStart"/>
      <w:r w:rsidR="000C75C4" w:rsidRPr="00BB3EDE">
        <w:t>μg</w:t>
      </w:r>
      <w:proofErr w:type="spellEnd"/>
      <w:r w:rsidR="000C75C4" w:rsidRPr="00BB3EDE">
        <w:t xml:space="preserve">/kg and </w:t>
      </w:r>
      <w:proofErr w:type="spellStart"/>
      <w:r w:rsidR="000C75C4" w:rsidRPr="00BB3EDE">
        <w:t>sulfaquinoxaline</w:t>
      </w:r>
      <w:proofErr w:type="spellEnd"/>
      <w:r w:rsidR="000C75C4" w:rsidRPr="00BB3EDE">
        <w:t xml:space="preserve"> at 0.98- 116.0 </w:t>
      </w:r>
      <w:proofErr w:type="spellStart"/>
      <w:r w:rsidR="000C75C4" w:rsidRPr="00BB3EDE">
        <w:t>μg</w:t>
      </w:r>
      <w:proofErr w:type="spellEnd"/>
      <w:r w:rsidR="000C75C4" w:rsidRPr="00BB3EDE">
        <w:t xml:space="preserve">/kg </w:t>
      </w:r>
      <w:r w:rsidR="000C75C4" w:rsidRPr="00BB3EDE">
        <w:rPr>
          <w:b/>
        </w:rPr>
        <w:t xml:space="preserve">(Weiss </w:t>
      </w:r>
      <w:r w:rsidR="000C75C4" w:rsidRPr="00C41678">
        <w:rPr>
          <w:b/>
          <w:i/>
          <w:iCs/>
        </w:rPr>
        <w:t>et al.,</w:t>
      </w:r>
      <w:r w:rsidR="000C75C4" w:rsidRPr="00BB3EDE">
        <w:rPr>
          <w:b/>
        </w:rPr>
        <w:t xml:space="preserve"> 2007)</w:t>
      </w:r>
      <w:r w:rsidR="000C75C4" w:rsidRPr="00BB3EDE">
        <w:t xml:space="preserve">. Positive samples detected for sulfonamides in their study were always in the liver. Study on the occurrence of veterinary drug residues, including sulfonamides, in poultry products in Nigeria showed contamination of 1% in eggs and 33.1% in broilers, 23.6% in slaughter and 4.8% in local chickens </w:t>
      </w:r>
      <w:r w:rsidR="000C75C4" w:rsidRPr="00BB3EDE">
        <w:rPr>
          <w:b/>
        </w:rPr>
        <w:t xml:space="preserve">(Kabir </w:t>
      </w:r>
      <w:r w:rsidR="000C75C4" w:rsidRPr="00C41678">
        <w:rPr>
          <w:b/>
          <w:i/>
          <w:iCs/>
        </w:rPr>
        <w:t>et al.,</w:t>
      </w:r>
      <w:r w:rsidR="000C75C4" w:rsidRPr="00BB3EDE">
        <w:rPr>
          <w:b/>
        </w:rPr>
        <w:t xml:space="preserve"> 2004)</w:t>
      </w:r>
      <w:r w:rsidR="000C75C4" w:rsidRPr="00BB3EDE">
        <w:t xml:space="preserve">. </w:t>
      </w:r>
    </w:p>
    <w:p w:rsidR="000C75C4" w:rsidRPr="00BB3EDE" w:rsidRDefault="000C75C4" w:rsidP="00B33222">
      <w:pPr>
        <w:ind w:firstLine="720"/>
        <w:jc w:val="both"/>
      </w:pPr>
      <w:r w:rsidRPr="00BB3EDE">
        <w:t xml:space="preserve">Sulfonamides are a group of synthetic antibiotics with broad spectrum effects against most Gram positive, Gram negative bacteria and protozoa </w:t>
      </w:r>
      <w:r w:rsidRPr="00BB3EDE">
        <w:rPr>
          <w:b/>
        </w:rPr>
        <w:t>(</w:t>
      </w:r>
      <w:proofErr w:type="spellStart"/>
      <w:r w:rsidRPr="00BB3EDE">
        <w:rPr>
          <w:b/>
        </w:rPr>
        <w:t>Mor</w:t>
      </w:r>
      <w:proofErr w:type="spellEnd"/>
      <w:r w:rsidRPr="00BB3EDE">
        <w:rPr>
          <w:b/>
        </w:rPr>
        <w:t xml:space="preserve"> </w:t>
      </w:r>
      <w:r w:rsidRPr="00C41678">
        <w:rPr>
          <w:b/>
          <w:i/>
          <w:iCs/>
        </w:rPr>
        <w:t>et. al.,</w:t>
      </w:r>
      <w:r w:rsidRPr="00BB3EDE">
        <w:rPr>
          <w:b/>
        </w:rPr>
        <w:t xml:space="preserve"> 2012)</w:t>
      </w:r>
      <w:r w:rsidRPr="00BB3EDE">
        <w:t xml:space="preserve">. They are frequently used in the poultry industry for therapeutic, prophylactic, or growth-promoting purposes </w:t>
      </w:r>
      <w:r w:rsidRPr="00BB3EDE">
        <w:rPr>
          <w:b/>
        </w:rPr>
        <w:t>(Doyle, 2006).</w:t>
      </w:r>
      <w:r w:rsidRPr="00BB3EDE">
        <w:t xml:space="preserve"> Sulfonamides are also used to treat various types of infections in digestive and respiratory tracts </w:t>
      </w:r>
      <w:r w:rsidRPr="00BB3EDE">
        <w:rPr>
          <w:b/>
        </w:rPr>
        <w:t>(</w:t>
      </w:r>
      <w:proofErr w:type="spellStart"/>
      <w:r w:rsidRPr="00BB3EDE">
        <w:rPr>
          <w:b/>
        </w:rPr>
        <w:t>Furusawa</w:t>
      </w:r>
      <w:proofErr w:type="spellEnd"/>
      <w:r w:rsidRPr="00BB3EDE">
        <w:rPr>
          <w:b/>
        </w:rPr>
        <w:t xml:space="preserve"> and Hanabusa, 2002)</w:t>
      </w:r>
      <w:r w:rsidRPr="00BB3EDE">
        <w:t xml:space="preserve">. The widespread use of sulfonamides as a result of their availability and low cost has resulted in considerable increase in resistant bacteria strains for these compounds </w:t>
      </w:r>
      <w:r w:rsidRPr="00BB3EDE">
        <w:rPr>
          <w:b/>
        </w:rPr>
        <w:t xml:space="preserve">(Van den </w:t>
      </w:r>
      <w:proofErr w:type="spellStart"/>
      <w:r w:rsidRPr="00BB3EDE">
        <w:rPr>
          <w:b/>
        </w:rPr>
        <w:t>Bogaard</w:t>
      </w:r>
      <w:r w:rsidRPr="00C41678">
        <w:rPr>
          <w:b/>
          <w:i/>
          <w:iCs/>
        </w:rPr>
        <w:t>et</w:t>
      </w:r>
      <w:proofErr w:type="spellEnd"/>
      <w:r w:rsidRPr="00C41678">
        <w:rPr>
          <w:b/>
          <w:i/>
          <w:iCs/>
        </w:rPr>
        <w:t xml:space="preserve"> al.,</w:t>
      </w:r>
      <w:r w:rsidRPr="00BB3EDE">
        <w:rPr>
          <w:b/>
        </w:rPr>
        <w:t xml:space="preserve"> 2001)</w:t>
      </w:r>
      <w:r w:rsidRPr="00BB3EDE">
        <w:t xml:space="preserve">. It is well established that consumption of animal products containing </w:t>
      </w:r>
      <w:proofErr w:type="spellStart"/>
      <w:r w:rsidRPr="00BB3EDE">
        <w:t>sulphonamide</w:t>
      </w:r>
      <w:proofErr w:type="spellEnd"/>
      <w:r w:rsidRPr="00BB3EDE">
        <w:t xml:space="preserve"> residues poses potential human health risks which include hypersensitivity or </w:t>
      </w:r>
      <w:r w:rsidR="00B33222" w:rsidRPr="00BB3EDE">
        <w:t>anaphylactic</w:t>
      </w:r>
      <w:r w:rsidRPr="00BB3EDE">
        <w:t xml:space="preserve"> shock, cancer </w:t>
      </w:r>
      <w:r w:rsidRPr="00BB3EDE">
        <w:rPr>
          <w:b/>
        </w:rPr>
        <w:t>(</w:t>
      </w:r>
      <w:proofErr w:type="spellStart"/>
      <w:r w:rsidRPr="00BB3EDE">
        <w:rPr>
          <w:b/>
        </w:rPr>
        <w:t>Goetting</w:t>
      </w:r>
      <w:proofErr w:type="spellEnd"/>
      <w:r w:rsidRPr="00BB3EDE">
        <w:rPr>
          <w:b/>
        </w:rPr>
        <w:t xml:space="preserve"> </w:t>
      </w:r>
      <w:r w:rsidRPr="00857E9D">
        <w:rPr>
          <w:b/>
          <w:i/>
          <w:iCs/>
        </w:rPr>
        <w:t>et al.,</w:t>
      </w:r>
      <w:r w:rsidRPr="00BB3EDE">
        <w:rPr>
          <w:b/>
        </w:rPr>
        <w:t xml:space="preserve"> 2011) </w:t>
      </w:r>
      <w:r w:rsidRPr="00BB3EDE">
        <w:t xml:space="preserve">and induction of bacterial resistance to the antimicrobials </w:t>
      </w:r>
      <w:r w:rsidRPr="00BB3EDE">
        <w:rPr>
          <w:b/>
        </w:rPr>
        <w:t>(</w:t>
      </w:r>
      <w:proofErr w:type="spellStart"/>
      <w:r w:rsidRPr="00BB3EDE">
        <w:rPr>
          <w:b/>
        </w:rPr>
        <w:t>Mor</w:t>
      </w:r>
      <w:proofErr w:type="spellEnd"/>
      <w:r w:rsidRPr="00BB3EDE">
        <w:rPr>
          <w:b/>
        </w:rPr>
        <w:t xml:space="preserve"> </w:t>
      </w:r>
      <w:r w:rsidRPr="00C41678">
        <w:rPr>
          <w:b/>
          <w:i/>
          <w:iCs/>
        </w:rPr>
        <w:t>et al.,</w:t>
      </w:r>
      <w:r w:rsidRPr="00BB3EDE">
        <w:rPr>
          <w:b/>
        </w:rPr>
        <w:t xml:space="preserve"> 2012)</w:t>
      </w:r>
      <w:r w:rsidRPr="00BB3EDE">
        <w:t>. Therefore, to safeguard public health against threats posed by antimicrobial residues, the MRL</w:t>
      </w:r>
      <w:r w:rsidR="00107C46">
        <w:t xml:space="preserve"> </w:t>
      </w:r>
      <w:r w:rsidRPr="00BB3EDE">
        <w:t xml:space="preserve">for sulfonamides in poultry products have been established at 100 </w:t>
      </w:r>
      <w:proofErr w:type="spellStart"/>
      <w:r w:rsidRPr="00BB3EDE">
        <w:t>μg</w:t>
      </w:r>
      <w:proofErr w:type="spellEnd"/>
      <w:r w:rsidRPr="00BB3EDE">
        <w:t>/kg by Codex Alimentarius commission and the EU (</w:t>
      </w:r>
      <w:proofErr w:type="spellStart"/>
      <w:r w:rsidRPr="00BB3EDE">
        <w:rPr>
          <w:b/>
        </w:rPr>
        <w:t>Sasanya</w:t>
      </w:r>
      <w:proofErr w:type="spellEnd"/>
      <w:r w:rsidR="00754ACB">
        <w:rPr>
          <w:b/>
          <w:i/>
          <w:iCs/>
        </w:rPr>
        <w:t xml:space="preserve"> </w:t>
      </w:r>
      <w:r w:rsidRPr="00C41678">
        <w:rPr>
          <w:b/>
          <w:i/>
          <w:iCs/>
        </w:rPr>
        <w:t>et. al.,</w:t>
      </w:r>
      <w:r w:rsidRPr="00BB3EDE">
        <w:rPr>
          <w:b/>
        </w:rPr>
        <w:t xml:space="preserve"> 2005</w:t>
      </w:r>
      <w:r>
        <w:rPr>
          <w:b/>
        </w:rPr>
        <w:t xml:space="preserve"> and</w:t>
      </w:r>
      <w:r w:rsidRPr="00BB3EDE">
        <w:rPr>
          <w:b/>
        </w:rPr>
        <w:t xml:space="preserve"> Malik </w:t>
      </w:r>
      <w:r w:rsidRPr="00C41678">
        <w:rPr>
          <w:b/>
          <w:i/>
          <w:iCs/>
        </w:rPr>
        <w:t>et. al.,</w:t>
      </w:r>
      <w:r w:rsidRPr="00BB3EDE">
        <w:rPr>
          <w:b/>
        </w:rPr>
        <w:t xml:space="preserve"> 2013)</w:t>
      </w:r>
      <w:r w:rsidRPr="00BB3EDE">
        <w:t xml:space="preserve">. In developed countries, such as the USA, Japan and EU, regulations and strict monitoring measures on the use of antimicrobials have been established </w:t>
      </w:r>
      <w:r w:rsidR="00B33222">
        <w:t>(</w:t>
      </w:r>
      <w:proofErr w:type="spellStart"/>
      <w:r w:rsidRPr="00BB3EDE">
        <w:rPr>
          <w:b/>
        </w:rPr>
        <w:t>Salehzadeh</w:t>
      </w:r>
      <w:proofErr w:type="spellEnd"/>
      <w:r w:rsidRPr="00BB3EDE">
        <w:rPr>
          <w:b/>
        </w:rPr>
        <w:t xml:space="preserve"> </w:t>
      </w:r>
      <w:r w:rsidRPr="00C41678">
        <w:rPr>
          <w:b/>
          <w:i/>
          <w:iCs/>
        </w:rPr>
        <w:t>et al.,</w:t>
      </w:r>
      <w:r w:rsidRPr="00BB3EDE">
        <w:rPr>
          <w:b/>
        </w:rPr>
        <w:t xml:space="preserve"> 2006; </w:t>
      </w:r>
      <w:proofErr w:type="spellStart"/>
      <w:r w:rsidRPr="00BB3EDE">
        <w:rPr>
          <w:b/>
        </w:rPr>
        <w:t>Passantino</w:t>
      </w:r>
      <w:proofErr w:type="spellEnd"/>
      <w:r w:rsidRPr="00BB3EDE">
        <w:rPr>
          <w:b/>
        </w:rPr>
        <w:t xml:space="preserve"> </w:t>
      </w:r>
      <w:r>
        <w:rPr>
          <w:b/>
        </w:rPr>
        <w:t>&amp;</w:t>
      </w:r>
      <w:r w:rsidRPr="00BB3EDE">
        <w:rPr>
          <w:b/>
        </w:rPr>
        <w:t xml:space="preserve"> Russo, 2008 and </w:t>
      </w:r>
      <w:proofErr w:type="spellStart"/>
      <w:r w:rsidRPr="00BB3EDE">
        <w:rPr>
          <w:b/>
        </w:rPr>
        <w:t>Reig</w:t>
      </w:r>
      <w:proofErr w:type="spellEnd"/>
      <w:r w:rsidRPr="00BB3EDE">
        <w:rPr>
          <w:b/>
        </w:rPr>
        <w:t xml:space="preserve"> </w:t>
      </w:r>
      <w:r>
        <w:rPr>
          <w:b/>
        </w:rPr>
        <w:t>&amp;</w:t>
      </w:r>
      <w:proofErr w:type="spellStart"/>
      <w:r w:rsidRPr="00BB3EDE">
        <w:rPr>
          <w:b/>
        </w:rPr>
        <w:t>Toldrá</w:t>
      </w:r>
      <w:proofErr w:type="spellEnd"/>
      <w:r w:rsidRPr="00BB3EDE">
        <w:rPr>
          <w:b/>
        </w:rPr>
        <w:t>, 2008)</w:t>
      </w:r>
      <w:r w:rsidRPr="00BB3EDE">
        <w:t xml:space="preserve">. In Tanzania, legislations regarding antibiotic drug application in food producing animals as well as monitoring and control of their residues are not adequately enforced </w:t>
      </w:r>
      <w:r w:rsidRPr="00BB3EDE">
        <w:rPr>
          <w:b/>
        </w:rPr>
        <w:t>(</w:t>
      </w:r>
      <w:proofErr w:type="spellStart"/>
      <w:r w:rsidRPr="00BB3EDE">
        <w:rPr>
          <w:b/>
        </w:rPr>
        <w:t>Nonga</w:t>
      </w:r>
      <w:proofErr w:type="spellEnd"/>
      <w:r w:rsidRPr="00BB3EDE">
        <w:rPr>
          <w:b/>
        </w:rPr>
        <w:t xml:space="preserve"> </w:t>
      </w:r>
      <w:r w:rsidRPr="00C41678">
        <w:rPr>
          <w:b/>
          <w:i/>
          <w:iCs/>
        </w:rPr>
        <w:t>et al.,</w:t>
      </w:r>
      <w:r w:rsidRPr="00BB3EDE">
        <w:rPr>
          <w:b/>
        </w:rPr>
        <w:t xml:space="preserve"> 2009)</w:t>
      </w:r>
      <w:r w:rsidRPr="00BB3EDE">
        <w:t xml:space="preserve">. Poor enforcement of these regulations may explain the reported high prevalence of antimicrobial residues in poultry products </w:t>
      </w:r>
      <w:r w:rsidRPr="00BB3EDE">
        <w:rPr>
          <w:b/>
        </w:rPr>
        <w:t>(</w:t>
      </w:r>
      <w:proofErr w:type="spellStart"/>
      <w:r w:rsidRPr="00BB3EDE">
        <w:rPr>
          <w:b/>
        </w:rPr>
        <w:t>Nonga</w:t>
      </w:r>
      <w:proofErr w:type="spellEnd"/>
      <w:r w:rsidRPr="00BB3EDE">
        <w:rPr>
          <w:b/>
        </w:rPr>
        <w:t xml:space="preserve"> </w:t>
      </w:r>
      <w:r w:rsidRPr="00C41678">
        <w:rPr>
          <w:b/>
          <w:i/>
          <w:iCs/>
        </w:rPr>
        <w:t>et al.,</w:t>
      </w:r>
      <w:r w:rsidRPr="00BB3EDE">
        <w:rPr>
          <w:b/>
        </w:rPr>
        <w:t xml:space="preserve"> 2009</w:t>
      </w:r>
      <w:r>
        <w:rPr>
          <w:b/>
        </w:rPr>
        <w:t xml:space="preserve"> and</w:t>
      </w:r>
      <w:r w:rsidRPr="00BB3EDE">
        <w:rPr>
          <w:b/>
        </w:rPr>
        <w:t xml:space="preserve"> </w:t>
      </w:r>
      <w:proofErr w:type="spellStart"/>
      <w:r w:rsidRPr="00BB3EDE">
        <w:rPr>
          <w:b/>
        </w:rPr>
        <w:t>Nonga</w:t>
      </w:r>
      <w:proofErr w:type="spellEnd"/>
      <w:r w:rsidRPr="00BB3EDE">
        <w:rPr>
          <w:b/>
        </w:rPr>
        <w:t xml:space="preserve"> </w:t>
      </w:r>
      <w:r w:rsidRPr="00C41678">
        <w:rPr>
          <w:b/>
          <w:i/>
          <w:iCs/>
        </w:rPr>
        <w:t>et al.,</w:t>
      </w:r>
      <w:r w:rsidRPr="00BB3EDE">
        <w:rPr>
          <w:b/>
        </w:rPr>
        <w:t xml:space="preserve"> 2010)</w:t>
      </w:r>
      <w:r w:rsidRPr="00BB3EDE">
        <w:t xml:space="preserve">. However, all the latter studies employed qualitative assays which indicate presence of antimicrobials but could not establish whether the residues exceed the MRL. </w:t>
      </w:r>
    </w:p>
    <w:p w:rsidR="000C75C4" w:rsidRPr="00BB3EDE" w:rsidRDefault="000C75C4" w:rsidP="000C75C4">
      <w:pPr>
        <w:ind w:firstLine="720"/>
        <w:jc w:val="both"/>
      </w:pPr>
      <w:r w:rsidRPr="00BB3EDE">
        <w:t xml:space="preserve">The sulfonamide residues of meat samples ranged from 0.02 to 0.8 </w:t>
      </w:r>
      <w:proofErr w:type="spellStart"/>
      <w:r w:rsidRPr="00BB3EDE">
        <w:t>μg</w:t>
      </w:r>
      <w:proofErr w:type="spellEnd"/>
      <w:r w:rsidRPr="00BB3EDE">
        <w:t>/g. Out of total 11poultry meat samples collected from Islamabad, 5 (45%)</w:t>
      </w:r>
      <w:r w:rsidR="00754ACB">
        <w:t xml:space="preserve"> </w:t>
      </w:r>
      <w:r w:rsidRPr="00BB3EDE">
        <w:t xml:space="preserve">had detectable concentrations of sulfonamides, of 5 positive samples2exceeded recommended MRL Meat samples collected from Islamabad hadsulfonamideresiduesbetween0.02 to 0.6 </w:t>
      </w:r>
      <w:proofErr w:type="spellStart"/>
      <w:r w:rsidRPr="00BB3EDE">
        <w:t>μg</w:t>
      </w:r>
      <w:proofErr w:type="spellEnd"/>
      <w:r w:rsidRPr="00BB3EDE">
        <w:t xml:space="preserve">/g. In total 30 poultry meat samples were analyzed for </w:t>
      </w:r>
      <w:r w:rsidRPr="00BB3EDE">
        <w:lastRenderedPageBreak/>
        <w:t>sulfonamide residues, out of which 43% (13 Nos)</w:t>
      </w:r>
      <w:r w:rsidR="00C82585">
        <w:t xml:space="preserve"> </w:t>
      </w:r>
      <w:r w:rsidRPr="00BB3EDE">
        <w:t xml:space="preserve">samples had detectable levels (0.02-2.0 </w:t>
      </w:r>
      <w:proofErr w:type="spellStart"/>
      <w:r w:rsidRPr="00BB3EDE">
        <w:t>μg</w:t>
      </w:r>
      <w:proofErr w:type="spellEnd"/>
      <w:r w:rsidRPr="00BB3EDE">
        <w:t xml:space="preserve">/g) of sulfonamide residues. Out of 13 positive samples,7(23.3%) exceeded recommended MRL(0.12-0.8 </w:t>
      </w:r>
      <w:proofErr w:type="spellStart"/>
      <w:r w:rsidRPr="00BB3EDE">
        <w:t>μg</w:t>
      </w:r>
      <w:proofErr w:type="spellEnd"/>
      <w:r w:rsidRPr="00BB3EDE">
        <w:t xml:space="preserve">/g) and found to be unfit for human consumption. </w:t>
      </w:r>
    </w:p>
    <w:p w:rsidR="000C75C4" w:rsidRPr="00BB3EDE" w:rsidRDefault="000C75C4" w:rsidP="00B33222">
      <w:pPr>
        <w:ind w:firstLine="720"/>
        <w:jc w:val="both"/>
      </w:pPr>
      <w:r w:rsidRPr="00BB3EDE">
        <w:t>Sulfonamides (SAs) are synthetic antibiotics with a wide spectrum against most gram-positive and many gram-negative organisms. They are regularly used by veterinarians in chickens for therapeutic, prophylactic, or growth-promoting purposes and halt the growth of bacteria in animal production. They are also used to treat many kinds of infections caused by bacteria and certain other microorganisms such as infectious diseases of digestive and respiratory tracts</w:t>
      </w:r>
      <w:r w:rsidR="00754ACB">
        <w:t xml:space="preserve"> </w:t>
      </w:r>
      <w:r w:rsidRPr="00BB3EDE">
        <w:rPr>
          <w:b/>
        </w:rPr>
        <w:t xml:space="preserve">(Hela </w:t>
      </w:r>
      <w:r w:rsidRPr="00C41678">
        <w:rPr>
          <w:b/>
          <w:i/>
          <w:iCs/>
        </w:rPr>
        <w:t>et al.,</w:t>
      </w:r>
      <w:r w:rsidRPr="00BB3EDE">
        <w:rPr>
          <w:b/>
        </w:rPr>
        <w:t xml:space="preserve"> 2003).</w:t>
      </w:r>
      <w:r w:rsidR="00754ACB">
        <w:t xml:space="preserve"> </w:t>
      </w:r>
      <w:r w:rsidRPr="00BB3EDE">
        <w:t>The extensive use of SAs as a result of their low cost has resulted in the increase of many sulfonamide-resistant strains of bacteria</w:t>
      </w:r>
      <w:r w:rsidRPr="00BB3EDE">
        <w:rPr>
          <w:b/>
        </w:rPr>
        <w:t xml:space="preserve">(Shao </w:t>
      </w:r>
      <w:r w:rsidRPr="00C41678">
        <w:rPr>
          <w:b/>
          <w:i/>
          <w:iCs/>
        </w:rPr>
        <w:t>et al.,</w:t>
      </w:r>
      <w:r w:rsidRPr="00BB3EDE">
        <w:rPr>
          <w:b/>
        </w:rPr>
        <w:t xml:space="preserve"> 2005)</w:t>
      </w:r>
      <w:r w:rsidRPr="00BB3EDE">
        <w:t xml:space="preserve">. Therefore, to ensure the safety of the food to the consumers, SAs are set at 0.1 </w:t>
      </w:r>
      <w:proofErr w:type="spellStart"/>
      <w:r w:rsidRPr="00BB3EDE">
        <w:t>μg</w:t>
      </w:r>
      <w:proofErr w:type="spellEnd"/>
      <w:r w:rsidRPr="00BB3EDE">
        <w:t xml:space="preserve"> g-1 of food producing animals for the maximum residue limit (MRL) The aim of this study is to determine level of four SAs, Sulfadiazine (SDZ), Sulfamethazine (SMZ), Sulfamethoxazole (SMX) and </w:t>
      </w:r>
      <w:proofErr w:type="spellStart"/>
      <w:r w:rsidRPr="00BB3EDE">
        <w:t>Sulfaquinoxaline</w:t>
      </w:r>
      <w:proofErr w:type="spellEnd"/>
      <w:r w:rsidRPr="00BB3EDE">
        <w:t xml:space="preserve"> (SQX,) in chicken muscle and liver samples marketed in Malaysia.</w:t>
      </w:r>
    </w:p>
    <w:p w:rsidR="000C75C4" w:rsidRPr="00BB3EDE" w:rsidRDefault="000C75C4" w:rsidP="006E0DBF">
      <w:pPr>
        <w:ind w:firstLine="720"/>
        <w:jc w:val="both"/>
      </w:pPr>
      <w:r w:rsidRPr="00BB3EDE">
        <w:t>However, there is no Allowed Daily Intake (ADI) recommended by regulatory agencies for exposure to sulfonamides. Furthermore, there is no previous study on sulfonamides exposure from other countries to be compared with.</w:t>
      </w:r>
      <w:r w:rsidR="00754ACB">
        <w:t xml:space="preserve"> </w:t>
      </w:r>
      <w:r w:rsidRPr="00BB3EDE">
        <w:t xml:space="preserve">The residue of sulfonamides detected in chicken liver was higher than breast meat samples. </w:t>
      </w:r>
    </w:p>
    <w:p w:rsidR="000C75C4" w:rsidRPr="00BB3EDE" w:rsidRDefault="000C75C4" w:rsidP="000C75C4">
      <w:pPr>
        <w:jc w:val="both"/>
        <w:rPr>
          <w:b/>
          <w:u w:val="single"/>
        </w:rPr>
      </w:pPr>
      <w:r w:rsidRPr="00BB3EDE">
        <w:rPr>
          <w:b/>
        </w:rPr>
        <w:t xml:space="preserve">Part II: Hormonal Residues in Chicken meat </w:t>
      </w:r>
    </w:p>
    <w:p w:rsidR="000C75C4" w:rsidRPr="00BB3EDE" w:rsidRDefault="000C75C4" w:rsidP="000C75C4">
      <w:pPr>
        <w:jc w:val="both"/>
        <w:rPr>
          <w:b/>
          <w:u w:val="single"/>
        </w:rPr>
      </w:pPr>
      <w:r w:rsidRPr="00BB3EDE">
        <w:rPr>
          <w:b/>
          <w:u w:val="single"/>
        </w:rPr>
        <w:t>C. 17β-Estradiol</w:t>
      </w:r>
    </w:p>
    <w:p w:rsidR="000C75C4" w:rsidRPr="00BB3EDE" w:rsidRDefault="000C75C4" w:rsidP="006E0DBF">
      <w:pPr>
        <w:ind w:firstLine="720"/>
        <w:jc w:val="both"/>
      </w:pPr>
      <w:r w:rsidRPr="00BB3EDE">
        <w:t xml:space="preserve">The mean concentrations level for 17β-Estradiol residues in chicken meat </w:t>
      </w:r>
      <w:r w:rsidR="006E0DBF">
        <w:t xml:space="preserve">and offal </w:t>
      </w:r>
      <w:r w:rsidRPr="00BB3EDE">
        <w:t>samples were presented in table</w:t>
      </w:r>
      <w:r>
        <w:t xml:space="preserve"> (1)</w:t>
      </w:r>
      <w:r w:rsidRPr="00BB3EDE">
        <w:t xml:space="preserve"> as following; the mean concentrations 17β-Estradiol values for </w:t>
      </w:r>
      <w:r w:rsidR="006E0DBF">
        <w:t xml:space="preserve">Egyptian </w:t>
      </w:r>
      <w:r w:rsidR="006E0DBF" w:rsidRPr="00BB3EDE">
        <w:t xml:space="preserve">and </w:t>
      </w:r>
      <w:r w:rsidR="00754ACB">
        <w:t>Bahrain</w:t>
      </w:r>
      <w:r w:rsidR="006E0DBF">
        <w:t xml:space="preserve"> </w:t>
      </w:r>
      <w:r w:rsidRPr="00BB3EDE">
        <w:t xml:space="preserve">chicken meat were; 1.626 ± 0.076 and 1.593 ± 0.069 µg/g respectively. The minimum and maximum values ranged were 1.22 – 1.96 and 1.20 – 1.90 µg/g for </w:t>
      </w:r>
      <w:r w:rsidR="006E0DBF">
        <w:t xml:space="preserve">Egyptian </w:t>
      </w:r>
      <w:r w:rsidR="006E0DBF" w:rsidRPr="00BB3EDE">
        <w:t xml:space="preserve">and </w:t>
      </w:r>
      <w:r w:rsidR="006E0DBF">
        <w:t xml:space="preserve">Bahrein </w:t>
      </w:r>
      <w:r w:rsidRPr="00BB3EDE">
        <w:t xml:space="preserve">chicken meat respectively. </w:t>
      </w:r>
      <w:r w:rsidR="006E0DBF">
        <w:t xml:space="preserve">While, in case of </w:t>
      </w:r>
      <w:r w:rsidRPr="00BB3EDE">
        <w:t>chicken offal were</w:t>
      </w:r>
      <w:r w:rsidR="006E0DBF">
        <w:t>;</w:t>
      </w:r>
      <w:r w:rsidRPr="00BB3EDE">
        <w:t xml:space="preserve"> 2.60 ± 0.089 and 2.95 ± 0.075 µg/g respectively. The minimum and maximum values ranged were; 2.19 – 4.00 and 2.30 – 3.90 µg/g for </w:t>
      </w:r>
      <w:r w:rsidR="006E0DBF">
        <w:t xml:space="preserve">Egyptian </w:t>
      </w:r>
      <w:r w:rsidR="006E0DBF" w:rsidRPr="00BB3EDE">
        <w:t xml:space="preserve">and </w:t>
      </w:r>
      <w:r w:rsidR="00754ACB">
        <w:t>Bahrain</w:t>
      </w:r>
      <w:r w:rsidR="006E0DBF">
        <w:t xml:space="preserve"> c</w:t>
      </w:r>
      <w:r w:rsidRPr="00BB3EDE">
        <w:t xml:space="preserve">hicken offal respectively. </w:t>
      </w:r>
    </w:p>
    <w:p w:rsidR="000C75C4" w:rsidRPr="00BB3EDE" w:rsidRDefault="000C75C4" w:rsidP="00754ACB">
      <w:pPr>
        <w:ind w:firstLine="720"/>
        <w:jc w:val="both"/>
      </w:pPr>
      <w:r w:rsidRPr="00BB3EDE">
        <w:t xml:space="preserve">The mean 17β-Estradiol residues levels compared to Egyptian and Gulf standards (2 µg/g) in local and imported chicken meat </w:t>
      </w:r>
      <w:r w:rsidR="006E0DBF">
        <w:t xml:space="preserve">and offal </w:t>
      </w:r>
      <w:r w:rsidRPr="00BB3EDE">
        <w:t>were analyzed in table (</w:t>
      </w:r>
      <w:r>
        <w:t>2</w:t>
      </w:r>
      <w:r w:rsidRPr="00BB3EDE">
        <w:t xml:space="preserve">) in 100% of samples the concentrations of 17β-Estradiol were as following; 100% of the tested local and imported chicken meat samples were within the </w:t>
      </w:r>
      <w:r>
        <w:t xml:space="preserve">International and </w:t>
      </w:r>
      <w:r w:rsidRPr="00BB3EDE">
        <w:t xml:space="preserve">Egyptian permissible limits for 17β-Estradiol (2.0 µg/kg for chicken offal) which recommended by </w:t>
      </w:r>
      <w:r w:rsidRPr="00BB3EDE">
        <w:rPr>
          <w:b/>
        </w:rPr>
        <w:t>E.O.S., no. 7136,</w:t>
      </w:r>
      <w:r w:rsidR="00754ACB">
        <w:rPr>
          <w:b/>
        </w:rPr>
        <w:t xml:space="preserve"> (</w:t>
      </w:r>
      <w:r w:rsidRPr="00BB3EDE">
        <w:rPr>
          <w:b/>
        </w:rPr>
        <w:t>2010)</w:t>
      </w:r>
      <w:r w:rsidRPr="00BB3EDE">
        <w:t xml:space="preserve">. </w:t>
      </w:r>
    </w:p>
    <w:p w:rsidR="000C75C4" w:rsidRPr="00BB3EDE" w:rsidRDefault="000C75C4" w:rsidP="000C75C4">
      <w:pPr>
        <w:ind w:firstLine="720"/>
        <w:jc w:val="both"/>
      </w:pPr>
      <w:r w:rsidRPr="00BB3EDE">
        <w:t xml:space="preserve">Nearly similar results reported by </w:t>
      </w:r>
      <w:r w:rsidRPr="00BB3EDE">
        <w:rPr>
          <w:b/>
        </w:rPr>
        <w:t xml:space="preserve">Ibrahim, </w:t>
      </w:r>
      <w:r w:rsidR="00C82585">
        <w:rPr>
          <w:b/>
        </w:rPr>
        <w:t>(</w:t>
      </w:r>
      <w:r w:rsidRPr="00BB3EDE">
        <w:rPr>
          <w:b/>
        </w:rPr>
        <w:t>2009)</w:t>
      </w:r>
      <w:r w:rsidRPr="00BB3EDE">
        <w:t xml:space="preserve"> whom recorded about; 0.782±0.07 and 2.077±0.08 </w:t>
      </w:r>
      <w:proofErr w:type="spellStart"/>
      <w:r w:rsidRPr="00BB3EDE">
        <w:t>μg</w:t>
      </w:r>
      <w:proofErr w:type="spellEnd"/>
      <w:r w:rsidRPr="00BB3EDE">
        <w:t xml:space="preserve">/ kg from chicken meat and offal for 17β-Estradiol. Lower findings were obtained by </w:t>
      </w:r>
      <w:r w:rsidRPr="0002662E">
        <w:rPr>
          <w:b/>
          <w:bCs/>
        </w:rPr>
        <w:t>Doyle (2000)</w:t>
      </w:r>
      <w:r w:rsidRPr="00BB3EDE">
        <w:t xml:space="preserve"> who found 17β-estradiol in chicken meat was ranged from &lt; 0.03-0.02 ppb. While higher findings were obtained by </w:t>
      </w:r>
      <w:proofErr w:type="spellStart"/>
      <w:r w:rsidRPr="00BB3EDE">
        <w:rPr>
          <w:b/>
        </w:rPr>
        <w:t>Sadek</w:t>
      </w:r>
      <w:proofErr w:type="spellEnd"/>
      <w:r w:rsidRPr="00BB3EDE">
        <w:rPr>
          <w:b/>
        </w:rPr>
        <w:t xml:space="preserve"> </w:t>
      </w:r>
      <w:r w:rsidRPr="00C41678">
        <w:rPr>
          <w:b/>
          <w:i/>
          <w:iCs/>
        </w:rPr>
        <w:t>et al.,</w:t>
      </w:r>
      <w:r w:rsidRPr="00BB3EDE">
        <w:rPr>
          <w:b/>
        </w:rPr>
        <w:t xml:space="preserve"> </w:t>
      </w:r>
      <w:r w:rsidR="00C82585">
        <w:rPr>
          <w:b/>
        </w:rPr>
        <w:t>(</w:t>
      </w:r>
      <w:r w:rsidRPr="00BB3EDE">
        <w:rPr>
          <w:b/>
        </w:rPr>
        <w:t xml:space="preserve">1998) </w:t>
      </w:r>
      <w:r w:rsidRPr="00BB3EDE">
        <w:t xml:space="preserve">whofound17β-estradiol in chicken meat and offal were 0.865, 4.216 ppb respectively. </w:t>
      </w:r>
    </w:p>
    <w:p w:rsidR="000C75C4" w:rsidRPr="00BB3EDE" w:rsidRDefault="000C75C4" w:rsidP="000C75C4">
      <w:pPr>
        <w:ind w:firstLine="720"/>
        <w:jc w:val="both"/>
      </w:pPr>
      <w:r w:rsidRPr="00BB3EDE">
        <w:t xml:space="preserve">The acceptability of samples according to permissible limit (&gt;2ppb) stipulated by the Egyptian Organization for standardization and quality control 100% and 29% in chicken muscle and offal respectively. No samples were exceeding the permissible limit stated by </w:t>
      </w:r>
      <w:r w:rsidRPr="00BB3EDE">
        <w:rPr>
          <w:b/>
        </w:rPr>
        <w:t>Gracey (1998)</w:t>
      </w:r>
      <w:r w:rsidRPr="00BB3EDE">
        <w:t xml:space="preserve">. </w:t>
      </w:r>
    </w:p>
    <w:p w:rsidR="0015183A" w:rsidRPr="00BB3EDE" w:rsidRDefault="0015183A" w:rsidP="0015183A">
      <w:pPr>
        <w:ind w:firstLine="720"/>
        <w:jc w:val="both"/>
      </w:pPr>
      <w:r w:rsidRPr="00BB3EDE">
        <w:t xml:space="preserve">17β-Estradiol affects body weight by enhancing secretion of growth hormone, but it results in a great suppression in LH values. Generally, withdrawal of estradiol greatly influenced by the level of lipid content of different tissues. The consumption of meat containing estrogenic material resulted in fluctuation in estrogenic hormones and significant disorder in gonadotrophins of lactating mother </w:t>
      </w:r>
      <w:r w:rsidRPr="00BB3EDE">
        <w:rPr>
          <w:b/>
        </w:rPr>
        <w:t>(Ayat 1987)</w:t>
      </w:r>
      <w:r w:rsidRPr="00BB3EDE">
        <w:t>.</w:t>
      </w:r>
    </w:p>
    <w:p w:rsidR="000C75C4" w:rsidRDefault="000C75C4" w:rsidP="000C75C4">
      <w:pPr>
        <w:ind w:firstLine="720"/>
        <w:jc w:val="both"/>
      </w:pPr>
      <w:r w:rsidRPr="00BB3EDE">
        <w:t xml:space="preserve">17β-Estradiol hormone has great side effect on human who consume meat contain this hormone which made hepatocellular carcinoma and consider </w:t>
      </w:r>
      <w:proofErr w:type="spellStart"/>
      <w:r w:rsidRPr="00BB3EDE">
        <w:t>hepato</w:t>
      </w:r>
      <w:proofErr w:type="spellEnd"/>
      <w:r w:rsidRPr="00BB3EDE">
        <w:t xml:space="preserve"> tumorigenic agent also, it effects on gonadotrophins of lactating mother. The administration of health-risk related substances such as growth promoting agents and hormones is a recurring problem in animal production where these compounds. The withdrawal time of hormone from the body of chicks need more time so it is forbidden to give hormones as growth promoters to chickens to avoid exposure to hormonal residues in poultry meat and its public health hazard </w:t>
      </w:r>
      <w:r w:rsidRPr="00BB3EDE">
        <w:rPr>
          <w:b/>
        </w:rPr>
        <w:t xml:space="preserve">(Platter </w:t>
      </w:r>
      <w:r w:rsidRPr="006E0DBF">
        <w:rPr>
          <w:b/>
          <w:i/>
          <w:iCs/>
        </w:rPr>
        <w:t>et al.,</w:t>
      </w:r>
      <w:r w:rsidRPr="00BB3EDE">
        <w:rPr>
          <w:b/>
        </w:rPr>
        <w:t xml:space="preserve"> 2003)</w:t>
      </w:r>
      <w:r w:rsidRPr="00BB3EDE">
        <w:t>.</w:t>
      </w:r>
    </w:p>
    <w:p w:rsidR="0015183A" w:rsidRPr="0015183A" w:rsidRDefault="0015183A" w:rsidP="0015183A">
      <w:pPr>
        <w:jc w:val="both"/>
        <w:rPr>
          <w:b/>
        </w:rPr>
      </w:pPr>
      <w:r w:rsidRPr="00BB3EDE">
        <w:rPr>
          <w:b/>
        </w:rPr>
        <w:lastRenderedPageBreak/>
        <w:t>Part I</w:t>
      </w:r>
      <w:r>
        <w:rPr>
          <w:b/>
        </w:rPr>
        <w:t>I</w:t>
      </w:r>
      <w:r w:rsidRPr="00BB3EDE">
        <w:rPr>
          <w:b/>
        </w:rPr>
        <w:t xml:space="preserve">I: </w:t>
      </w:r>
      <w:r>
        <w:rPr>
          <w:b/>
        </w:rPr>
        <w:t xml:space="preserve">Health Risk Index of </w:t>
      </w:r>
      <w:r w:rsidRPr="0015183A">
        <w:rPr>
          <w:b/>
        </w:rPr>
        <w:t xml:space="preserve">ciprofloxacin, Sulfadiazine and 17β-Estradiol </w:t>
      </w:r>
      <w:r w:rsidRPr="00BB3EDE">
        <w:rPr>
          <w:b/>
        </w:rPr>
        <w:t>Residues in Chicken meat</w:t>
      </w:r>
      <w:r>
        <w:rPr>
          <w:b/>
        </w:rPr>
        <w:t xml:space="preserve"> and offal</w:t>
      </w:r>
    </w:p>
    <w:p w:rsidR="00F6489B" w:rsidRPr="00BB3EDE" w:rsidRDefault="00F6489B" w:rsidP="00F6489B">
      <w:pPr>
        <w:ind w:firstLine="720"/>
        <w:jc w:val="both"/>
        <w:rPr>
          <w:b/>
        </w:rPr>
      </w:pPr>
      <w:r w:rsidRPr="00EF27C0">
        <w:rPr>
          <w:sz w:val="25"/>
          <w:szCs w:val="25"/>
        </w:rPr>
        <w:t xml:space="preserve">The level of the risk imparted towards health due to these antibiotics present was further assessed by calculating the health risk index (HRI). Health risk calculations </w:t>
      </w:r>
      <w:r w:rsidRPr="00EF27C0">
        <w:rPr>
          <w:b/>
          <w:bCs/>
          <w:sz w:val="25"/>
          <w:szCs w:val="25"/>
        </w:rPr>
        <w:t xml:space="preserve">(Carmen </w:t>
      </w:r>
      <w:r w:rsidRPr="00EF27C0">
        <w:rPr>
          <w:b/>
          <w:bCs/>
          <w:i/>
          <w:iCs/>
          <w:sz w:val="25"/>
          <w:szCs w:val="25"/>
        </w:rPr>
        <w:t>et al.,</w:t>
      </w:r>
      <w:r w:rsidRPr="00EF27C0">
        <w:rPr>
          <w:b/>
          <w:bCs/>
          <w:sz w:val="25"/>
          <w:szCs w:val="25"/>
        </w:rPr>
        <w:t xml:space="preserve"> 2008)</w:t>
      </w:r>
      <w:r w:rsidRPr="00EF27C0">
        <w:rPr>
          <w:sz w:val="25"/>
          <w:szCs w:val="25"/>
        </w:rPr>
        <w:t xml:space="preserve"> showed that health risk index exceeded 1 (the cut off value) for </w:t>
      </w:r>
      <w:r w:rsidRPr="00EF27C0">
        <w:t xml:space="preserve">ciprofloxacin </w:t>
      </w:r>
      <w:r w:rsidRPr="00EF27C0">
        <w:rPr>
          <w:sz w:val="25"/>
          <w:szCs w:val="25"/>
        </w:rPr>
        <w:t xml:space="preserve">in samples while for </w:t>
      </w:r>
      <w:r w:rsidRPr="00EF27C0">
        <w:t>Sulfadiazine and 17β-Estradiol</w:t>
      </w:r>
      <w:r w:rsidRPr="00EF27C0">
        <w:rPr>
          <w:sz w:val="25"/>
          <w:szCs w:val="25"/>
        </w:rPr>
        <w:t xml:space="preserve"> value did not exceed 1 for any sample (Table 3). Results indicate that there is the possibility of potential health risk associated with exposure to </w:t>
      </w:r>
      <w:r w:rsidRPr="00EF27C0">
        <w:t>ciprofloxacin, Sulfadiazine and 17β-Estradiol</w:t>
      </w:r>
      <w:r w:rsidRPr="00EF27C0">
        <w:rPr>
          <w:sz w:val="25"/>
          <w:szCs w:val="25"/>
        </w:rPr>
        <w:t xml:space="preserve"> through </w:t>
      </w:r>
      <w:r w:rsidRPr="00EF27C0">
        <w:t xml:space="preserve">chicken meat and offal </w:t>
      </w:r>
      <w:r w:rsidRPr="00EF27C0">
        <w:rPr>
          <w:sz w:val="25"/>
          <w:szCs w:val="25"/>
        </w:rPr>
        <w:t xml:space="preserve">to human beings utilizing them especially because of presence of those residues as HRI for </w:t>
      </w:r>
      <w:r w:rsidRPr="00EF27C0">
        <w:t xml:space="preserve">Sulfadiazine </w:t>
      </w:r>
      <w:r w:rsidRPr="00EF27C0">
        <w:rPr>
          <w:sz w:val="25"/>
          <w:szCs w:val="25"/>
        </w:rPr>
        <w:t>was the highest in most of samples</w:t>
      </w:r>
      <w:r w:rsidRPr="00EF27C0">
        <w:t xml:space="preserve"> followed by 17β-Estradiol</w:t>
      </w:r>
      <w:r w:rsidRPr="00EF27C0">
        <w:rPr>
          <w:sz w:val="25"/>
          <w:szCs w:val="25"/>
        </w:rPr>
        <w:t xml:space="preserve">. Regular monitoring of the use of common </w:t>
      </w:r>
      <w:r w:rsidRPr="00EF27C0">
        <w:t>ciprofloxacin, Sulfadiazine and 17β-Estradiol</w:t>
      </w:r>
      <w:r w:rsidRPr="00EF27C0">
        <w:rPr>
          <w:sz w:val="25"/>
          <w:szCs w:val="25"/>
        </w:rPr>
        <w:t xml:space="preserve"> especially in developing countries should also be undertaken for regular monitoring of residual </w:t>
      </w:r>
      <w:r w:rsidRPr="00EF27C0">
        <w:t>ciprofloxacin, Sulfadiazine and 17β-Estradiol</w:t>
      </w:r>
      <w:r w:rsidRPr="00EF27C0">
        <w:rPr>
          <w:sz w:val="25"/>
          <w:szCs w:val="25"/>
        </w:rPr>
        <w:t xml:space="preserve"> levels that may pose potential health hazard. Adaptation of best agricultural practices in the surrounding area and best management practices in the chicken meat and offal may help to avoid or reduces the chances of contamination.</w:t>
      </w:r>
    </w:p>
    <w:p w:rsidR="000C75C4" w:rsidRPr="0002662E" w:rsidRDefault="002954C7" w:rsidP="002954C7">
      <w:pPr>
        <w:spacing w:line="360" w:lineRule="auto"/>
        <w:rPr>
          <w:b/>
          <w:bCs/>
        </w:rPr>
      </w:pPr>
      <w:r>
        <w:rPr>
          <w:b/>
          <w:bCs/>
        </w:rPr>
        <w:t xml:space="preserve">4. </w:t>
      </w:r>
      <w:r w:rsidR="000C75C4" w:rsidRPr="0002662E">
        <w:rPr>
          <w:b/>
          <w:bCs/>
        </w:rPr>
        <w:t>Conclusion</w:t>
      </w:r>
    </w:p>
    <w:p w:rsidR="000C75C4" w:rsidRDefault="000C75C4" w:rsidP="00107C46">
      <w:pPr>
        <w:jc w:val="both"/>
      </w:pPr>
      <w:r w:rsidRPr="0002662E">
        <w:t>The results of this study observed that the local chicken meat was more contaminated by several residues than imported samples. In addition to that the contaminants were more precipitated in chicken offal than chicken meat</w:t>
      </w:r>
      <w:r w:rsidR="00C4130B">
        <w:t xml:space="preserve"> t</w:t>
      </w:r>
      <w:r w:rsidRPr="0002662E">
        <w:t>he study concluded that local and imported chicken meat and offal samples were contaminated with a variety residue such as; antibiotics (ciprofloxacin and sulfadiazine) and hormone (17β-Estradiol) at different levels</w:t>
      </w:r>
      <w:r>
        <w:t>.</w:t>
      </w:r>
    </w:p>
    <w:p w:rsidR="002879A9" w:rsidRPr="002879A9" w:rsidRDefault="002879A9" w:rsidP="002879A9">
      <w:pPr>
        <w:spacing w:line="360" w:lineRule="auto"/>
        <w:rPr>
          <w:b/>
          <w:bCs/>
        </w:rPr>
      </w:pPr>
      <w:r>
        <w:rPr>
          <w:b/>
          <w:bCs/>
        </w:rPr>
        <w:t xml:space="preserve">5. </w:t>
      </w:r>
      <w:r w:rsidRPr="002879A9">
        <w:rPr>
          <w:b/>
          <w:bCs/>
        </w:rPr>
        <w:t>Acknowledgements</w:t>
      </w:r>
      <w:r>
        <w:rPr>
          <w:b/>
          <w:bCs/>
        </w:rPr>
        <w:t xml:space="preserve">: </w:t>
      </w:r>
      <w:r w:rsidRPr="002879A9">
        <w:t>The article is self-funded by the authors.</w:t>
      </w:r>
    </w:p>
    <w:p w:rsidR="000C75C4" w:rsidRDefault="002879A9" w:rsidP="000C75C4">
      <w:pPr>
        <w:spacing w:line="360" w:lineRule="auto"/>
      </w:pPr>
      <w:r>
        <w:rPr>
          <w:b/>
          <w:bCs/>
        </w:rPr>
        <w:t xml:space="preserve">6. </w:t>
      </w:r>
      <w:r w:rsidR="000C75C4">
        <w:rPr>
          <w:b/>
          <w:bCs/>
        </w:rPr>
        <w:t>Reference</w:t>
      </w:r>
    </w:p>
    <w:p w:rsidR="00563AC3" w:rsidRDefault="00563AC3" w:rsidP="00107C46">
      <w:pPr>
        <w:ind w:left="851" w:hanging="851"/>
        <w:jc w:val="both"/>
        <w:rPr>
          <w:rFonts w:eastAsia="Calibri"/>
          <w:color w:val="222222"/>
          <w:shd w:val="clear" w:color="auto" w:fill="FFFFFF"/>
        </w:rPr>
      </w:pPr>
      <w:r>
        <w:rPr>
          <w:sz w:val="23"/>
          <w:szCs w:val="23"/>
        </w:rPr>
        <w:t xml:space="preserve">Abubakar, A., </w:t>
      </w:r>
      <w:proofErr w:type="spellStart"/>
      <w:r>
        <w:rPr>
          <w:sz w:val="23"/>
          <w:szCs w:val="23"/>
        </w:rPr>
        <w:t>Uzairu</w:t>
      </w:r>
      <w:proofErr w:type="spellEnd"/>
      <w:r>
        <w:rPr>
          <w:sz w:val="23"/>
          <w:szCs w:val="23"/>
        </w:rPr>
        <w:t xml:space="preserve">, A., </w:t>
      </w:r>
      <w:proofErr w:type="spellStart"/>
      <w:r>
        <w:rPr>
          <w:sz w:val="23"/>
          <w:szCs w:val="23"/>
        </w:rPr>
        <w:t>Ekwumemgbo</w:t>
      </w:r>
      <w:proofErr w:type="spellEnd"/>
      <w:r>
        <w:rPr>
          <w:sz w:val="23"/>
          <w:szCs w:val="23"/>
        </w:rPr>
        <w:t xml:space="preserve">, P. A., &amp; </w:t>
      </w:r>
      <w:proofErr w:type="spellStart"/>
      <w:r>
        <w:rPr>
          <w:sz w:val="23"/>
          <w:szCs w:val="23"/>
        </w:rPr>
        <w:t>Dkunola</w:t>
      </w:r>
      <w:proofErr w:type="spellEnd"/>
      <w:r>
        <w:rPr>
          <w:sz w:val="23"/>
          <w:szCs w:val="23"/>
        </w:rPr>
        <w:t xml:space="preserve">, J. D. (2015). Risk assessment of heavy metals in imported frozen fish </w:t>
      </w:r>
      <w:proofErr w:type="spellStart"/>
      <w:r>
        <w:rPr>
          <w:sz w:val="23"/>
          <w:szCs w:val="23"/>
        </w:rPr>
        <w:t>scomber</w:t>
      </w:r>
      <w:proofErr w:type="spellEnd"/>
      <w:r>
        <w:rPr>
          <w:sz w:val="23"/>
          <w:szCs w:val="23"/>
        </w:rPr>
        <w:t xml:space="preserve"> </w:t>
      </w:r>
      <w:proofErr w:type="spellStart"/>
      <w:r>
        <w:rPr>
          <w:sz w:val="23"/>
          <w:szCs w:val="23"/>
        </w:rPr>
        <w:t>scombrus</w:t>
      </w:r>
      <w:proofErr w:type="spellEnd"/>
      <w:r>
        <w:rPr>
          <w:sz w:val="23"/>
          <w:szCs w:val="23"/>
        </w:rPr>
        <w:t xml:space="preserve"> species sold in Nigeria: a case study in Zaria Metropolis. Advances in Toxicology, 11-21.</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Ahmed, A.M. and Shimamoto, T. (2014): Isolation and molecular characterization of Salmonella enterica, Escherichia coli O157:H7 and Shigella spp. from meat and dairy products in Egypt. Inter. J. of Food Microbiology, 168-169: 57-62.</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Amjad, H.; Iqbal, J.; Naeem, M. (2006): Analysis of Some Residual Antibiotics in Muscle, Kidney and Liver Samples of Broiler Chicken by Various Methods. Proceedings of the Pakistan Academy of Sciences 2005, 42(4), 223–231.</w:t>
      </w:r>
    </w:p>
    <w:p w:rsidR="00563AC3"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Apata</w:t>
      </w:r>
      <w:proofErr w:type="spellEnd"/>
      <w:r w:rsidRPr="0004213C">
        <w:rPr>
          <w:rFonts w:eastAsia="Calibri"/>
          <w:color w:val="222222"/>
          <w:shd w:val="clear" w:color="auto" w:fill="FFFFFF"/>
        </w:rPr>
        <w:t>, D.F. (2009): Antibiotic resistance in poultry. Inter. J. of Poultry Science, 8: 404-408.</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Ayat A.M. (1987): Serum hormonal changes during lactation and its relation to mother nursing status and infant growth. Ph.D. Thesis, Fac. Of Med., Cairo university.</w:t>
      </w:r>
    </w:p>
    <w:p w:rsidR="00563AC3" w:rsidRDefault="00563AC3" w:rsidP="00107C46">
      <w:pPr>
        <w:ind w:left="851" w:hanging="851"/>
        <w:jc w:val="both"/>
        <w:rPr>
          <w:rFonts w:eastAsia="Calibri"/>
          <w:color w:val="222222"/>
          <w:shd w:val="clear" w:color="auto" w:fill="FFFFFF"/>
        </w:rPr>
      </w:pPr>
      <w:proofErr w:type="spellStart"/>
      <w:r>
        <w:rPr>
          <w:sz w:val="23"/>
          <w:szCs w:val="23"/>
        </w:rPr>
        <w:t>Balkhair</w:t>
      </w:r>
      <w:proofErr w:type="spellEnd"/>
      <w:r>
        <w:rPr>
          <w:sz w:val="23"/>
          <w:szCs w:val="23"/>
        </w:rPr>
        <w:t xml:space="preserve">, K. S., &amp; Ashraf, M. A. (2016). Field accumulation risks of heavy metals in soil and vegetable crop irrigated with sewage water in western region of Saudi Arabia. Saudi Journal of Biological Sciences, 23(1), S32-S44. </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 xml:space="preserve">Biswas,   A.   K.,G.   S. Rao, N. </w:t>
      </w:r>
      <w:proofErr w:type="spellStart"/>
      <w:r w:rsidRPr="0004213C">
        <w:rPr>
          <w:rFonts w:eastAsia="Calibri"/>
          <w:color w:val="222222"/>
          <w:shd w:val="clear" w:color="auto" w:fill="FFFFFF"/>
        </w:rPr>
        <w:t>Kondaiah</w:t>
      </w:r>
      <w:proofErr w:type="spellEnd"/>
      <w:r w:rsidRPr="0004213C">
        <w:rPr>
          <w:rFonts w:eastAsia="Calibri"/>
          <w:color w:val="222222"/>
          <w:shd w:val="clear" w:color="auto" w:fill="FFFFFF"/>
        </w:rPr>
        <w:t xml:space="preserve">, A.   S.   R. Anjaneyulu and J.   K. Malik (2007).   Simple multiresidue  of  trimethoprim  and  sulfonamides residues  in  buffalo  meat  by  high    performance liquid  chromatography.  J.  Agric.  Food  Chem., 55: 8845-8850. </w:t>
      </w:r>
    </w:p>
    <w:p w:rsidR="00EF27C0" w:rsidRDefault="00EF27C0" w:rsidP="00107C46">
      <w:pPr>
        <w:ind w:left="851" w:hanging="851"/>
        <w:jc w:val="both"/>
        <w:rPr>
          <w:sz w:val="25"/>
          <w:szCs w:val="25"/>
        </w:rPr>
      </w:pPr>
      <w:r>
        <w:rPr>
          <w:sz w:val="25"/>
          <w:szCs w:val="25"/>
        </w:rPr>
        <w:t xml:space="preserve">Carmen, I. R., </w:t>
      </w:r>
      <w:proofErr w:type="spellStart"/>
      <w:r>
        <w:rPr>
          <w:sz w:val="25"/>
          <w:szCs w:val="25"/>
        </w:rPr>
        <w:t>Fróes</w:t>
      </w:r>
      <w:proofErr w:type="spellEnd"/>
      <w:r>
        <w:rPr>
          <w:sz w:val="25"/>
          <w:szCs w:val="25"/>
        </w:rPr>
        <w:t xml:space="preserve">, A., </w:t>
      </w:r>
      <w:proofErr w:type="spellStart"/>
      <w:r>
        <w:rPr>
          <w:sz w:val="25"/>
          <w:szCs w:val="25"/>
        </w:rPr>
        <w:t>Herling</w:t>
      </w:r>
      <w:proofErr w:type="spellEnd"/>
      <w:r>
        <w:rPr>
          <w:sz w:val="25"/>
          <w:szCs w:val="25"/>
        </w:rPr>
        <w:t xml:space="preserve">, G. A. A., Marisa, P., Alexandre, P. S., Maria, I., Freitas, F., Daniela, B. &amp; </w:t>
      </w:r>
      <w:proofErr w:type="spellStart"/>
      <w:r>
        <w:rPr>
          <w:sz w:val="25"/>
          <w:szCs w:val="25"/>
        </w:rPr>
        <w:t>Volney</w:t>
      </w:r>
      <w:proofErr w:type="spellEnd"/>
      <w:r>
        <w:rPr>
          <w:sz w:val="25"/>
          <w:szCs w:val="25"/>
        </w:rPr>
        <w:t xml:space="preserve">, M. C. (2008). Assessment of human health risk from organochlorine pesticide residues in </w:t>
      </w:r>
      <w:proofErr w:type="spellStart"/>
      <w:r>
        <w:rPr>
          <w:sz w:val="25"/>
          <w:szCs w:val="25"/>
        </w:rPr>
        <w:t>Cidade</w:t>
      </w:r>
      <w:proofErr w:type="spellEnd"/>
      <w:r>
        <w:rPr>
          <w:sz w:val="25"/>
          <w:szCs w:val="25"/>
        </w:rPr>
        <w:t xml:space="preserve"> dos </w:t>
      </w:r>
      <w:proofErr w:type="spellStart"/>
      <w:r>
        <w:rPr>
          <w:sz w:val="25"/>
          <w:szCs w:val="25"/>
        </w:rPr>
        <w:t>Meninos</w:t>
      </w:r>
      <w:proofErr w:type="spellEnd"/>
      <w:r>
        <w:rPr>
          <w:sz w:val="25"/>
          <w:szCs w:val="25"/>
        </w:rPr>
        <w:t xml:space="preserve">, Duque de Caxias, Rio de Janeiro, Brazil. </w:t>
      </w:r>
      <w:proofErr w:type="spellStart"/>
      <w:r>
        <w:rPr>
          <w:sz w:val="25"/>
          <w:szCs w:val="25"/>
        </w:rPr>
        <w:t>Cadernos</w:t>
      </w:r>
      <w:proofErr w:type="spellEnd"/>
      <w:r>
        <w:rPr>
          <w:sz w:val="25"/>
          <w:szCs w:val="25"/>
        </w:rPr>
        <w:t xml:space="preserve"> de </w:t>
      </w:r>
      <w:proofErr w:type="spellStart"/>
      <w:r>
        <w:rPr>
          <w:sz w:val="25"/>
          <w:szCs w:val="25"/>
        </w:rPr>
        <w:t>Saúde</w:t>
      </w:r>
      <w:proofErr w:type="spellEnd"/>
      <w:r>
        <w:rPr>
          <w:sz w:val="25"/>
          <w:szCs w:val="25"/>
        </w:rPr>
        <w:t xml:space="preserve"> </w:t>
      </w:r>
      <w:proofErr w:type="spellStart"/>
      <w:r>
        <w:rPr>
          <w:sz w:val="25"/>
          <w:szCs w:val="25"/>
        </w:rPr>
        <w:t>Pública</w:t>
      </w:r>
      <w:proofErr w:type="spellEnd"/>
      <w:r>
        <w:rPr>
          <w:sz w:val="25"/>
          <w:szCs w:val="25"/>
        </w:rPr>
        <w:t>, 24(4), 755-766.</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 xml:space="preserve">Cheong, C.K., </w:t>
      </w:r>
      <w:proofErr w:type="spellStart"/>
      <w:r w:rsidRPr="0004213C">
        <w:rPr>
          <w:rFonts w:eastAsia="Calibri"/>
          <w:color w:val="222222"/>
          <w:shd w:val="clear" w:color="auto" w:fill="FFFFFF"/>
        </w:rPr>
        <w:t>Hajeb</w:t>
      </w:r>
      <w:proofErr w:type="spellEnd"/>
      <w:r w:rsidRPr="0004213C">
        <w:rPr>
          <w:rFonts w:eastAsia="Calibri"/>
          <w:color w:val="222222"/>
          <w:shd w:val="clear" w:color="auto" w:fill="FFFFFF"/>
        </w:rPr>
        <w:t>, P., *</w:t>
      </w:r>
      <w:proofErr w:type="spellStart"/>
      <w:r w:rsidRPr="0004213C">
        <w:rPr>
          <w:rFonts w:eastAsia="Calibri"/>
          <w:color w:val="222222"/>
          <w:shd w:val="clear" w:color="auto" w:fill="FFFFFF"/>
        </w:rPr>
        <w:t>Jinap</w:t>
      </w:r>
      <w:proofErr w:type="spellEnd"/>
      <w:r w:rsidRPr="0004213C">
        <w:rPr>
          <w:rFonts w:eastAsia="Calibri"/>
          <w:color w:val="222222"/>
          <w:shd w:val="clear" w:color="auto" w:fill="FFFFFF"/>
        </w:rPr>
        <w:t>, S. and Ismail-</w:t>
      </w:r>
      <w:proofErr w:type="spellStart"/>
      <w:r w:rsidRPr="0004213C">
        <w:rPr>
          <w:rFonts w:eastAsia="Calibri"/>
          <w:color w:val="222222"/>
          <w:shd w:val="clear" w:color="auto" w:fill="FFFFFF"/>
        </w:rPr>
        <w:t>Fitry</w:t>
      </w:r>
      <w:proofErr w:type="spellEnd"/>
      <w:r w:rsidRPr="0004213C">
        <w:rPr>
          <w:rFonts w:eastAsia="Calibri"/>
          <w:color w:val="222222"/>
          <w:shd w:val="clear" w:color="auto" w:fill="FFFFFF"/>
        </w:rPr>
        <w:t>, M.R. (2010): Sulfonamides determination in chicken meat products from Malaysia. International Food Research Journal 17: 885-892x.</w:t>
      </w:r>
    </w:p>
    <w:p w:rsidR="00563AC3" w:rsidRPr="0004213C"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Cinquina</w:t>
      </w:r>
      <w:proofErr w:type="spellEnd"/>
      <w:r w:rsidRPr="0004213C">
        <w:rPr>
          <w:rFonts w:eastAsia="Calibri"/>
          <w:color w:val="222222"/>
          <w:shd w:val="clear" w:color="auto" w:fill="FFFFFF"/>
        </w:rPr>
        <w:t xml:space="preserve"> AL, Longo F, Anastasi G, </w:t>
      </w:r>
      <w:proofErr w:type="spellStart"/>
      <w:r w:rsidRPr="0004213C">
        <w:rPr>
          <w:rFonts w:eastAsia="Calibri"/>
          <w:color w:val="222222"/>
          <w:shd w:val="clear" w:color="auto" w:fill="FFFFFF"/>
        </w:rPr>
        <w:t>Giannetti</w:t>
      </w:r>
      <w:proofErr w:type="spellEnd"/>
      <w:r w:rsidRPr="0004213C">
        <w:rPr>
          <w:rFonts w:eastAsia="Calibri"/>
          <w:color w:val="222222"/>
          <w:shd w:val="clear" w:color="auto" w:fill="FFFFFF"/>
        </w:rPr>
        <w:t xml:space="preserve"> L, </w:t>
      </w:r>
      <w:proofErr w:type="spellStart"/>
      <w:r w:rsidRPr="0004213C">
        <w:rPr>
          <w:rFonts w:eastAsia="Calibri"/>
          <w:color w:val="222222"/>
          <w:shd w:val="clear" w:color="auto" w:fill="FFFFFF"/>
        </w:rPr>
        <w:t>Cozzani</w:t>
      </w:r>
      <w:proofErr w:type="spellEnd"/>
      <w:r w:rsidRPr="0004213C">
        <w:rPr>
          <w:rFonts w:eastAsia="Calibri"/>
          <w:color w:val="222222"/>
          <w:shd w:val="clear" w:color="auto" w:fill="FFFFFF"/>
        </w:rPr>
        <w:t xml:space="preserve"> R. (2003): Validation of a high-performance liquid chromatography method for the determination of oxytetracycline, tetracycline, </w:t>
      </w:r>
      <w:r w:rsidRPr="0004213C">
        <w:rPr>
          <w:rFonts w:eastAsia="Calibri"/>
          <w:color w:val="222222"/>
          <w:shd w:val="clear" w:color="auto" w:fill="FFFFFF"/>
        </w:rPr>
        <w:lastRenderedPageBreak/>
        <w:t xml:space="preserve">chlortetracycline and doxycycline in </w:t>
      </w:r>
      <w:proofErr w:type="spellStart"/>
      <w:r w:rsidRPr="0004213C">
        <w:rPr>
          <w:rFonts w:eastAsia="Calibri"/>
          <w:color w:val="222222"/>
          <w:shd w:val="clear" w:color="auto" w:fill="FFFFFF"/>
        </w:rPr>
        <w:t>bovinemilk</w:t>
      </w:r>
      <w:proofErr w:type="spellEnd"/>
      <w:r w:rsidRPr="0004213C">
        <w:rPr>
          <w:rFonts w:eastAsia="Calibri"/>
          <w:color w:val="222222"/>
          <w:shd w:val="clear" w:color="auto" w:fill="FFFFFF"/>
        </w:rPr>
        <w:t xml:space="preserve"> and muscle. J </w:t>
      </w:r>
      <w:proofErr w:type="spellStart"/>
      <w:r w:rsidRPr="0004213C">
        <w:rPr>
          <w:rFonts w:eastAsia="Calibri"/>
          <w:color w:val="222222"/>
          <w:shd w:val="clear" w:color="auto" w:fill="FFFFFF"/>
        </w:rPr>
        <w:t>Chromatogr</w:t>
      </w:r>
      <w:proofErr w:type="spellEnd"/>
      <w:r w:rsidRPr="0004213C">
        <w:rPr>
          <w:rFonts w:eastAsia="Calibri"/>
          <w:color w:val="222222"/>
          <w:shd w:val="clear" w:color="auto" w:fill="FFFFFF"/>
        </w:rPr>
        <w:t xml:space="preserve"> A 2003; 987:227233.</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Donoghue, D. J. (2003): Antibiotic residues in poultry tissues and eggs: Human health concerns? Poultry Science, 82(4): 618-621.</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Doyle E. (2000): Human safety of hormone implants used to promote growth in cattle. Food Research Institute July 2000; FRI Briefings: 1-24.</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Doyle, M. (2006): Veterinary drug residues in processed meats-potential health risk. Food Research Institute (FRI Briefings).</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EOS (2010): Egyptian Organization for Standardization and Quality Control. Maximum level for certain contaminants in food stuffs. ES No. 7136/2010.</w:t>
      </w:r>
    </w:p>
    <w:p w:rsidR="00563AC3" w:rsidRPr="0004213C"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Furusawa</w:t>
      </w:r>
      <w:proofErr w:type="spellEnd"/>
      <w:r w:rsidRPr="0004213C">
        <w:rPr>
          <w:rFonts w:eastAsia="Calibri"/>
          <w:color w:val="222222"/>
          <w:shd w:val="clear" w:color="auto" w:fill="FFFFFF"/>
        </w:rPr>
        <w:t xml:space="preserve">, N. and Hanabusa, R. (2002): Cooking effects on sulfonamide residues in chicken thigh muscle. Food Research International, 35 (1): 37-42. </w:t>
      </w:r>
    </w:p>
    <w:p w:rsidR="00563AC3" w:rsidRPr="000C75C4" w:rsidRDefault="00563AC3" w:rsidP="00107C46">
      <w:pPr>
        <w:ind w:left="851" w:hanging="851"/>
        <w:jc w:val="both"/>
        <w:rPr>
          <w:rFonts w:eastAsia="Calibri"/>
          <w:color w:val="222222"/>
          <w:shd w:val="clear" w:color="auto" w:fill="FFFFFF"/>
        </w:rPr>
      </w:pPr>
      <w:proofErr w:type="spellStart"/>
      <w:r w:rsidRPr="000C75C4">
        <w:rPr>
          <w:rFonts w:eastAsia="Calibri"/>
          <w:color w:val="222222"/>
          <w:shd w:val="clear" w:color="auto" w:fill="FFFFFF"/>
        </w:rPr>
        <w:t>Getabalew</w:t>
      </w:r>
      <w:proofErr w:type="spellEnd"/>
      <w:r>
        <w:rPr>
          <w:rFonts w:eastAsia="Calibri"/>
          <w:color w:val="222222"/>
          <w:shd w:val="clear" w:color="auto" w:fill="FFFFFF"/>
        </w:rPr>
        <w:t>,</w:t>
      </w:r>
      <w:r w:rsidRPr="000C75C4">
        <w:rPr>
          <w:rFonts w:eastAsia="Calibri"/>
          <w:color w:val="222222"/>
          <w:shd w:val="clear" w:color="auto" w:fill="FFFFFF"/>
        </w:rPr>
        <w:t xml:space="preserve"> M</w:t>
      </w:r>
      <w:r>
        <w:rPr>
          <w:rFonts w:eastAsia="Calibri"/>
          <w:color w:val="222222"/>
          <w:shd w:val="clear" w:color="auto" w:fill="FFFFFF"/>
        </w:rPr>
        <w:t>.</w:t>
      </w:r>
      <w:r w:rsidRPr="000C75C4">
        <w:rPr>
          <w:rFonts w:eastAsia="Calibri"/>
          <w:color w:val="222222"/>
          <w:shd w:val="clear" w:color="auto" w:fill="FFFFFF"/>
        </w:rPr>
        <w:t xml:space="preserve">; </w:t>
      </w:r>
      <w:proofErr w:type="spellStart"/>
      <w:r w:rsidRPr="000C75C4">
        <w:rPr>
          <w:rFonts w:eastAsia="Calibri"/>
          <w:color w:val="222222"/>
          <w:shd w:val="clear" w:color="auto" w:fill="FFFFFF"/>
        </w:rPr>
        <w:t>Alemneh</w:t>
      </w:r>
      <w:proofErr w:type="spellEnd"/>
      <w:r>
        <w:rPr>
          <w:rFonts w:eastAsia="Calibri"/>
          <w:color w:val="222222"/>
          <w:shd w:val="clear" w:color="auto" w:fill="FFFFFF"/>
        </w:rPr>
        <w:t>,</w:t>
      </w:r>
      <w:r w:rsidRPr="000C75C4">
        <w:rPr>
          <w:rFonts w:eastAsia="Calibri"/>
          <w:color w:val="222222"/>
          <w:shd w:val="clear" w:color="auto" w:fill="FFFFFF"/>
        </w:rPr>
        <w:t xml:space="preserve"> T</w:t>
      </w:r>
      <w:r>
        <w:rPr>
          <w:rFonts w:eastAsia="Calibri"/>
          <w:color w:val="222222"/>
          <w:shd w:val="clear" w:color="auto" w:fill="FFFFFF"/>
        </w:rPr>
        <w:t xml:space="preserve">. and </w:t>
      </w:r>
      <w:r w:rsidRPr="000C75C4">
        <w:rPr>
          <w:rFonts w:eastAsia="Calibri"/>
          <w:color w:val="222222"/>
          <w:shd w:val="clear" w:color="auto" w:fill="FFFFFF"/>
        </w:rPr>
        <w:t>Zewdie</w:t>
      </w:r>
      <w:r>
        <w:rPr>
          <w:rFonts w:eastAsia="Calibri"/>
          <w:color w:val="222222"/>
          <w:shd w:val="clear" w:color="auto" w:fill="FFFFFF"/>
        </w:rPr>
        <w:t xml:space="preserve">, D. (2020): </w:t>
      </w:r>
      <w:r w:rsidRPr="000C75C4">
        <w:rPr>
          <w:rFonts w:eastAsia="Calibri"/>
          <w:color w:val="222222"/>
          <w:shd w:val="clear" w:color="auto" w:fill="FFFFFF"/>
        </w:rPr>
        <w:t xml:space="preserve">Types and Uses of Growth </w:t>
      </w:r>
      <w:proofErr w:type="spellStart"/>
      <w:r w:rsidRPr="000C75C4">
        <w:rPr>
          <w:rFonts w:eastAsia="Calibri"/>
          <w:color w:val="222222"/>
          <w:shd w:val="clear" w:color="auto" w:fill="FFFFFF"/>
        </w:rPr>
        <w:t>Promotersin</w:t>
      </w:r>
      <w:proofErr w:type="spellEnd"/>
      <w:r w:rsidRPr="000C75C4">
        <w:rPr>
          <w:rFonts w:eastAsia="Calibri"/>
          <w:color w:val="222222"/>
          <w:shd w:val="clear" w:color="auto" w:fill="FFFFFF"/>
        </w:rPr>
        <w:t xml:space="preserve"> Beef Cattle. journal of Veterinary Medicine and </w:t>
      </w:r>
      <w:r>
        <w:rPr>
          <w:rFonts w:eastAsia="Calibri"/>
          <w:color w:val="222222"/>
          <w:shd w:val="clear" w:color="auto" w:fill="FFFFFF"/>
        </w:rPr>
        <w:t>animal science. 3(1): 1027-1037.</w:t>
      </w:r>
    </w:p>
    <w:p w:rsidR="00563AC3" w:rsidRPr="0004213C"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Goetting</w:t>
      </w:r>
      <w:proofErr w:type="spellEnd"/>
      <w:r w:rsidRPr="0004213C">
        <w:rPr>
          <w:rFonts w:eastAsia="Calibri"/>
          <w:color w:val="222222"/>
          <w:shd w:val="clear" w:color="auto" w:fill="FFFFFF"/>
        </w:rPr>
        <w:t xml:space="preserve">, V.; Lee, K. and Tell, L. (2011): Pharmacokinetics of veterinary drugs in laying hens and residues in eggs: a review of the literature. Journal of Veterinary Pharmacology and Therapeutics, 34 (6): 521-556. </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Gracey J.F. (1998): Chemical residues in meat. Meat hygiene 8th ed. Pp517. Bailliere Tindall, London.</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 xml:space="preserve">Hela W., Brandtner M., </w:t>
      </w:r>
      <w:proofErr w:type="spellStart"/>
      <w:r w:rsidRPr="0004213C">
        <w:rPr>
          <w:rFonts w:eastAsia="Calibri"/>
          <w:color w:val="222222"/>
          <w:shd w:val="clear" w:color="auto" w:fill="FFFFFF"/>
        </w:rPr>
        <w:t>Widek</w:t>
      </w:r>
      <w:proofErr w:type="spellEnd"/>
      <w:r w:rsidRPr="0004213C">
        <w:rPr>
          <w:rFonts w:eastAsia="Calibri"/>
          <w:color w:val="222222"/>
          <w:shd w:val="clear" w:color="auto" w:fill="FFFFFF"/>
        </w:rPr>
        <w:t xml:space="preserve"> R. and Schuh R. (2003): Determination of sulfonamides in animal tissues using action exchange reversed phase sorbent for sample cleanup and HPLC-DAD for detection.  Food Chemistry 83: 601-608.</w:t>
      </w:r>
    </w:p>
    <w:p w:rsidR="00563AC3" w:rsidRPr="005D0C4F" w:rsidRDefault="00563AC3" w:rsidP="00107C46">
      <w:pPr>
        <w:ind w:left="851" w:hanging="851"/>
        <w:jc w:val="both"/>
        <w:rPr>
          <w:rFonts w:eastAsia="Calibri"/>
          <w:color w:val="222222"/>
          <w:shd w:val="clear" w:color="auto" w:fill="FFFFFF"/>
        </w:rPr>
      </w:pPr>
      <w:proofErr w:type="spellStart"/>
      <w:r w:rsidRPr="005D0C4F">
        <w:rPr>
          <w:rFonts w:eastAsia="Calibri"/>
          <w:color w:val="222222"/>
          <w:shd w:val="clear" w:color="auto" w:fill="FFFFFF"/>
        </w:rPr>
        <w:t>Hemmat</w:t>
      </w:r>
      <w:proofErr w:type="spellEnd"/>
      <w:r w:rsidRPr="005D0C4F">
        <w:rPr>
          <w:rFonts w:eastAsia="Calibri"/>
          <w:color w:val="222222"/>
          <w:shd w:val="clear" w:color="auto" w:fill="FFFFFF"/>
        </w:rPr>
        <w:t xml:space="preserve">, M. Ibrahim, </w:t>
      </w:r>
      <w:proofErr w:type="spellStart"/>
      <w:r w:rsidRPr="005D0C4F">
        <w:rPr>
          <w:rFonts w:eastAsia="Calibri"/>
          <w:color w:val="222222"/>
          <w:shd w:val="clear" w:color="auto" w:fill="FFFFFF"/>
        </w:rPr>
        <w:t>Reham</w:t>
      </w:r>
      <w:proofErr w:type="spellEnd"/>
      <w:r w:rsidRPr="005D0C4F">
        <w:rPr>
          <w:rFonts w:eastAsia="Calibri"/>
          <w:color w:val="222222"/>
          <w:shd w:val="clear" w:color="auto" w:fill="FFFFFF"/>
        </w:rPr>
        <w:t xml:space="preserve">, A. Amin, </w:t>
      </w:r>
      <w:proofErr w:type="spellStart"/>
      <w:r w:rsidRPr="005D0C4F">
        <w:rPr>
          <w:rFonts w:eastAsia="Calibri"/>
          <w:color w:val="222222"/>
          <w:shd w:val="clear" w:color="auto" w:fill="FFFFFF"/>
        </w:rPr>
        <w:t>Omaima</w:t>
      </w:r>
      <w:proofErr w:type="spellEnd"/>
      <w:r w:rsidRPr="005D0C4F">
        <w:rPr>
          <w:rFonts w:eastAsia="Calibri"/>
          <w:color w:val="222222"/>
          <w:shd w:val="clear" w:color="auto" w:fill="FFFFFF"/>
        </w:rPr>
        <w:t xml:space="preserve">, M. Diab and </w:t>
      </w:r>
      <w:proofErr w:type="spellStart"/>
      <w:r w:rsidRPr="005D0C4F">
        <w:rPr>
          <w:rFonts w:eastAsia="Calibri"/>
          <w:color w:val="222222"/>
          <w:shd w:val="clear" w:color="auto" w:fill="FFFFFF"/>
        </w:rPr>
        <w:t>Asmaa</w:t>
      </w:r>
      <w:proofErr w:type="spellEnd"/>
      <w:r w:rsidRPr="005D0C4F">
        <w:rPr>
          <w:rFonts w:eastAsia="Calibri"/>
          <w:color w:val="222222"/>
          <w:shd w:val="clear" w:color="auto" w:fill="FFFFFF"/>
        </w:rPr>
        <w:t xml:space="preserve">, E. Hassan (2018): Survey on Some Hormonal Residues in Chicken Meat, Liver and Kidneys. </w:t>
      </w:r>
      <w:proofErr w:type="spellStart"/>
      <w:r w:rsidRPr="005D0C4F">
        <w:rPr>
          <w:rFonts w:eastAsia="Calibri"/>
          <w:color w:val="222222"/>
          <w:shd w:val="clear" w:color="auto" w:fill="FFFFFF"/>
        </w:rPr>
        <w:t>Benha</w:t>
      </w:r>
      <w:proofErr w:type="spellEnd"/>
      <w:r w:rsidRPr="005D0C4F">
        <w:rPr>
          <w:rFonts w:eastAsia="Calibri"/>
          <w:color w:val="222222"/>
          <w:shd w:val="clear" w:color="auto" w:fill="FFFFFF"/>
        </w:rPr>
        <w:t xml:space="preserve"> Veterinary Medical Journal</w:t>
      </w:r>
      <w:r>
        <w:rPr>
          <w:rFonts w:eastAsia="Calibri"/>
          <w:color w:val="222222"/>
          <w:shd w:val="clear" w:color="auto" w:fill="FFFFFF"/>
        </w:rPr>
        <w:t>.</w:t>
      </w:r>
      <w:r w:rsidRPr="005D0C4F">
        <w:rPr>
          <w:rFonts w:eastAsia="Calibri"/>
          <w:color w:val="222222"/>
          <w:shd w:val="clear" w:color="auto" w:fill="FFFFFF"/>
        </w:rPr>
        <w:t xml:space="preserve"> 34 </w:t>
      </w:r>
      <w:r>
        <w:rPr>
          <w:rFonts w:eastAsia="Calibri"/>
          <w:color w:val="222222"/>
          <w:shd w:val="clear" w:color="auto" w:fill="FFFFFF"/>
        </w:rPr>
        <w:t>(</w:t>
      </w:r>
      <w:r w:rsidRPr="005D0C4F">
        <w:rPr>
          <w:rFonts w:eastAsia="Calibri"/>
          <w:color w:val="222222"/>
          <w:shd w:val="clear" w:color="auto" w:fill="FFFFFF"/>
        </w:rPr>
        <w:t>2</w:t>
      </w:r>
      <w:r>
        <w:rPr>
          <w:rFonts w:eastAsia="Calibri"/>
          <w:color w:val="222222"/>
          <w:shd w:val="clear" w:color="auto" w:fill="FFFFFF"/>
        </w:rPr>
        <w:t>)</w:t>
      </w:r>
      <w:r w:rsidRPr="005D0C4F">
        <w:rPr>
          <w:rFonts w:eastAsia="Calibri"/>
          <w:color w:val="222222"/>
          <w:shd w:val="clear" w:color="auto" w:fill="FFFFFF"/>
        </w:rPr>
        <w:t>: 23-30.</w:t>
      </w:r>
    </w:p>
    <w:p w:rsidR="00563AC3" w:rsidRDefault="00563AC3" w:rsidP="00107C46">
      <w:pPr>
        <w:ind w:left="851" w:hanging="851"/>
        <w:jc w:val="both"/>
        <w:rPr>
          <w:rFonts w:eastAsia="Calibri"/>
          <w:color w:val="222222"/>
          <w:shd w:val="clear" w:color="auto" w:fill="FFFFFF"/>
        </w:rPr>
      </w:pPr>
      <w:r>
        <w:rPr>
          <w:sz w:val="23"/>
          <w:szCs w:val="23"/>
        </w:rPr>
        <w:t xml:space="preserve">Hossain, S., Hossain, A., Rahman, A., Islam, M., Rahman, A., &amp; </w:t>
      </w:r>
      <w:proofErr w:type="spellStart"/>
      <w:r>
        <w:rPr>
          <w:sz w:val="23"/>
          <w:szCs w:val="23"/>
        </w:rPr>
        <w:t>Adyel</w:t>
      </w:r>
      <w:proofErr w:type="spellEnd"/>
      <w:r>
        <w:rPr>
          <w:sz w:val="23"/>
          <w:szCs w:val="23"/>
        </w:rPr>
        <w:t>, M. A. (2013). Health risk assessment of pesticide residues via dietary intake of market vegetables from Dhaka, Bangladesh. Foods, 2(1), 64-75.</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 xml:space="preserve">Ibrahim, H.A.M (2009): Hormonal residues in chicken carcasses .Ph.D. thesis, Beni </w:t>
      </w:r>
      <w:proofErr w:type="spellStart"/>
      <w:r w:rsidRPr="0004213C">
        <w:rPr>
          <w:rFonts w:eastAsia="Calibri"/>
          <w:color w:val="222222"/>
          <w:shd w:val="clear" w:color="auto" w:fill="FFFFFF"/>
        </w:rPr>
        <w:t>suef</w:t>
      </w:r>
      <w:proofErr w:type="spellEnd"/>
      <w:r w:rsidRPr="0004213C">
        <w:rPr>
          <w:rFonts w:eastAsia="Calibri"/>
          <w:color w:val="222222"/>
          <w:shd w:val="clear" w:color="auto" w:fill="FFFFFF"/>
        </w:rPr>
        <w:t xml:space="preserve"> .</w:t>
      </w:r>
      <w:proofErr w:type="spellStart"/>
      <w:r w:rsidRPr="0004213C">
        <w:rPr>
          <w:rFonts w:eastAsia="Calibri"/>
          <w:color w:val="222222"/>
          <w:shd w:val="clear" w:color="auto" w:fill="FFFFFF"/>
        </w:rPr>
        <w:t>Unv</w:t>
      </w:r>
      <w:proofErr w:type="spellEnd"/>
      <w:r w:rsidRPr="0004213C">
        <w:rPr>
          <w:rFonts w:eastAsia="Calibri"/>
          <w:color w:val="222222"/>
          <w:shd w:val="clear" w:color="auto" w:fill="FFFFFF"/>
        </w:rPr>
        <w:t>. Faculty of vet Medicine.</w:t>
      </w:r>
    </w:p>
    <w:p w:rsidR="00563AC3" w:rsidRPr="0004213C"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Javadi</w:t>
      </w:r>
      <w:proofErr w:type="spellEnd"/>
      <w:r w:rsidRPr="0004213C">
        <w:rPr>
          <w:rFonts w:eastAsia="Calibri"/>
          <w:color w:val="222222"/>
          <w:shd w:val="clear" w:color="auto" w:fill="FFFFFF"/>
        </w:rPr>
        <w:t xml:space="preserve">, A. (2011): Effect of roasting, boiling and microwaving cooking method on </w:t>
      </w:r>
      <w:proofErr w:type="spellStart"/>
      <w:r w:rsidRPr="0004213C">
        <w:rPr>
          <w:rFonts w:eastAsia="Calibri"/>
          <w:color w:val="222222"/>
          <w:shd w:val="clear" w:color="auto" w:fill="FFFFFF"/>
        </w:rPr>
        <w:t>doxycline</w:t>
      </w:r>
      <w:proofErr w:type="spellEnd"/>
      <w:r w:rsidRPr="0004213C">
        <w:rPr>
          <w:rFonts w:eastAsia="Calibri"/>
          <w:color w:val="222222"/>
          <w:shd w:val="clear" w:color="auto" w:fill="FFFFFF"/>
        </w:rPr>
        <w:t xml:space="preserve"> residues in edible tissues of poultry by microbial method. African J. of Pharmacy and Pharmacology, 5: 1034-1037.</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 xml:space="preserve">Kabir, J., </w:t>
      </w:r>
      <w:proofErr w:type="spellStart"/>
      <w:r w:rsidRPr="0004213C">
        <w:rPr>
          <w:rFonts w:eastAsia="Calibri"/>
          <w:color w:val="222222"/>
          <w:shd w:val="clear" w:color="auto" w:fill="FFFFFF"/>
        </w:rPr>
        <w:t>Umoh</w:t>
      </w:r>
      <w:proofErr w:type="spellEnd"/>
      <w:r w:rsidRPr="0004213C">
        <w:rPr>
          <w:rFonts w:eastAsia="Calibri"/>
          <w:color w:val="222222"/>
          <w:shd w:val="clear" w:color="auto" w:fill="FFFFFF"/>
        </w:rPr>
        <w:t xml:space="preserve">, V. J., </w:t>
      </w:r>
      <w:proofErr w:type="spellStart"/>
      <w:r w:rsidRPr="0004213C">
        <w:rPr>
          <w:rFonts w:eastAsia="Calibri"/>
          <w:color w:val="222222"/>
          <w:shd w:val="clear" w:color="auto" w:fill="FFFFFF"/>
        </w:rPr>
        <w:t>Audu-okoh</w:t>
      </w:r>
      <w:proofErr w:type="spellEnd"/>
      <w:r w:rsidRPr="0004213C">
        <w:rPr>
          <w:rFonts w:eastAsia="Calibri"/>
          <w:color w:val="222222"/>
          <w:shd w:val="clear" w:color="auto" w:fill="FFFFFF"/>
        </w:rPr>
        <w:t xml:space="preserve">, E., </w:t>
      </w:r>
      <w:proofErr w:type="spellStart"/>
      <w:r w:rsidRPr="0004213C">
        <w:rPr>
          <w:rFonts w:eastAsia="Calibri"/>
          <w:color w:val="222222"/>
          <w:shd w:val="clear" w:color="auto" w:fill="FFFFFF"/>
        </w:rPr>
        <w:t>Umoh</w:t>
      </w:r>
      <w:proofErr w:type="spellEnd"/>
      <w:r w:rsidRPr="0004213C">
        <w:rPr>
          <w:rFonts w:eastAsia="Calibri"/>
          <w:color w:val="222222"/>
          <w:shd w:val="clear" w:color="auto" w:fill="FFFFFF"/>
        </w:rPr>
        <w:t xml:space="preserve">, J. U. and </w:t>
      </w:r>
      <w:proofErr w:type="spellStart"/>
      <w:r w:rsidRPr="0004213C">
        <w:rPr>
          <w:rFonts w:eastAsia="Calibri"/>
          <w:color w:val="222222"/>
          <w:shd w:val="clear" w:color="auto" w:fill="FFFFFF"/>
        </w:rPr>
        <w:t>Kwaga</w:t>
      </w:r>
      <w:proofErr w:type="spellEnd"/>
      <w:r w:rsidRPr="0004213C">
        <w:rPr>
          <w:rFonts w:eastAsia="Calibri"/>
          <w:color w:val="222222"/>
          <w:shd w:val="clear" w:color="auto" w:fill="FFFFFF"/>
        </w:rPr>
        <w:t>, J. K. P. 2004: Veterinary drug use in poultry farms and determination of antimicrobial drug residues in commercial eggs and slaughtered chicken in Kaduna State, Nigeria. Food Control 15: 99–105.</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 xml:space="preserve">Lolo, M.; </w:t>
      </w:r>
      <w:proofErr w:type="spellStart"/>
      <w:r w:rsidRPr="0004213C">
        <w:rPr>
          <w:rFonts w:eastAsia="Calibri"/>
          <w:color w:val="222222"/>
          <w:shd w:val="clear" w:color="auto" w:fill="FFFFFF"/>
        </w:rPr>
        <w:t>Pedreira</w:t>
      </w:r>
      <w:proofErr w:type="spellEnd"/>
      <w:r w:rsidRPr="0004213C">
        <w:rPr>
          <w:rFonts w:eastAsia="Calibri"/>
          <w:color w:val="222222"/>
          <w:shd w:val="clear" w:color="auto" w:fill="FFFFFF"/>
        </w:rPr>
        <w:t xml:space="preserve">, S.; Miranda, J.M.; Vázquez, B.I.; Franco, C.M.; </w:t>
      </w:r>
      <w:proofErr w:type="spellStart"/>
      <w:r w:rsidRPr="0004213C">
        <w:rPr>
          <w:rFonts w:eastAsia="Calibri"/>
          <w:color w:val="222222"/>
          <w:shd w:val="clear" w:color="auto" w:fill="FFFFFF"/>
        </w:rPr>
        <w:t>Cepeda,A</w:t>
      </w:r>
      <w:proofErr w:type="spellEnd"/>
      <w:r w:rsidRPr="0004213C">
        <w:rPr>
          <w:rFonts w:eastAsia="Calibri"/>
          <w:color w:val="222222"/>
          <w:shd w:val="clear" w:color="auto" w:fill="FFFFFF"/>
        </w:rPr>
        <w:t xml:space="preserve">. and </w:t>
      </w:r>
      <w:proofErr w:type="spellStart"/>
      <w:r w:rsidRPr="0004213C">
        <w:rPr>
          <w:rFonts w:eastAsia="Calibri"/>
          <w:color w:val="222222"/>
          <w:shd w:val="clear" w:color="auto" w:fill="FFFFFF"/>
        </w:rPr>
        <w:t>Fente</w:t>
      </w:r>
      <w:proofErr w:type="spellEnd"/>
      <w:r w:rsidRPr="0004213C">
        <w:rPr>
          <w:rFonts w:eastAsia="Calibri"/>
          <w:color w:val="222222"/>
          <w:shd w:val="clear" w:color="auto" w:fill="FFFFFF"/>
        </w:rPr>
        <w:t xml:space="preserve">, C. (2006):Effect of cooking on Enrofloxacin residues in chicken tissue. Food Additives and </w:t>
      </w:r>
      <w:proofErr w:type="spellStart"/>
      <w:r w:rsidRPr="0004213C">
        <w:rPr>
          <w:rFonts w:eastAsia="Calibri"/>
          <w:color w:val="222222"/>
          <w:shd w:val="clear" w:color="auto" w:fill="FFFFFF"/>
        </w:rPr>
        <w:t>Contaminats</w:t>
      </w:r>
      <w:proofErr w:type="spellEnd"/>
      <w:r w:rsidRPr="0004213C">
        <w:rPr>
          <w:rFonts w:eastAsia="Calibri"/>
          <w:color w:val="222222"/>
          <w:shd w:val="clear" w:color="auto" w:fill="FFFFFF"/>
        </w:rPr>
        <w:t>, 23: 988-993.</w:t>
      </w:r>
    </w:p>
    <w:p w:rsidR="00563AC3" w:rsidRPr="00563AC3" w:rsidRDefault="00563AC3" w:rsidP="00107C46">
      <w:pPr>
        <w:ind w:left="851" w:hanging="851"/>
        <w:jc w:val="both"/>
        <w:rPr>
          <w:rFonts w:eastAsia="Calibri"/>
          <w:color w:val="222222"/>
          <w:shd w:val="clear" w:color="auto" w:fill="FFFFFF"/>
        </w:rPr>
      </w:pPr>
      <w:r>
        <w:rPr>
          <w:sz w:val="23"/>
          <w:szCs w:val="23"/>
        </w:rPr>
        <w:t>Mahmood, A., &amp; Malik, R. N. (2014). Human health risk assessment of heavy metals via consumption of contaminated vegetables collected from different irrigation sources in Lahore, Pakistan. Arabian Journal of Chemistry, 7(1), 91-99.</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 xml:space="preserve">Malik, H. E.; Omer, J. E. and </w:t>
      </w:r>
      <w:proofErr w:type="spellStart"/>
      <w:r w:rsidRPr="0004213C">
        <w:rPr>
          <w:rFonts w:eastAsia="Calibri"/>
          <w:color w:val="222222"/>
          <w:shd w:val="clear" w:color="auto" w:fill="FFFFFF"/>
        </w:rPr>
        <w:t>Elamin</w:t>
      </w:r>
      <w:proofErr w:type="spellEnd"/>
      <w:r w:rsidRPr="0004213C">
        <w:rPr>
          <w:rFonts w:eastAsia="Calibri"/>
          <w:color w:val="222222"/>
          <w:shd w:val="clear" w:color="auto" w:fill="FFFFFF"/>
        </w:rPr>
        <w:t xml:space="preserve">, K. M. (2013): Effect of </w:t>
      </w:r>
      <w:proofErr w:type="spellStart"/>
      <w:r w:rsidRPr="0004213C">
        <w:rPr>
          <w:rFonts w:eastAsia="Calibri"/>
          <w:color w:val="222222"/>
          <w:shd w:val="clear" w:color="auto" w:fill="FFFFFF"/>
        </w:rPr>
        <w:t>Sulfanomides</w:t>
      </w:r>
      <w:proofErr w:type="spellEnd"/>
      <w:r w:rsidRPr="0004213C">
        <w:rPr>
          <w:rFonts w:eastAsia="Calibri"/>
          <w:color w:val="222222"/>
          <w:shd w:val="clear" w:color="auto" w:fill="FFFFFF"/>
        </w:rPr>
        <w:t xml:space="preserve"> Residues on Egg Quality Traits. International Journal of Poultry Science, 12 (5): 312-317.</w:t>
      </w:r>
    </w:p>
    <w:p w:rsidR="00563AC3" w:rsidRPr="0004213C"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Mor</w:t>
      </w:r>
      <w:proofErr w:type="spellEnd"/>
      <w:r w:rsidRPr="0004213C">
        <w:rPr>
          <w:rFonts w:eastAsia="Calibri"/>
          <w:color w:val="222222"/>
          <w:shd w:val="clear" w:color="auto" w:fill="FFFFFF"/>
        </w:rPr>
        <w:t xml:space="preserve">, F.; </w:t>
      </w:r>
      <w:proofErr w:type="spellStart"/>
      <w:r w:rsidRPr="0004213C">
        <w:rPr>
          <w:rFonts w:eastAsia="Calibri"/>
          <w:color w:val="222222"/>
          <w:shd w:val="clear" w:color="auto" w:fill="FFFFFF"/>
        </w:rPr>
        <w:t>Sahindokuyucu</w:t>
      </w:r>
      <w:proofErr w:type="spellEnd"/>
      <w:r w:rsidRPr="0004213C">
        <w:rPr>
          <w:rFonts w:eastAsia="Calibri"/>
          <w:color w:val="222222"/>
          <w:shd w:val="clear" w:color="auto" w:fill="FFFFFF"/>
        </w:rPr>
        <w:t xml:space="preserve"> </w:t>
      </w:r>
      <w:proofErr w:type="spellStart"/>
      <w:r w:rsidRPr="0004213C">
        <w:rPr>
          <w:rFonts w:eastAsia="Calibri"/>
          <w:color w:val="222222"/>
          <w:shd w:val="clear" w:color="auto" w:fill="FFFFFF"/>
        </w:rPr>
        <w:t>Kocasari</w:t>
      </w:r>
      <w:proofErr w:type="spellEnd"/>
      <w:r w:rsidRPr="0004213C">
        <w:rPr>
          <w:rFonts w:eastAsia="Calibri"/>
          <w:color w:val="222222"/>
          <w:shd w:val="clear" w:color="auto" w:fill="FFFFFF"/>
        </w:rPr>
        <w:t xml:space="preserve">, F.; </w:t>
      </w:r>
      <w:proofErr w:type="spellStart"/>
      <w:r w:rsidRPr="0004213C">
        <w:rPr>
          <w:rFonts w:eastAsia="Calibri"/>
          <w:color w:val="222222"/>
          <w:shd w:val="clear" w:color="auto" w:fill="FFFFFF"/>
        </w:rPr>
        <w:t>Ozdemir</w:t>
      </w:r>
      <w:proofErr w:type="spellEnd"/>
      <w:r w:rsidRPr="0004213C">
        <w:rPr>
          <w:rFonts w:eastAsia="Calibri"/>
          <w:color w:val="222222"/>
          <w:shd w:val="clear" w:color="auto" w:fill="FFFFFF"/>
        </w:rPr>
        <w:t xml:space="preserve">, G. and Oz, B. (2012): Determination of </w:t>
      </w:r>
      <w:proofErr w:type="spellStart"/>
      <w:r w:rsidRPr="0004213C">
        <w:rPr>
          <w:rFonts w:eastAsia="Calibri"/>
          <w:color w:val="222222"/>
          <w:shd w:val="clear" w:color="auto" w:fill="FFFFFF"/>
        </w:rPr>
        <w:t>sulphonamide</w:t>
      </w:r>
      <w:proofErr w:type="spellEnd"/>
      <w:r w:rsidRPr="0004213C">
        <w:rPr>
          <w:rFonts w:eastAsia="Calibri"/>
          <w:color w:val="222222"/>
          <w:shd w:val="clear" w:color="auto" w:fill="FFFFFF"/>
        </w:rPr>
        <w:t xml:space="preserve"> residues in cattle meats by the Charm-II system and validation with high performance liquid chromatography with fluorescence detection. Food Chemistry,7: 1-13.</w:t>
      </w:r>
    </w:p>
    <w:p w:rsidR="00563AC3" w:rsidRPr="0004213C"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Nonga</w:t>
      </w:r>
      <w:proofErr w:type="spellEnd"/>
      <w:r w:rsidRPr="0004213C">
        <w:rPr>
          <w:rFonts w:eastAsia="Calibri"/>
          <w:color w:val="222222"/>
          <w:shd w:val="clear" w:color="auto" w:fill="FFFFFF"/>
        </w:rPr>
        <w:t xml:space="preserve">, H.; Simon, C.; </w:t>
      </w:r>
      <w:proofErr w:type="spellStart"/>
      <w:r w:rsidRPr="0004213C">
        <w:rPr>
          <w:rFonts w:eastAsia="Calibri"/>
          <w:color w:val="222222"/>
          <w:shd w:val="clear" w:color="auto" w:fill="FFFFFF"/>
        </w:rPr>
        <w:t>Karimuribo</w:t>
      </w:r>
      <w:proofErr w:type="spellEnd"/>
      <w:r w:rsidRPr="0004213C">
        <w:rPr>
          <w:rFonts w:eastAsia="Calibri"/>
          <w:color w:val="222222"/>
          <w:shd w:val="clear" w:color="auto" w:fill="FFFFFF"/>
        </w:rPr>
        <w:t xml:space="preserve">, E. and </w:t>
      </w:r>
      <w:proofErr w:type="spellStart"/>
      <w:r w:rsidRPr="0004213C">
        <w:rPr>
          <w:rFonts w:eastAsia="Calibri"/>
          <w:color w:val="222222"/>
          <w:shd w:val="clear" w:color="auto" w:fill="FFFFFF"/>
        </w:rPr>
        <w:t>Mdegela</w:t>
      </w:r>
      <w:proofErr w:type="spellEnd"/>
      <w:r w:rsidRPr="0004213C">
        <w:rPr>
          <w:rFonts w:eastAsia="Calibri"/>
          <w:color w:val="222222"/>
          <w:shd w:val="clear" w:color="auto" w:fill="FFFFFF"/>
        </w:rPr>
        <w:t>, R. (2010): Assessment of Antimicrobial Usage and Residues in Commercial Chicken Eggs from Smallholder Poultry Keepers in Morogoro Municipality, Tanzania. Zoonoses and Public Health, 57 (5): 339-344.</w:t>
      </w:r>
    </w:p>
    <w:p w:rsidR="00563AC3" w:rsidRPr="0004213C"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Nonga</w:t>
      </w:r>
      <w:proofErr w:type="spellEnd"/>
      <w:r w:rsidRPr="0004213C">
        <w:rPr>
          <w:rFonts w:eastAsia="Calibri"/>
          <w:color w:val="222222"/>
          <w:shd w:val="clear" w:color="auto" w:fill="FFFFFF"/>
        </w:rPr>
        <w:t>, H.;</w:t>
      </w:r>
      <w:proofErr w:type="spellStart"/>
      <w:r w:rsidRPr="0004213C">
        <w:rPr>
          <w:rFonts w:eastAsia="Calibri"/>
          <w:color w:val="222222"/>
          <w:shd w:val="clear" w:color="auto" w:fill="FFFFFF"/>
        </w:rPr>
        <w:t>Mariki</w:t>
      </w:r>
      <w:proofErr w:type="spellEnd"/>
      <w:r w:rsidRPr="0004213C">
        <w:rPr>
          <w:rFonts w:eastAsia="Calibri"/>
          <w:color w:val="222222"/>
          <w:shd w:val="clear" w:color="auto" w:fill="FFFFFF"/>
        </w:rPr>
        <w:t>, M. ;</w:t>
      </w:r>
      <w:proofErr w:type="spellStart"/>
      <w:r w:rsidRPr="0004213C">
        <w:rPr>
          <w:rFonts w:eastAsia="Calibri"/>
          <w:color w:val="222222"/>
          <w:shd w:val="clear" w:color="auto" w:fill="FFFFFF"/>
        </w:rPr>
        <w:t>Karimuribo</w:t>
      </w:r>
      <w:proofErr w:type="spellEnd"/>
      <w:r w:rsidRPr="0004213C">
        <w:rPr>
          <w:rFonts w:eastAsia="Calibri"/>
          <w:color w:val="222222"/>
          <w:shd w:val="clear" w:color="auto" w:fill="FFFFFF"/>
        </w:rPr>
        <w:t xml:space="preserve">, E. and </w:t>
      </w:r>
      <w:proofErr w:type="spellStart"/>
      <w:r w:rsidRPr="0004213C">
        <w:rPr>
          <w:rFonts w:eastAsia="Calibri"/>
          <w:color w:val="222222"/>
          <w:shd w:val="clear" w:color="auto" w:fill="FFFFFF"/>
        </w:rPr>
        <w:t>Mdegela</w:t>
      </w:r>
      <w:proofErr w:type="spellEnd"/>
      <w:r w:rsidRPr="0004213C">
        <w:rPr>
          <w:rFonts w:eastAsia="Calibri"/>
          <w:color w:val="222222"/>
          <w:shd w:val="clear" w:color="auto" w:fill="FFFFFF"/>
        </w:rPr>
        <w:t>, R. (2009): Assessment of antimicrobial usage and antimicrobial residues in broiler chickens in Morogoro Municipality, Tanzania. Pakistan Journal of Nutrition, 8 (3): 203-207.</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lastRenderedPageBreak/>
        <w:t xml:space="preserve">Oka, H, Ito, </w:t>
      </w:r>
      <w:proofErr w:type="spellStart"/>
      <w:r w:rsidRPr="0004213C">
        <w:rPr>
          <w:rFonts w:eastAsia="Calibri"/>
          <w:color w:val="222222"/>
          <w:shd w:val="clear" w:color="auto" w:fill="FFFFFF"/>
        </w:rPr>
        <w:t>Goto</w:t>
      </w:r>
      <w:proofErr w:type="spellEnd"/>
      <w:r w:rsidRPr="0004213C">
        <w:rPr>
          <w:rFonts w:eastAsia="Calibri"/>
          <w:color w:val="222222"/>
          <w:shd w:val="clear" w:color="auto" w:fill="FFFFFF"/>
        </w:rPr>
        <w:t xml:space="preserve">, Y., Minami, T., Yamamoto, T., </w:t>
      </w:r>
      <w:proofErr w:type="spellStart"/>
      <w:r w:rsidRPr="0004213C">
        <w:rPr>
          <w:rFonts w:eastAsia="Calibri"/>
          <w:color w:val="222222"/>
          <w:shd w:val="clear" w:color="auto" w:fill="FFFFFF"/>
        </w:rPr>
        <w:t>Matasumoto</w:t>
      </w:r>
      <w:proofErr w:type="spellEnd"/>
      <w:r w:rsidRPr="0004213C">
        <w:rPr>
          <w:rFonts w:eastAsia="Calibri"/>
          <w:color w:val="222222"/>
          <w:shd w:val="clear" w:color="auto" w:fill="FFFFFF"/>
        </w:rPr>
        <w:t xml:space="preserve">, I., Mizuno, H., </w:t>
      </w:r>
      <w:proofErr w:type="spellStart"/>
      <w:r w:rsidRPr="0004213C">
        <w:rPr>
          <w:rFonts w:eastAsia="Calibri"/>
          <w:color w:val="222222"/>
          <w:shd w:val="clear" w:color="auto" w:fill="FFFFFF"/>
        </w:rPr>
        <w:t>Ysuruto</w:t>
      </w:r>
      <w:proofErr w:type="spellEnd"/>
      <w:r w:rsidRPr="0004213C">
        <w:rPr>
          <w:rFonts w:eastAsia="Calibri"/>
          <w:color w:val="222222"/>
          <w:shd w:val="clear" w:color="auto" w:fill="FFFFFF"/>
        </w:rPr>
        <w:t xml:space="preserve">, M., Hayashi, I. </w:t>
      </w:r>
      <w:r>
        <w:rPr>
          <w:rFonts w:eastAsia="Calibri"/>
          <w:color w:val="222222"/>
          <w:shd w:val="clear" w:color="auto" w:fill="FFFFFF"/>
        </w:rPr>
        <w:t>(</w:t>
      </w:r>
      <w:r w:rsidRPr="0004213C">
        <w:rPr>
          <w:rFonts w:eastAsia="Calibri"/>
          <w:color w:val="222222"/>
          <w:shd w:val="clear" w:color="auto" w:fill="FFFFFF"/>
        </w:rPr>
        <w:t>2003</w:t>
      </w:r>
      <w:r>
        <w:rPr>
          <w:rFonts w:eastAsia="Calibri"/>
          <w:color w:val="222222"/>
          <w:shd w:val="clear" w:color="auto" w:fill="FFFFFF"/>
        </w:rPr>
        <w:t>):</w:t>
      </w:r>
      <w:r w:rsidRPr="0004213C">
        <w:rPr>
          <w:rFonts w:eastAsia="Calibri"/>
          <w:color w:val="222222"/>
          <w:shd w:val="clear" w:color="auto" w:fill="FFFFFF"/>
        </w:rPr>
        <w:t xml:space="preserve"> Survey of residual tetracycline antibiotics and sulfa drugs in kidneys of diseased animals in the Aichi prefecture, Japan, J.A.O.A.C inter., 86(3):494-500.</w:t>
      </w:r>
    </w:p>
    <w:p w:rsidR="00563AC3" w:rsidRPr="0004213C"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Passantino</w:t>
      </w:r>
      <w:proofErr w:type="spellEnd"/>
      <w:r w:rsidRPr="0004213C">
        <w:rPr>
          <w:rFonts w:eastAsia="Calibri"/>
          <w:color w:val="222222"/>
          <w:shd w:val="clear" w:color="auto" w:fill="FFFFFF"/>
        </w:rPr>
        <w:t>, A. and Russo, C. (2008): Maximum Residue Levels of Veterinary Medicines in Relation to Food Safety: European Community Legislation and Ethical Aspects. Journal of Consumer Protection and Food Safety, 3 (4): 351-358.</w:t>
      </w:r>
    </w:p>
    <w:p w:rsidR="00563AC3" w:rsidRPr="0004213C"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Pieckova</w:t>
      </w:r>
      <w:proofErr w:type="spellEnd"/>
      <w:r w:rsidRPr="0004213C">
        <w:rPr>
          <w:rFonts w:eastAsia="Calibri"/>
          <w:color w:val="222222"/>
          <w:shd w:val="clear" w:color="auto" w:fill="FFFFFF"/>
        </w:rPr>
        <w:t xml:space="preserve">, E, Van </w:t>
      </w:r>
      <w:proofErr w:type="spellStart"/>
      <w:r w:rsidRPr="0004213C">
        <w:rPr>
          <w:rFonts w:eastAsia="Calibri"/>
          <w:color w:val="222222"/>
          <w:shd w:val="clear" w:color="auto" w:fill="FFFFFF"/>
        </w:rPr>
        <w:t>Peteghem</w:t>
      </w:r>
      <w:proofErr w:type="spellEnd"/>
      <w:r w:rsidRPr="0004213C">
        <w:rPr>
          <w:rFonts w:eastAsia="Calibri"/>
          <w:color w:val="222222"/>
          <w:shd w:val="clear" w:color="auto" w:fill="FFFFFF"/>
        </w:rPr>
        <w:t>, C. 2001. Integrated strategy for the qualitative and quantitative analysis of residues of antimicrobial substances in food products. Bull. Food. Res., 40(4):275-283.</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 xml:space="preserve">Platter, W.J.; Tatum, J.D.; Belk, K.E.; </w:t>
      </w:r>
      <w:proofErr w:type="spellStart"/>
      <w:r w:rsidRPr="0004213C">
        <w:rPr>
          <w:rFonts w:eastAsia="Calibri"/>
          <w:color w:val="222222"/>
          <w:shd w:val="clear" w:color="auto" w:fill="FFFFFF"/>
        </w:rPr>
        <w:t>Scanga</w:t>
      </w:r>
      <w:proofErr w:type="spellEnd"/>
      <w:r w:rsidRPr="0004213C">
        <w:rPr>
          <w:rFonts w:eastAsia="Calibri"/>
          <w:color w:val="222222"/>
          <w:shd w:val="clear" w:color="auto" w:fill="FFFFFF"/>
        </w:rPr>
        <w:t>, J.A. and Smith, G.C. (2003): Effects of repetitive use of hormonal implants on beef carcass quality, tenderness, and consumer ratings of beef palatability. J. Animal Sci., 81: 984- 996.</w:t>
      </w:r>
    </w:p>
    <w:p w:rsidR="00563AC3" w:rsidRPr="0004213C"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Reig</w:t>
      </w:r>
      <w:proofErr w:type="spellEnd"/>
      <w:r w:rsidRPr="0004213C">
        <w:rPr>
          <w:rFonts w:eastAsia="Calibri"/>
          <w:color w:val="222222"/>
          <w:shd w:val="clear" w:color="auto" w:fill="FFFFFF"/>
        </w:rPr>
        <w:t xml:space="preserve">, M. and </w:t>
      </w:r>
      <w:proofErr w:type="spellStart"/>
      <w:r w:rsidRPr="0004213C">
        <w:rPr>
          <w:rFonts w:eastAsia="Calibri"/>
          <w:color w:val="222222"/>
          <w:shd w:val="clear" w:color="auto" w:fill="FFFFFF"/>
        </w:rPr>
        <w:t>Toldrá</w:t>
      </w:r>
      <w:proofErr w:type="spellEnd"/>
      <w:r w:rsidRPr="0004213C">
        <w:rPr>
          <w:rFonts w:eastAsia="Calibri"/>
          <w:color w:val="222222"/>
          <w:shd w:val="clear" w:color="auto" w:fill="FFFFFF"/>
        </w:rPr>
        <w:t>, F. (2008): Veterinary drug residues in meat: Concerns and rapid methods for detection. Meat Science, 78 (1-2): 60-67.</w:t>
      </w:r>
    </w:p>
    <w:p w:rsidR="00563AC3" w:rsidRPr="0004213C"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Sadek</w:t>
      </w:r>
      <w:proofErr w:type="spellEnd"/>
      <w:r w:rsidRPr="0004213C">
        <w:rPr>
          <w:rFonts w:eastAsia="Calibri"/>
          <w:color w:val="222222"/>
          <w:shd w:val="clear" w:color="auto" w:fill="FFFFFF"/>
        </w:rPr>
        <w:t xml:space="preserve"> I.A., Ismail H.M., </w:t>
      </w:r>
      <w:proofErr w:type="spellStart"/>
      <w:r w:rsidRPr="0004213C">
        <w:rPr>
          <w:rFonts w:eastAsia="Calibri"/>
          <w:color w:val="222222"/>
          <w:shd w:val="clear" w:color="auto" w:fill="FFFFFF"/>
        </w:rPr>
        <w:t>Sullman</w:t>
      </w:r>
      <w:proofErr w:type="spellEnd"/>
      <w:r w:rsidRPr="0004213C">
        <w:rPr>
          <w:rFonts w:eastAsia="Calibri"/>
          <w:color w:val="222222"/>
          <w:shd w:val="clear" w:color="auto" w:fill="FFFFFF"/>
        </w:rPr>
        <w:t xml:space="preserve"> H.N. and Salim M. (1998): Survey of hormonal levels in meat and poultry sold in Alexandria, Egypt. WHO int. publication, 4(2), 239-243.</w:t>
      </w:r>
    </w:p>
    <w:p w:rsidR="00563AC3" w:rsidRPr="0004213C"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Salehzadeh</w:t>
      </w:r>
      <w:proofErr w:type="spellEnd"/>
      <w:r w:rsidRPr="0004213C">
        <w:rPr>
          <w:rFonts w:eastAsia="Calibri"/>
          <w:color w:val="222222"/>
          <w:shd w:val="clear" w:color="auto" w:fill="FFFFFF"/>
        </w:rPr>
        <w:t xml:space="preserve">, F.; </w:t>
      </w:r>
      <w:proofErr w:type="spellStart"/>
      <w:r w:rsidRPr="0004213C">
        <w:rPr>
          <w:rFonts w:eastAsia="Calibri"/>
          <w:color w:val="222222"/>
          <w:shd w:val="clear" w:color="auto" w:fill="FFFFFF"/>
        </w:rPr>
        <w:t>Madani</w:t>
      </w:r>
      <w:proofErr w:type="spellEnd"/>
      <w:r w:rsidRPr="0004213C">
        <w:rPr>
          <w:rFonts w:eastAsia="Calibri"/>
          <w:color w:val="222222"/>
          <w:shd w:val="clear" w:color="auto" w:fill="FFFFFF"/>
        </w:rPr>
        <w:t xml:space="preserve">, R.; </w:t>
      </w:r>
      <w:proofErr w:type="spellStart"/>
      <w:r w:rsidRPr="0004213C">
        <w:rPr>
          <w:rFonts w:eastAsia="Calibri"/>
          <w:color w:val="222222"/>
          <w:shd w:val="clear" w:color="auto" w:fill="FFFFFF"/>
        </w:rPr>
        <w:t>Salehzadeh</w:t>
      </w:r>
      <w:proofErr w:type="spellEnd"/>
      <w:r w:rsidRPr="0004213C">
        <w:rPr>
          <w:rFonts w:eastAsia="Calibri"/>
          <w:color w:val="222222"/>
          <w:shd w:val="clear" w:color="auto" w:fill="FFFFFF"/>
        </w:rPr>
        <w:t xml:space="preserve">, A.; </w:t>
      </w:r>
      <w:proofErr w:type="spellStart"/>
      <w:r w:rsidRPr="0004213C">
        <w:rPr>
          <w:rFonts w:eastAsia="Calibri"/>
          <w:color w:val="222222"/>
          <w:shd w:val="clear" w:color="auto" w:fill="FFFFFF"/>
        </w:rPr>
        <w:t>Rokni</w:t>
      </w:r>
      <w:proofErr w:type="spellEnd"/>
      <w:r w:rsidRPr="0004213C">
        <w:rPr>
          <w:rFonts w:eastAsia="Calibri"/>
          <w:color w:val="222222"/>
          <w:shd w:val="clear" w:color="auto" w:fill="FFFFFF"/>
        </w:rPr>
        <w:t xml:space="preserve">, N. and </w:t>
      </w:r>
      <w:proofErr w:type="spellStart"/>
      <w:r w:rsidRPr="0004213C">
        <w:rPr>
          <w:rFonts w:eastAsia="Calibri"/>
          <w:color w:val="222222"/>
          <w:shd w:val="clear" w:color="auto" w:fill="FFFFFF"/>
        </w:rPr>
        <w:t>Golchinefar</w:t>
      </w:r>
      <w:proofErr w:type="spellEnd"/>
      <w:r w:rsidRPr="0004213C">
        <w:rPr>
          <w:rFonts w:eastAsia="Calibri"/>
          <w:color w:val="222222"/>
          <w:shd w:val="clear" w:color="auto" w:fill="FFFFFF"/>
        </w:rPr>
        <w:t>, F.(2006): Oxytetracycline residue in chicken tissues from Tehran slaughterhouses in Iran. Pakistan Journal of Nutrition, 5 (4): 377-381.</w:t>
      </w:r>
    </w:p>
    <w:p w:rsidR="00563AC3" w:rsidRPr="0004213C" w:rsidRDefault="00563AC3" w:rsidP="00107C46">
      <w:pPr>
        <w:ind w:left="851" w:hanging="851"/>
        <w:jc w:val="both"/>
        <w:rPr>
          <w:rFonts w:eastAsia="Calibri"/>
          <w:color w:val="222222"/>
          <w:shd w:val="clear" w:color="auto" w:fill="FFFFFF"/>
        </w:rPr>
      </w:pPr>
      <w:proofErr w:type="spellStart"/>
      <w:r w:rsidRPr="0004213C">
        <w:rPr>
          <w:rFonts w:eastAsia="Calibri"/>
          <w:color w:val="222222"/>
          <w:shd w:val="clear" w:color="auto" w:fill="FFFFFF"/>
        </w:rPr>
        <w:t>Sasanya</w:t>
      </w:r>
      <w:proofErr w:type="spellEnd"/>
      <w:r w:rsidRPr="0004213C">
        <w:rPr>
          <w:rFonts w:eastAsia="Calibri"/>
          <w:color w:val="222222"/>
          <w:shd w:val="clear" w:color="auto" w:fill="FFFFFF"/>
        </w:rPr>
        <w:t xml:space="preserve">, J. J.; </w:t>
      </w:r>
      <w:proofErr w:type="spellStart"/>
      <w:r w:rsidRPr="0004213C">
        <w:rPr>
          <w:rFonts w:eastAsia="Calibri"/>
          <w:color w:val="222222"/>
          <w:shd w:val="clear" w:color="auto" w:fill="FFFFFF"/>
        </w:rPr>
        <w:t>Ikeng</w:t>
      </w:r>
      <w:proofErr w:type="spellEnd"/>
      <w:r w:rsidRPr="0004213C">
        <w:rPr>
          <w:rFonts w:eastAsia="Calibri"/>
          <w:color w:val="222222"/>
          <w:shd w:val="clear" w:color="auto" w:fill="FFFFFF"/>
        </w:rPr>
        <w:t xml:space="preserve">, J. W. O.; </w:t>
      </w:r>
      <w:proofErr w:type="spellStart"/>
      <w:r w:rsidRPr="0004213C">
        <w:rPr>
          <w:rFonts w:eastAsia="Calibri"/>
          <w:color w:val="222222"/>
          <w:shd w:val="clear" w:color="auto" w:fill="FFFFFF"/>
        </w:rPr>
        <w:t>Ejobi</w:t>
      </w:r>
      <w:proofErr w:type="spellEnd"/>
      <w:r w:rsidRPr="0004213C">
        <w:rPr>
          <w:rFonts w:eastAsia="Calibri"/>
          <w:color w:val="222222"/>
          <w:shd w:val="clear" w:color="auto" w:fill="FFFFFF"/>
        </w:rPr>
        <w:t xml:space="preserve">, F. and </w:t>
      </w:r>
      <w:proofErr w:type="spellStart"/>
      <w:r w:rsidRPr="0004213C">
        <w:rPr>
          <w:rFonts w:eastAsia="Calibri"/>
          <w:color w:val="222222"/>
          <w:shd w:val="clear" w:color="auto" w:fill="FFFFFF"/>
        </w:rPr>
        <w:t>Muganwa</w:t>
      </w:r>
      <w:proofErr w:type="spellEnd"/>
      <w:r w:rsidRPr="0004213C">
        <w:rPr>
          <w:rFonts w:eastAsia="Calibri"/>
          <w:color w:val="222222"/>
          <w:shd w:val="clear" w:color="auto" w:fill="FFFFFF"/>
        </w:rPr>
        <w:t>, M. (2005): Use of sulfonamides in layers in Kampala district, Uganda and sulfonamide residues in commercial eggs. African Health Sciences, 5 (1): 33-39.</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 xml:space="preserve">Shao, B.; Dong, D.; Wu, Y.; Hu, J.; Meng, J.; Tu, X. and Xu, S. (2005): Simultaneous determination of 17 sulfonamide residues in porcine meat, kidney and liver by </w:t>
      </w:r>
      <w:proofErr w:type="spellStart"/>
      <w:r w:rsidRPr="0004213C">
        <w:rPr>
          <w:rFonts w:eastAsia="Calibri"/>
          <w:color w:val="222222"/>
          <w:shd w:val="clear" w:color="auto" w:fill="FFFFFF"/>
        </w:rPr>
        <w:t>solidphase</w:t>
      </w:r>
      <w:proofErr w:type="spellEnd"/>
      <w:r w:rsidRPr="0004213C">
        <w:rPr>
          <w:rFonts w:eastAsia="Calibri"/>
          <w:color w:val="222222"/>
          <w:shd w:val="clear" w:color="auto" w:fill="FFFFFF"/>
        </w:rPr>
        <w:t xml:space="preserve"> extraction and liquid chromatography–tandem mass spectrometry. Analytica </w:t>
      </w:r>
      <w:proofErr w:type="spellStart"/>
      <w:r w:rsidRPr="0004213C">
        <w:rPr>
          <w:rFonts w:eastAsia="Calibri"/>
          <w:color w:val="222222"/>
          <w:shd w:val="clear" w:color="auto" w:fill="FFFFFF"/>
        </w:rPr>
        <w:t>Chimica</w:t>
      </w:r>
      <w:proofErr w:type="spellEnd"/>
      <w:r w:rsidRPr="0004213C">
        <w:rPr>
          <w:rFonts w:eastAsia="Calibri"/>
          <w:color w:val="222222"/>
          <w:shd w:val="clear" w:color="auto" w:fill="FFFFFF"/>
        </w:rPr>
        <w:t xml:space="preserve"> Acta, 546 (2): 174-181.</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 xml:space="preserve">Van den </w:t>
      </w:r>
      <w:proofErr w:type="spellStart"/>
      <w:r w:rsidRPr="0004213C">
        <w:rPr>
          <w:rFonts w:eastAsia="Calibri"/>
          <w:color w:val="222222"/>
          <w:shd w:val="clear" w:color="auto" w:fill="FFFFFF"/>
        </w:rPr>
        <w:t>Bogaard</w:t>
      </w:r>
      <w:proofErr w:type="spellEnd"/>
      <w:r w:rsidRPr="0004213C">
        <w:rPr>
          <w:rFonts w:eastAsia="Calibri"/>
          <w:color w:val="222222"/>
          <w:shd w:val="clear" w:color="auto" w:fill="FFFFFF"/>
        </w:rPr>
        <w:t xml:space="preserve">, A.; London, N.; Driessen, C. and </w:t>
      </w:r>
      <w:proofErr w:type="spellStart"/>
      <w:r w:rsidRPr="0004213C">
        <w:rPr>
          <w:rFonts w:eastAsia="Calibri"/>
          <w:color w:val="222222"/>
          <w:shd w:val="clear" w:color="auto" w:fill="FFFFFF"/>
        </w:rPr>
        <w:t>Stobberingh</w:t>
      </w:r>
      <w:proofErr w:type="spellEnd"/>
      <w:r w:rsidRPr="0004213C">
        <w:rPr>
          <w:rFonts w:eastAsia="Calibri"/>
          <w:color w:val="222222"/>
          <w:shd w:val="clear" w:color="auto" w:fill="FFFFFF"/>
        </w:rPr>
        <w:t xml:space="preserve">, E. (2001): Antibiotic resistance of </w:t>
      </w:r>
      <w:proofErr w:type="spellStart"/>
      <w:r w:rsidRPr="0004213C">
        <w:rPr>
          <w:rFonts w:eastAsia="Calibri"/>
          <w:color w:val="222222"/>
          <w:shd w:val="clear" w:color="auto" w:fill="FFFFFF"/>
        </w:rPr>
        <w:t>faecal</w:t>
      </w:r>
      <w:proofErr w:type="spellEnd"/>
      <w:r w:rsidRPr="0004213C">
        <w:rPr>
          <w:rFonts w:eastAsia="Calibri"/>
          <w:color w:val="222222"/>
          <w:shd w:val="clear" w:color="auto" w:fill="FFFFFF"/>
        </w:rPr>
        <w:t xml:space="preserve"> Escherichia coli in poultry, poultry farmers and poultry slaughterers. Journal of Antimicrobial Chemotherapy, 47 (6): 763-771.</w:t>
      </w:r>
    </w:p>
    <w:p w:rsidR="00563AC3" w:rsidRPr="0004213C" w:rsidRDefault="00563AC3" w:rsidP="00107C46">
      <w:pPr>
        <w:ind w:left="851" w:hanging="851"/>
        <w:jc w:val="both"/>
        <w:rPr>
          <w:rFonts w:eastAsia="Calibri"/>
          <w:color w:val="222222"/>
          <w:shd w:val="clear" w:color="auto" w:fill="FFFFFF"/>
        </w:rPr>
      </w:pPr>
      <w:r w:rsidRPr="0004213C">
        <w:rPr>
          <w:rFonts w:eastAsia="Calibri"/>
          <w:color w:val="222222"/>
          <w:shd w:val="clear" w:color="auto" w:fill="FFFFFF"/>
        </w:rPr>
        <w:t xml:space="preserve">Weiss. C., A. Conte, C. </w:t>
      </w:r>
      <w:proofErr w:type="spellStart"/>
      <w:r w:rsidRPr="0004213C">
        <w:rPr>
          <w:rFonts w:eastAsia="Calibri"/>
          <w:color w:val="222222"/>
          <w:shd w:val="clear" w:color="auto" w:fill="FFFFFF"/>
        </w:rPr>
        <w:t>Milandri</w:t>
      </w:r>
      <w:proofErr w:type="spellEnd"/>
      <w:r w:rsidRPr="0004213C">
        <w:rPr>
          <w:rFonts w:eastAsia="Calibri"/>
          <w:color w:val="222222"/>
          <w:shd w:val="clear" w:color="auto" w:fill="FFFFFF"/>
        </w:rPr>
        <w:t xml:space="preserve">, G. </w:t>
      </w:r>
      <w:proofErr w:type="spellStart"/>
      <w:r w:rsidRPr="0004213C">
        <w:rPr>
          <w:rFonts w:eastAsia="Calibri"/>
          <w:color w:val="222222"/>
          <w:shd w:val="clear" w:color="auto" w:fill="FFFFFF"/>
        </w:rPr>
        <w:t>Scortichini</w:t>
      </w:r>
      <w:proofErr w:type="spellEnd"/>
      <w:r w:rsidRPr="0004213C">
        <w:rPr>
          <w:rFonts w:eastAsia="Calibri"/>
          <w:color w:val="222222"/>
          <w:shd w:val="clear" w:color="auto" w:fill="FFFFFF"/>
        </w:rPr>
        <w:t xml:space="preserve">, P. </w:t>
      </w:r>
      <w:proofErr w:type="spellStart"/>
      <w:r w:rsidRPr="0004213C">
        <w:rPr>
          <w:rFonts w:eastAsia="Calibri"/>
          <w:color w:val="222222"/>
          <w:shd w:val="clear" w:color="auto" w:fill="FFFFFF"/>
        </w:rPr>
        <w:t>Semprini</w:t>
      </w:r>
      <w:proofErr w:type="spellEnd"/>
      <w:r w:rsidRPr="0004213C">
        <w:rPr>
          <w:rFonts w:eastAsia="Calibri"/>
          <w:color w:val="222222"/>
          <w:shd w:val="clear" w:color="auto" w:fill="FFFFFF"/>
        </w:rPr>
        <w:t xml:space="preserve">, R. </w:t>
      </w:r>
      <w:proofErr w:type="spellStart"/>
      <w:r w:rsidRPr="0004213C">
        <w:rPr>
          <w:rFonts w:eastAsia="Calibri"/>
          <w:color w:val="222222"/>
          <w:shd w:val="clear" w:color="auto" w:fill="FFFFFF"/>
        </w:rPr>
        <w:t>Usberti</w:t>
      </w:r>
      <w:proofErr w:type="spellEnd"/>
      <w:r w:rsidRPr="0004213C">
        <w:rPr>
          <w:rFonts w:eastAsia="Calibri"/>
          <w:color w:val="222222"/>
          <w:shd w:val="clear" w:color="auto" w:fill="FFFFFF"/>
        </w:rPr>
        <w:t xml:space="preserve">, and G. </w:t>
      </w:r>
      <w:proofErr w:type="spellStart"/>
      <w:r w:rsidRPr="0004213C">
        <w:rPr>
          <w:rFonts w:eastAsia="Calibri"/>
          <w:color w:val="222222"/>
          <w:shd w:val="clear" w:color="auto" w:fill="FFFFFF"/>
        </w:rPr>
        <w:t>Migliorati</w:t>
      </w:r>
      <w:proofErr w:type="spellEnd"/>
      <w:r w:rsidRPr="0004213C">
        <w:rPr>
          <w:rFonts w:eastAsia="Calibri"/>
          <w:color w:val="222222"/>
          <w:shd w:val="clear" w:color="auto" w:fill="FFFFFF"/>
        </w:rPr>
        <w:t xml:space="preserve"> (2007):  Veterinary drugs residue monitoring in </w:t>
      </w:r>
      <w:proofErr w:type="spellStart"/>
      <w:r w:rsidRPr="0004213C">
        <w:rPr>
          <w:rFonts w:eastAsia="Calibri"/>
          <w:color w:val="222222"/>
          <w:shd w:val="clear" w:color="auto" w:fill="FFFFFF"/>
        </w:rPr>
        <w:t>italian</w:t>
      </w:r>
      <w:proofErr w:type="spellEnd"/>
      <w:r w:rsidRPr="0004213C">
        <w:rPr>
          <w:rFonts w:eastAsia="Calibri"/>
          <w:color w:val="222222"/>
          <w:shd w:val="clear" w:color="auto" w:fill="FFFFFF"/>
        </w:rPr>
        <w:t xml:space="preserve"> poultry: Current strategies and possible developments. Food Control. 18: 1068-1076.</w:t>
      </w:r>
    </w:p>
    <w:p w:rsidR="00563AC3" w:rsidRPr="00006354" w:rsidRDefault="00563AC3" w:rsidP="00107C46">
      <w:pPr>
        <w:ind w:left="851" w:hanging="851"/>
        <w:jc w:val="both"/>
        <w:rPr>
          <w:rFonts w:eastAsia="Calibri"/>
          <w:color w:val="222222"/>
          <w:shd w:val="clear" w:color="auto" w:fill="FFFFFF"/>
        </w:rPr>
      </w:pPr>
      <w:r w:rsidRPr="00006354">
        <w:rPr>
          <w:rFonts w:eastAsia="Calibri"/>
          <w:color w:val="222222"/>
          <w:shd w:val="clear" w:color="auto" w:fill="FFFFFF"/>
        </w:rPr>
        <w:t xml:space="preserve">Zhang, S., Wang, Z., </w:t>
      </w:r>
      <w:proofErr w:type="spellStart"/>
      <w:r w:rsidRPr="00006354">
        <w:rPr>
          <w:rFonts w:eastAsia="Calibri"/>
          <w:color w:val="222222"/>
          <w:shd w:val="clear" w:color="auto" w:fill="FFFFFF"/>
        </w:rPr>
        <w:t>Nesterenko</w:t>
      </w:r>
      <w:proofErr w:type="spellEnd"/>
      <w:r w:rsidRPr="00006354">
        <w:rPr>
          <w:rFonts w:eastAsia="Calibri"/>
          <w:color w:val="222222"/>
          <w:shd w:val="clear" w:color="auto" w:fill="FFFFFF"/>
        </w:rPr>
        <w:t xml:space="preserve">, I.S., </w:t>
      </w:r>
      <w:proofErr w:type="spellStart"/>
      <w:r w:rsidRPr="00006354">
        <w:rPr>
          <w:rFonts w:eastAsia="Calibri"/>
          <w:color w:val="222222"/>
          <w:shd w:val="clear" w:color="auto" w:fill="FFFFFF"/>
        </w:rPr>
        <w:t>Eremin</w:t>
      </w:r>
      <w:proofErr w:type="spellEnd"/>
      <w:r w:rsidRPr="00006354">
        <w:rPr>
          <w:rFonts w:eastAsia="Calibri"/>
          <w:color w:val="222222"/>
          <w:shd w:val="clear" w:color="auto" w:fill="FFFFFF"/>
        </w:rPr>
        <w:t xml:space="preserve">, S.A. and Shen, J. 2007. </w:t>
      </w:r>
      <w:r w:rsidRPr="00006354">
        <w:rPr>
          <w:rFonts w:eastAsia="Calibri"/>
          <w:i/>
          <w:iCs/>
          <w:color w:val="222222"/>
          <w:shd w:val="clear" w:color="auto" w:fill="FFFFFF"/>
        </w:rPr>
        <w:t xml:space="preserve">Fluorescence </w:t>
      </w:r>
      <w:proofErr w:type="spellStart"/>
      <w:r w:rsidRPr="00006354">
        <w:rPr>
          <w:rFonts w:eastAsia="Calibri"/>
          <w:i/>
          <w:iCs/>
          <w:color w:val="222222"/>
          <w:shd w:val="clear" w:color="auto" w:fill="FFFFFF"/>
        </w:rPr>
        <w:t>polarisation</w:t>
      </w:r>
      <w:proofErr w:type="spellEnd"/>
      <w:r w:rsidRPr="00006354">
        <w:rPr>
          <w:rFonts w:eastAsia="Calibri"/>
          <w:color w:val="222222"/>
          <w:shd w:val="clear" w:color="auto" w:fill="FFFFFF"/>
        </w:rPr>
        <w:t xml:space="preserve"> immunoassay based on a monoclonal antibody for the detection of </w:t>
      </w:r>
      <w:proofErr w:type="spellStart"/>
      <w:r w:rsidRPr="00006354">
        <w:rPr>
          <w:rFonts w:eastAsia="Calibri"/>
          <w:color w:val="222222"/>
          <w:shd w:val="clear" w:color="auto" w:fill="FFFFFF"/>
        </w:rPr>
        <w:t>sulphamethazine</w:t>
      </w:r>
      <w:proofErr w:type="spellEnd"/>
      <w:r w:rsidRPr="00006354">
        <w:rPr>
          <w:rFonts w:eastAsia="Calibri"/>
          <w:color w:val="222222"/>
          <w:shd w:val="clear" w:color="auto" w:fill="FFFFFF"/>
        </w:rPr>
        <w:t xml:space="preserve"> in chicken muscle International Journal of Food Science and Technology 42: 36–44.</w:t>
      </w:r>
    </w:p>
    <w:p w:rsidR="000C75C4" w:rsidRDefault="000C75C4" w:rsidP="000C75C4">
      <w:pPr>
        <w:jc w:val="both"/>
        <w:rPr>
          <w:rFonts w:asciiTheme="majorBidi" w:hAnsiTheme="majorBidi" w:cstheme="majorBidi"/>
        </w:rPr>
      </w:pPr>
    </w:p>
    <w:p w:rsidR="0015183A" w:rsidRPr="00BB3EDE" w:rsidRDefault="0015183A" w:rsidP="0015183A">
      <w:pPr>
        <w:ind w:firstLine="720"/>
        <w:jc w:val="both"/>
      </w:pPr>
    </w:p>
    <w:p w:rsidR="009C4C60" w:rsidRDefault="009C4C60" w:rsidP="009C4C60">
      <w:pPr>
        <w:spacing w:line="360" w:lineRule="auto"/>
        <w:jc w:val="center"/>
        <w:rPr>
          <w:b/>
        </w:rPr>
      </w:pPr>
    </w:p>
    <w:p w:rsidR="00C4130B" w:rsidRDefault="00C4130B" w:rsidP="009C4C60">
      <w:pPr>
        <w:spacing w:line="360" w:lineRule="auto"/>
        <w:jc w:val="center"/>
        <w:rPr>
          <w:b/>
        </w:rPr>
        <w:sectPr w:rsidR="00C4130B" w:rsidSect="00107C46">
          <w:headerReference w:type="default" r:id="rId18"/>
          <w:pgSz w:w="11907" w:h="16840" w:code="9"/>
          <w:pgMar w:top="1134" w:right="1134" w:bottom="1134" w:left="1134" w:header="567" w:footer="567" w:gutter="0"/>
          <w:cols w:space="720"/>
          <w:docGrid w:linePitch="360"/>
        </w:sectPr>
      </w:pPr>
    </w:p>
    <w:p w:rsidR="006C7420" w:rsidRDefault="006C7420" w:rsidP="009C4C60">
      <w:pPr>
        <w:jc w:val="center"/>
        <w:rPr>
          <w:b/>
        </w:rPr>
      </w:pPr>
      <w:bookmarkStart w:id="4" w:name="_Hlk53534217"/>
    </w:p>
    <w:p w:rsidR="009C4C60" w:rsidRDefault="009C4C60" w:rsidP="009C4C60">
      <w:pPr>
        <w:jc w:val="center"/>
        <w:rPr>
          <w:b/>
        </w:rPr>
      </w:pPr>
      <w:r w:rsidRPr="00A84F44">
        <w:rPr>
          <w:b/>
        </w:rPr>
        <w:t>Table (</w:t>
      </w:r>
      <w:r w:rsidR="00AF73CC">
        <w:rPr>
          <w:b/>
        </w:rPr>
        <w:t>1</w:t>
      </w:r>
      <w:r w:rsidRPr="00A84F44">
        <w:rPr>
          <w:b/>
        </w:rPr>
        <w:t>)</w:t>
      </w:r>
      <w:r>
        <w:rPr>
          <w:b/>
        </w:rPr>
        <w:t xml:space="preserve">: </w:t>
      </w:r>
      <w:r w:rsidRPr="00A84F44">
        <w:rPr>
          <w:b/>
        </w:rPr>
        <w:t xml:space="preserve">Mean </w:t>
      </w:r>
      <w:r>
        <w:rPr>
          <w:b/>
        </w:rPr>
        <w:t xml:space="preserve">antibiotic and </w:t>
      </w:r>
      <w:r w:rsidRPr="00A84F44">
        <w:rPr>
          <w:b/>
        </w:rPr>
        <w:t>17β-Estradiol (</w:t>
      </w:r>
      <w:proofErr w:type="spellStart"/>
      <w:r w:rsidRPr="00A84F44">
        <w:rPr>
          <w:b/>
        </w:rPr>
        <w:t>μg</w:t>
      </w:r>
      <w:proofErr w:type="spellEnd"/>
      <w:r w:rsidRPr="00A84F44">
        <w:rPr>
          <w:b/>
        </w:rPr>
        <w:t xml:space="preserve">/g) values for </w:t>
      </w:r>
      <w:r w:rsidR="00563AC3">
        <w:rPr>
          <w:b/>
        </w:rPr>
        <w:t>Egyptian</w:t>
      </w:r>
      <w:r w:rsidRPr="00A84F44">
        <w:rPr>
          <w:b/>
        </w:rPr>
        <w:t xml:space="preserve"> and </w:t>
      </w:r>
      <w:r w:rsidR="00563AC3" w:rsidRPr="00563AC3">
        <w:rPr>
          <w:b/>
        </w:rPr>
        <w:t xml:space="preserve">Bahrainis </w:t>
      </w:r>
      <w:r w:rsidRPr="00A84F44">
        <w:rPr>
          <w:b/>
        </w:rPr>
        <w:t>chicken meat</w:t>
      </w:r>
      <w:r>
        <w:rPr>
          <w:b/>
        </w:rPr>
        <w:t xml:space="preserve"> and offal</w:t>
      </w:r>
    </w:p>
    <w:tbl>
      <w:tblPr>
        <w:tblW w:w="14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1080"/>
        <w:gridCol w:w="1260"/>
        <w:gridCol w:w="900"/>
        <w:gridCol w:w="1260"/>
        <w:gridCol w:w="810"/>
        <w:gridCol w:w="1260"/>
        <w:gridCol w:w="810"/>
        <w:gridCol w:w="1260"/>
        <w:gridCol w:w="810"/>
        <w:gridCol w:w="1260"/>
        <w:gridCol w:w="990"/>
        <w:gridCol w:w="1260"/>
      </w:tblGrid>
      <w:tr w:rsidR="009C4C60" w:rsidRPr="00A84F44" w:rsidTr="00656299">
        <w:trPr>
          <w:trHeight w:val="251"/>
          <w:jc w:val="center"/>
        </w:trPr>
        <w:tc>
          <w:tcPr>
            <w:tcW w:w="1345" w:type="dxa"/>
            <w:vMerge w:val="restart"/>
            <w:tcBorders>
              <w:top w:val="single" w:sz="4" w:space="0" w:color="000000"/>
              <w:left w:val="single" w:sz="4" w:space="0" w:color="000000"/>
              <w:right w:val="single" w:sz="4" w:space="0" w:color="000000"/>
            </w:tcBorders>
          </w:tcPr>
          <w:p w:rsidR="009C4C60" w:rsidRPr="00A84F44" w:rsidRDefault="009C4C60" w:rsidP="00656299">
            <w:pPr>
              <w:jc w:val="center"/>
              <w:rPr>
                <w:b/>
              </w:rPr>
            </w:pPr>
          </w:p>
          <w:p w:rsidR="009C4C60" w:rsidRPr="00A84F44" w:rsidRDefault="009C4C60" w:rsidP="00656299">
            <w:pPr>
              <w:jc w:val="center"/>
              <w:rPr>
                <w:b/>
              </w:rPr>
            </w:pPr>
            <w:r w:rsidRPr="00A84F44">
              <w:rPr>
                <w:b/>
              </w:rPr>
              <w:t>C</w:t>
            </w:r>
            <w:r>
              <w:rPr>
                <w:b/>
              </w:rPr>
              <w:t>hicken Samples</w:t>
            </w:r>
          </w:p>
        </w:tc>
        <w:tc>
          <w:tcPr>
            <w:tcW w:w="8640" w:type="dxa"/>
            <w:gridSpan w:val="8"/>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Pr>
                <w:b/>
              </w:rPr>
              <w:t>Antibiotics</w:t>
            </w:r>
          </w:p>
        </w:tc>
        <w:tc>
          <w:tcPr>
            <w:tcW w:w="4320" w:type="dxa"/>
            <w:gridSpan w:val="4"/>
            <w:vMerge w:val="restart"/>
            <w:tcBorders>
              <w:top w:val="single" w:sz="4" w:space="0" w:color="000000"/>
              <w:left w:val="single" w:sz="4" w:space="0" w:color="000000"/>
              <w:right w:val="single" w:sz="4" w:space="0" w:color="000000"/>
            </w:tcBorders>
          </w:tcPr>
          <w:p w:rsidR="009C4C60" w:rsidRDefault="009C4C60" w:rsidP="00656299">
            <w:pPr>
              <w:jc w:val="center"/>
              <w:rPr>
                <w:b/>
              </w:rPr>
            </w:pPr>
          </w:p>
          <w:p w:rsidR="009C4C60" w:rsidRPr="00A84F44" w:rsidRDefault="009C4C60" w:rsidP="00656299">
            <w:pPr>
              <w:jc w:val="center"/>
              <w:rPr>
                <w:b/>
              </w:rPr>
            </w:pPr>
            <w:r w:rsidRPr="00A84F44">
              <w:rPr>
                <w:b/>
              </w:rPr>
              <w:t>17β-Estradiol</w:t>
            </w:r>
          </w:p>
        </w:tc>
      </w:tr>
      <w:tr w:rsidR="009C4C60" w:rsidRPr="00A84F44" w:rsidTr="00656299">
        <w:trPr>
          <w:trHeight w:val="269"/>
          <w:jc w:val="center"/>
        </w:trPr>
        <w:tc>
          <w:tcPr>
            <w:tcW w:w="1345" w:type="dxa"/>
            <w:vMerge/>
            <w:tcBorders>
              <w:left w:val="single" w:sz="4" w:space="0" w:color="000000"/>
              <w:right w:val="single" w:sz="4" w:space="0" w:color="000000"/>
            </w:tcBorders>
          </w:tcPr>
          <w:p w:rsidR="009C4C60" w:rsidRPr="00A84F44" w:rsidRDefault="009C4C60" w:rsidP="00656299">
            <w:pPr>
              <w:jc w:val="center"/>
              <w:rPr>
                <w:b/>
              </w:rPr>
            </w:pPr>
          </w:p>
        </w:tc>
        <w:tc>
          <w:tcPr>
            <w:tcW w:w="4500" w:type="dxa"/>
            <w:gridSpan w:val="4"/>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Ciprofloxacin</w:t>
            </w:r>
          </w:p>
        </w:tc>
        <w:tc>
          <w:tcPr>
            <w:tcW w:w="4140" w:type="dxa"/>
            <w:gridSpan w:val="4"/>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Sulfadiazine</w:t>
            </w:r>
          </w:p>
        </w:tc>
        <w:tc>
          <w:tcPr>
            <w:tcW w:w="4320" w:type="dxa"/>
            <w:gridSpan w:val="4"/>
            <w:vMerge/>
            <w:tcBorders>
              <w:left w:val="single" w:sz="4" w:space="0" w:color="000000"/>
              <w:bottom w:val="single" w:sz="4" w:space="0" w:color="000000"/>
              <w:right w:val="single" w:sz="4" w:space="0" w:color="000000"/>
            </w:tcBorders>
          </w:tcPr>
          <w:p w:rsidR="009C4C60" w:rsidRPr="00A84F44" w:rsidRDefault="009C4C60" w:rsidP="00656299">
            <w:pPr>
              <w:jc w:val="center"/>
              <w:rPr>
                <w:b/>
              </w:rPr>
            </w:pPr>
          </w:p>
        </w:tc>
      </w:tr>
      <w:tr w:rsidR="009C4C60" w:rsidRPr="00A84F44" w:rsidTr="00656299">
        <w:trPr>
          <w:trHeight w:val="305"/>
          <w:jc w:val="center"/>
        </w:trPr>
        <w:tc>
          <w:tcPr>
            <w:tcW w:w="1345" w:type="dxa"/>
            <w:vMerge/>
            <w:tcBorders>
              <w:left w:val="single" w:sz="4" w:space="0" w:color="000000"/>
              <w:right w:val="single" w:sz="4" w:space="0" w:color="000000"/>
            </w:tcBorders>
          </w:tcPr>
          <w:p w:rsidR="009C4C60" w:rsidRPr="00A84F44" w:rsidRDefault="009C4C60" w:rsidP="00656299">
            <w:pPr>
              <w:jc w:val="center"/>
              <w:rPr>
                <w:b/>
              </w:rPr>
            </w:pPr>
          </w:p>
        </w:tc>
        <w:tc>
          <w:tcPr>
            <w:tcW w:w="2340" w:type="dxa"/>
            <w:gridSpan w:val="2"/>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chicken meat</w:t>
            </w:r>
          </w:p>
        </w:tc>
        <w:tc>
          <w:tcPr>
            <w:tcW w:w="2160" w:type="dxa"/>
            <w:gridSpan w:val="2"/>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 xml:space="preserve">chicken </w:t>
            </w:r>
            <w:r>
              <w:rPr>
                <w:b/>
              </w:rPr>
              <w:t>offal</w:t>
            </w:r>
          </w:p>
        </w:tc>
        <w:tc>
          <w:tcPr>
            <w:tcW w:w="2070" w:type="dxa"/>
            <w:gridSpan w:val="2"/>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chicken meat</w:t>
            </w:r>
          </w:p>
        </w:tc>
        <w:tc>
          <w:tcPr>
            <w:tcW w:w="2070" w:type="dxa"/>
            <w:gridSpan w:val="2"/>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 xml:space="preserve">chicken </w:t>
            </w:r>
            <w:r>
              <w:rPr>
                <w:b/>
              </w:rPr>
              <w:t>offal</w:t>
            </w:r>
          </w:p>
        </w:tc>
        <w:tc>
          <w:tcPr>
            <w:tcW w:w="2070" w:type="dxa"/>
            <w:gridSpan w:val="2"/>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chicken meat</w:t>
            </w:r>
          </w:p>
        </w:tc>
        <w:tc>
          <w:tcPr>
            <w:tcW w:w="2250" w:type="dxa"/>
            <w:gridSpan w:val="2"/>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 xml:space="preserve">chicken </w:t>
            </w:r>
            <w:r>
              <w:rPr>
                <w:b/>
              </w:rPr>
              <w:t>offal</w:t>
            </w:r>
          </w:p>
        </w:tc>
      </w:tr>
      <w:tr w:rsidR="009C4C60" w:rsidRPr="00A84F44" w:rsidTr="00656299">
        <w:trPr>
          <w:trHeight w:val="350"/>
          <w:jc w:val="center"/>
        </w:trPr>
        <w:tc>
          <w:tcPr>
            <w:tcW w:w="1345" w:type="dxa"/>
            <w:vMerge/>
            <w:tcBorders>
              <w:left w:val="single" w:sz="4" w:space="0" w:color="000000"/>
              <w:bottom w:val="single" w:sz="4" w:space="0" w:color="000000"/>
              <w:right w:val="single" w:sz="4" w:space="0" w:color="000000"/>
            </w:tcBorders>
          </w:tcPr>
          <w:p w:rsidR="009C4C60" w:rsidRPr="00A84F44" w:rsidRDefault="009C4C60" w:rsidP="00656299">
            <w:pPr>
              <w:widowControl w:val="0"/>
              <w:pBdr>
                <w:top w:val="nil"/>
                <w:left w:val="nil"/>
                <w:bottom w:val="nil"/>
                <w:right w:val="nil"/>
                <w:between w:val="nil"/>
              </w:pBdr>
              <w:jc w:val="center"/>
              <w:rPr>
                <w:b/>
              </w:rPr>
            </w:pPr>
          </w:p>
        </w:tc>
        <w:tc>
          <w:tcPr>
            <w:tcW w:w="108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Local</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Imported</w:t>
            </w:r>
          </w:p>
        </w:tc>
        <w:tc>
          <w:tcPr>
            <w:tcW w:w="90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Local</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Imported</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Local</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Imported</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Local</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Imported</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Local</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Imported</w:t>
            </w:r>
          </w:p>
        </w:tc>
        <w:tc>
          <w:tcPr>
            <w:tcW w:w="99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Local</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Imported</w:t>
            </w:r>
          </w:p>
        </w:tc>
      </w:tr>
      <w:tr w:rsidR="009C4C60" w:rsidRPr="00A84F44" w:rsidTr="00656299">
        <w:trPr>
          <w:trHeight w:val="354"/>
          <w:jc w:val="center"/>
        </w:trPr>
        <w:tc>
          <w:tcPr>
            <w:tcW w:w="134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Minimum</w:t>
            </w:r>
          </w:p>
        </w:tc>
        <w:tc>
          <w:tcPr>
            <w:tcW w:w="108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w:t>
            </w:r>
            <w:r>
              <w:t>21</w:t>
            </w:r>
            <w:r w:rsidRPr="00A84F44">
              <w:t>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tabs>
                <w:tab w:val="left" w:pos="1080"/>
                <w:tab w:val="center" w:pos="1440"/>
              </w:tabs>
              <w:spacing w:line="360" w:lineRule="auto"/>
              <w:jc w:val="center"/>
            </w:pPr>
            <w:r w:rsidRPr="00A84F44">
              <w:t>0.0</w:t>
            </w:r>
            <w:r>
              <w:t>00</w:t>
            </w:r>
          </w:p>
        </w:tc>
        <w:tc>
          <w:tcPr>
            <w:tcW w:w="90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0.200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tabs>
                <w:tab w:val="left" w:pos="1080"/>
                <w:tab w:val="center" w:pos="1440"/>
              </w:tabs>
              <w:spacing w:line="360" w:lineRule="auto"/>
              <w:jc w:val="center"/>
            </w:pPr>
            <w:r w:rsidRPr="00A84F44">
              <w:t>0.410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tabs>
                <w:tab w:val="left" w:pos="1080"/>
                <w:tab w:val="center" w:pos="1440"/>
              </w:tabs>
              <w:spacing w:line="360" w:lineRule="auto"/>
              <w:jc w:val="center"/>
            </w:pPr>
            <w:r w:rsidRPr="00A84F44">
              <w:t>0.010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0.000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tabs>
                <w:tab w:val="left" w:pos="1080"/>
                <w:tab w:val="center" w:pos="1440"/>
              </w:tabs>
              <w:spacing w:line="360" w:lineRule="auto"/>
              <w:jc w:val="center"/>
            </w:pPr>
            <w:r w:rsidRPr="00A84F44">
              <w:t>0.030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0.019</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tabs>
                <w:tab w:val="left" w:pos="1080"/>
                <w:tab w:val="center" w:pos="1440"/>
              </w:tabs>
              <w:spacing w:line="360" w:lineRule="auto"/>
              <w:jc w:val="center"/>
            </w:pPr>
            <w:r w:rsidRPr="00A84F44">
              <w:t>1.220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1.200</w:t>
            </w:r>
          </w:p>
        </w:tc>
        <w:tc>
          <w:tcPr>
            <w:tcW w:w="99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tabs>
                <w:tab w:val="left" w:pos="1080"/>
                <w:tab w:val="center" w:pos="1440"/>
              </w:tabs>
              <w:spacing w:line="360" w:lineRule="auto"/>
              <w:jc w:val="center"/>
            </w:pPr>
            <w:r w:rsidRPr="00A84F44">
              <w:t>2.190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2.300</w:t>
            </w:r>
          </w:p>
        </w:tc>
      </w:tr>
      <w:tr w:rsidR="009C4C60" w:rsidRPr="00A84F44" w:rsidTr="00656299">
        <w:trPr>
          <w:trHeight w:val="395"/>
          <w:jc w:val="center"/>
        </w:trPr>
        <w:tc>
          <w:tcPr>
            <w:tcW w:w="134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Maximum</w:t>
            </w:r>
          </w:p>
        </w:tc>
        <w:tc>
          <w:tcPr>
            <w:tcW w:w="108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0.4</w:t>
            </w:r>
            <w:r>
              <w:t>50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w:t>
            </w:r>
            <w:r>
              <w:t>28</w:t>
            </w:r>
            <w:r w:rsidRPr="00A84F44">
              <w:t>0</w:t>
            </w:r>
          </w:p>
        </w:tc>
        <w:tc>
          <w:tcPr>
            <w:tcW w:w="90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0.870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0.650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0.038</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0.016</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0.058</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0.038</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1.960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1.900</w:t>
            </w:r>
          </w:p>
        </w:tc>
        <w:tc>
          <w:tcPr>
            <w:tcW w:w="99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4.000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3.900</w:t>
            </w:r>
          </w:p>
        </w:tc>
      </w:tr>
      <w:tr w:rsidR="009C4C60" w:rsidRPr="00A84F44" w:rsidTr="00656299">
        <w:trPr>
          <w:trHeight w:val="341"/>
          <w:jc w:val="center"/>
        </w:trPr>
        <w:tc>
          <w:tcPr>
            <w:tcW w:w="134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Mean</w:t>
            </w:r>
          </w:p>
        </w:tc>
        <w:tc>
          <w:tcPr>
            <w:tcW w:w="108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w:t>
            </w:r>
            <w:r>
              <w:t>339</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w:t>
            </w:r>
            <w:r>
              <w:t>126</w:t>
            </w:r>
          </w:p>
        </w:tc>
        <w:tc>
          <w:tcPr>
            <w:tcW w:w="90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0.650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0.545</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0.020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0.006</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0.045</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0.025</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1.626</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1.593</w:t>
            </w:r>
          </w:p>
        </w:tc>
        <w:tc>
          <w:tcPr>
            <w:tcW w:w="99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2.600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2.950</w:t>
            </w:r>
          </w:p>
        </w:tc>
      </w:tr>
      <w:tr w:rsidR="009C4C60" w:rsidRPr="00A84F44" w:rsidTr="00656299">
        <w:trPr>
          <w:trHeight w:val="359"/>
          <w:jc w:val="center"/>
        </w:trPr>
        <w:tc>
          <w:tcPr>
            <w:tcW w:w="134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 SE</w:t>
            </w:r>
          </w:p>
        </w:tc>
        <w:tc>
          <w:tcPr>
            <w:tcW w:w="108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w:t>
            </w:r>
            <w:r>
              <w:t>26</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w:t>
            </w:r>
            <w:r>
              <w:t>31</w:t>
            </w:r>
          </w:p>
        </w:tc>
        <w:tc>
          <w:tcPr>
            <w:tcW w:w="90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0.075</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0.045</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0.003</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0.002</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0.020</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0.015</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0.076</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0.069</w:t>
            </w:r>
          </w:p>
        </w:tc>
        <w:tc>
          <w:tcPr>
            <w:tcW w:w="99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0.089</w:t>
            </w:r>
          </w:p>
        </w:tc>
        <w:tc>
          <w:tcPr>
            <w:tcW w:w="126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spacing w:line="360" w:lineRule="auto"/>
              <w:jc w:val="center"/>
            </w:pPr>
            <w:r w:rsidRPr="00A84F44">
              <w:t>0.075</w:t>
            </w:r>
          </w:p>
        </w:tc>
      </w:tr>
    </w:tbl>
    <w:p w:rsidR="009C4C60" w:rsidRDefault="009C4C60" w:rsidP="009C4C60">
      <w:pPr>
        <w:spacing w:line="360" w:lineRule="auto"/>
        <w:jc w:val="right"/>
        <w:rPr>
          <w:b/>
        </w:rPr>
      </w:pPr>
    </w:p>
    <w:p w:rsidR="009C4C60" w:rsidRDefault="009C4C60" w:rsidP="009C4C60">
      <w:pPr>
        <w:jc w:val="center"/>
        <w:rPr>
          <w:b/>
        </w:rPr>
      </w:pPr>
      <w:r w:rsidRPr="00A84F44">
        <w:rPr>
          <w:b/>
        </w:rPr>
        <w:t>Table (</w:t>
      </w:r>
      <w:r w:rsidR="00AF73CC">
        <w:rPr>
          <w:b/>
        </w:rPr>
        <w:t>2</w:t>
      </w:r>
      <w:r w:rsidRPr="00A84F44">
        <w:rPr>
          <w:b/>
        </w:rPr>
        <w:t>)</w:t>
      </w:r>
      <w:r w:rsidR="006C7420">
        <w:rPr>
          <w:b/>
        </w:rPr>
        <w:t xml:space="preserve">: </w:t>
      </w:r>
      <w:r w:rsidRPr="00A84F44">
        <w:rPr>
          <w:b/>
        </w:rPr>
        <w:t xml:space="preserve">Mean </w:t>
      </w:r>
      <w:r>
        <w:rPr>
          <w:b/>
        </w:rPr>
        <w:t xml:space="preserve">antibiotics </w:t>
      </w:r>
      <w:r w:rsidRPr="00A84F44">
        <w:rPr>
          <w:b/>
        </w:rPr>
        <w:t xml:space="preserve">concentration levels compared to the </w:t>
      </w:r>
      <w:r>
        <w:rPr>
          <w:b/>
        </w:rPr>
        <w:t>WHO</w:t>
      </w:r>
      <w:r w:rsidRPr="00A84F44">
        <w:rPr>
          <w:b/>
        </w:rPr>
        <w:t xml:space="preserve"> Standards </w:t>
      </w:r>
      <w:r w:rsidR="00021FF8">
        <w:rPr>
          <w:b/>
        </w:rPr>
        <w:t>Egyptian</w:t>
      </w:r>
      <w:r w:rsidRPr="00A84F44">
        <w:rPr>
          <w:b/>
        </w:rPr>
        <w:t xml:space="preserve"> and </w:t>
      </w:r>
      <w:r w:rsidR="00021FF8">
        <w:rPr>
          <w:b/>
        </w:rPr>
        <w:t xml:space="preserve">Bahrainis </w:t>
      </w:r>
      <w:r w:rsidRPr="00A84F44">
        <w:rPr>
          <w:b/>
        </w:rPr>
        <w:t>chicken meat</w:t>
      </w:r>
      <w:r>
        <w:rPr>
          <w:b/>
        </w:rPr>
        <w:t xml:space="preserve"> and offal</w:t>
      </w:r>
    </w:p>
    <w:tbl>
      <w:tblPr>
        <w:tblW w:w="13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810"/>
        <w:gridCol w:w="990"/>
        <w:gridCol w:w="805"/>
        <w:gridCol w:w="815"/>
        <w:gridCol w:w="805"/>
        <w:gridCol w:w="815"/>
        <w:gridCol w:w="810"/>
        <w:gridCol w:w="810"/>
        <w:gridCol w:w="810"/>
        <w:gridCol w:w="810"/>
        <w:gridCol w:w="810"/>
        <w:gridCol w:w="810"/>
      </w:tblGrid>
      <w:tr w:rsidR="009C4C60" w:rsidRPr="00A84F44" w:rsidTr="00656299">
        <w:trPr>
          <w:trHeight w:val="422"/>
          <w:jc w:val="center"/>
        </w:trPr>
        <w:tc>
          <w:tcPr>
            <w:tcW w:w="4050" w:type="dxa"/>
            <w:vMerge w:val="restart"/>
            <w:tcBorders>
              <w:top w:val="single" w:sz="4" w:space="0" w:color="000000"/>
              <w:left w:val="single" w:sz="4" w:space="0" w:color="000000"/>
              <w:right w:val="single" w:sz="4" w:space="0" w:color="000000"/>
            </w:tcBorders>
          </w:tcPr>
          <w:p w:rsidR="009C4C60" w:rsidRPr="00A84F44" w:rsidRDefault="009C4C60" w:rsidP="00656299">
            <w:pPr>
              <w:jc w:val="center"/>
              <w:rPr>
                <w:b/>
              </w:rPr>
            </w:pPr>
          </w:p>
          <w:p w:rsidR="009C4C60" w:rsidRPr="00A84F44" w:rsidRDefault="009C4C60" w:rsidP="00656299">
            <w:pPr>
              <w:jc w:val="center"/>
              <w:rPr>
                <w:b/>
              </w:rPr>
            </w:pPr>
            <w:r w:rsidRPr="00A84F44">
              <w:rPr>
                <w:b/>
              </w:rPr>
              <w:t>C</w:t>
            </w:r>
            <w:r>
              <w:rPr>
                <w:b/>
              </w:rPr>
              <w:t>hicken Samples</w:t>
            </w:r>
          </w:p>
        </w:tc>
        <w:tc>
          <w:tcPr>
            <w:tcW w:w="3420" w:type="dxa"/>
            <w:gridSpan w:val="4"/>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Ciprofloxacin</w:t>
            </w:r>
          </w:p>
        </w:tc>
        <w:tc>
          <w:tcPr>
            <w:tcW w:w="3240" w:type="dxa"/>
            <w:gridSpan w:val="4"/>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Sulfadiazine</w:t>
            </w:r>
          </w:p>
        </w:tc>
        <w:tc>
          <w:tcPr>
            <w:tcW w:w="3240" w:type="dxa"/>
            <w:gridSpan w:val="4"/>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rPr>
                <w:b/>
              </w:rPr>
            </w:pPr>
            <w:r w:rsidRPr="00A84F44">
              <w:rPr>
                <w:b/>
              </w:rPr>
              <w:t>17β-Estradiol</w:t>
            </w:r>
          </w:p>
        </w:tc>
      </w:tr>
      <w:tr w:rsidR="009C4C60" w:rsidRPr="00A84F44" w:rsidTr="00656299">
        <w:trPr>
          <w:trHeight w:val="422"/>
          <w:jc w:val="center"/>
        </w:trPr>
        <w:tc>
          <w:tcPr>
            <w:tcW w:w="4050" w:type="dxa"/>
            <w:vMerge/>
            <w:tcBorders>
              <w:left w:val="single" w:sz="4" w:space="0" w:color="000000"/>
              <w:right w:val="single" w:sz="4" w:space="0" w:color="000000"/>
            </w:tcBorders>
          </w:tcPr>
          <w:p w:rsidR="009C4C60" w:rsidRPr="00A84F44" w:rsidRDefault="009C4C60" w:rsidP="00656299">
            <w:pPr>
              <w:jc w:val="center"/>
              <w:rPr>
                <w:b/>
              </w:rPr>
            </w:pPr>
          </w:p>
        </w:tc>
        <w:tc>
          <w:tcPr>
            <w:tcW w:w="1800" w:type="dxa"/>
            <w:gridSpan w:val="2"/>
            <w:tcBorders>
              <w:top w:val="single" w:sz="4" w:space="0" w:color="000000"/>
              <w:left w:val="single" w:sz="4" w:space="0" w:color="000000"/>
              <w:bottom w:val="single" w:sz="4" w:space="0" w:color="000000"/>
              <w:right w:val="single" w:sz="4" w:space="0" w:color="000000"/>
            </w:tcBorders>
          </w:tcPr>
          <w:p w:rsidR="009C4C60" w:rsidRDefault="009C4C60" w:rsidP="00656299">
            <w:pPr>
              <w:jc w:val="center"/>
              <w:rPr>
                <w:b/>
              </w:rPr>
            </w:pPr>
            <w:r w:rsidRPr="00A84F44">
              <w:rPr>
                <w:b/>
              </w:rPr>
              <w:t>chicken meat</w:t>
            </w:r>
          </w:p>
          <w:p w:rsidR="009C4C60" w:rsidRPr="00A84F44" w:rsidRDefault="009C4C60" w:rsidP="00656299">
            <w:pPr>
              <w:jc w:val="center"/>
              <w:rPr>
                <w:b/>
              </w:rPr>
            </w:pPr>
            <w:r w:rsidRPr="00A84F44">
              <w:rPr>
                <w:b/>
              </w:rPr>
              <w:t>(0.1 µg/g)</w:t>
            </w:r>
          </w:p>
        </w:tc>
        <w:tc>
          <w:tcPr>
            <w:tcW w:w="1620" w:type="dxa"/>
            <w:gridSpan w:val="2"/>
            <w:tcBorders>
              <w:top w:val="single" w:sz="4" w:space="0" w:color="000000"/>
              <w:left w:val="single" w:sz="4" w:space="0" w:color="000000"/>
              <w:bottom w:val="single" w:sz="4" w:space="0" w:color="000000"/>
              <w:right w:val="single" w:sz="4" w:space="0" w:color="000000"/>
            </w:tcBorders>
          </w:tcPr>
          <w:p w:rsidR="009C4C60" w:rsidRDefault="009C4C60" w:rsidP="00656299">
            <w:pPr>
              <w:jc w:val="center"/>
              <w:rPr>
                <w:b/>
              </w:rPr>
            </w:pPr>
            <w:r w:rsidRPr="00A84F44">
              <w:rPr>
                <w:b/>
              </w:rPr>
              <w:t xml:space="preserve">chicken </w:t>
            </w:r>
            <w:r>
              <w:rPr>
                <w:b/>
              </w:rPr>
              <w:t>offal</w:t>
            </w:r>
          </w:p>
          <w:p w:rsidR="009C4C60" w:rsidRPr="00A84F44" w:rsidRDefault="009C4C60" w:rsidP="00656299">
            <w:pPr>
              <w:jc w:val="center"/>
              <w:rPr>
                <w:b/>
              </w:rPr>
            </w:pPr>
            <w:r w:rsidRPr="00A84F44">
              <w:rPr>
                <w:b/>
              </w:rPr>
              <w:t>(0.5 µg/g)</w:t>
            </w:r>
          </w:p>
        </w:tc>
        <w:tc>
          <w:tcPr>
            <w:tcW w:w="1620" w:type="dxa"/>
            <w:gridSpan w:val="2"/>
            <w:tcBorders>
              <w:top w:val="single" w:sz="4" w:space="0" w:color="000000"/>
              <w:left w:val="single" w:sz="4" w:space="0" w:color="000000"/>
              <w:bottom w:val="single" w:sz="4" w:space="0" w:color="000000"/>
              <w:right w:val="single" w:sz="4" w:space="0" w:color="000000"/>
            </w:tcBorders>
          </w:tcPr>
          <w:p w:rsidR="009C4C60" w:rsidRDefault="009C4C60" w:rsidP="00656299">
            <w:pPr>
              <w:jc w:val="center"/>
              <w:rPr>
                <w:b/>
              </w:rPr>
            </w:pPr>
            <w:r w:rsidRPr="00A84F44">
              <w:rPr>
                <w:b/>
              </w:rPr>
              <w:t>chicken meat</w:t>
            </w:r>
          </w:p>
          <w:p w:rsidR="009C4C60" w:rsidRPr="00A84F44" w:rsidRDefault="009C4C60" w:rsidP="00656299">
            <w:pPr>
              <w:jc w:val="center"/>
              <w:rPr>
                <w:b/>
              </w:rPr>
            </w:pPr>
            <w:r w:rsidRPr="00A84F44">
              <w:rPr>
                <w:b/>
              </w:rPr>
              <w:t>(0.1 µg/g)</w:t>
            </w:r>
          </w:p>
        </w:tc>
        <w:tc>
          <w:tcPr>
            <w:tcW w:w="1620" w:type="dxa"/>
            <w:gridSpan w:val="2"/>
            <w:tcBorders>
              <w:top w:val="single" w:sz="4" w:space="0" w:color="000000"/>
              <w:left w:val="single" w:sz="4" w:space="0" w:color="000000"/>
              <w:bottom w:val="single" w:sz="4" w:space="0" w:color="000000"/>
              <w:right w:val="single" w:sz="4" w:space="0" w:color="000000"/>
            </w:tcBorders>
          </w:tcPr>
          <w:p w:rsidR="009C4C60" w:rsidRDefault="009C4C60" w:rsidP="00656299">
            <w:pPr>
              <w:jc w:val="center"/>
              <w:rPr>
                <w:b/>
              </w:rPr>
            </w:pPr>
            <w:r w:rsidRPr="00A84F44">
              <w:rPr>
                <w:b/>
              </w:rPr>
              <w:t xml:space="preserve">chicken </w:t>
            </w:r>
            <w:r>
              <w:rPr>
                <w:b/>
              </w:rPr>
              <w:t>offal</w:t>
            </w:r>
          </w:p>
          <w:p w:rsidR="009C4C60" w:rsidRPr="00A84F44" w:rsidRDefault="009C4C60" w:rsidP="00656299">
            <w:pPr>
              <w:jc w:val="center"/>
              <w:rPr>
                <w:b/>
              </w:rPr>
            </w:pPr>
            <w:r w:rsidRPr="00A84F44">
              <w:rPr>
                <w:b/>
              </w:rPr>
              <w:t>(0.5 µg/g)</w:t>
            </w:r>
          </w:p>
        </w:tc>
        <w:tc>
          <w:tcPr>
            <w:tcW w:w="1620" w:type="dxa"/>
            <w:gridSpan w:val="2"/>
            <w:tcBorders>
              <w:top w:val="single" w:sz="4" w:space="0" w:color="000000"/>
              <w:left w:val="single" w:sz="4" w:space="0" w:color="000000"/>
              <w:bottom w:val="single" w:sz="4" w:space="0" w:color="000000"/>
              <w:right w:val="single" w:sz="4" w:space="0" w:color="000000"/>
            </w:tcBorders>
          </w:tcPr>
          <w:p w:rsidR="009C4C60" w:rsidRDefault="009C4C60" w:rsidP="00656299">
            <w:pPr>
              <w:jc w:val="center"/>
              <w:rPr>
                <w:b/>
              </w:rPr>
            </w:pPr>
            <w:r w:rsidRPr="00A84F44">
              <w:rPr>
                <w:b/>
              </w:rPr>
              <w:t>chicken meat</w:t>
            </w:r>
          </w:p>
          <w:p w:rsidR="009C4C60" w:rsidRPr="00A84F44" w:rsidRDefault="009C4C60" w:rsidP="00656299">
            <w:pPr>
              <w:jc w:val="center"/>
              <w:rPr>
                <w:b/>
              </w:rPr>
            </w:pPr>
            <w:r w:rsidRPr="00A84F44">
              <w:rPr>
                <w:b/>
              </w:rPr>
              <w:t>(</w:t>
            </w:r>
            <w:r>
              <w:rPr>
                <w:b/>
              </w:rPr>
              <w:t>2</w:t>
            </w:r>
            <w:r w:rsidRPr="00A84F44">
              <w:rPr>
                <w:b/>
              </w:rPr>
              <w:t>.</w:t>
            </w:r>
            <w:r>
              <w:rPr>
                <w:b/>
              </w:rPr>
              <w:t>0</w:t>
            </w:r>
            <w:r w:rsidRPr="00A84F44">
              <w:rPr>
                <w:b/>
              </w:rPr>
              <w:t xml:space="preserve"> µg/g)</w:t>
            </w:r>
          </w:p>
        </w:tc>
        <w:tc>
          <w:tcPr>
            <w:tcW w:w="1620" w:type="dxa"/>
            <w:gridSpan w:val="2"/>
            <w:tcBorders>
              <w:top w:val="single" w:sz="4" w:space="0" w:color="000000"/>
              <w:left w:val="single" w:sz="4" w:space="0" w:color="000000"/>
              <w:bottom w:val="single" w:sz="4" w:space="0" w:color="000000"/>
              <w:right w:val="single" w:sz="4" w:space="0" w:color="000000"/>
            </w:tcBorders>
          </w:tcPr>
          <w:p w:rsidR="009C4C60" w:rsidRDefault="009C4C60" w:rsidP="00656299">
            <w:pPr>
              <w:jc w:val="center"/>
              <w:rPr>
                <w:b/>
              </w:rPr>
            </w:pPr>
            <w:r w:rsidRPr="00A84F44">
              <w:rPr>
                <w:b/>
              </w:rPr>
              <w:t xml:space="preserve">chicken </w:t>
            </w:r>
            <w:r>
              <w:rPr>
                <w:b/>
              </w:rPr>
              <w:t>offal</w:t>
            </w:r>
          </w:p>
          <w:p w:rsidR="009C4C60" w:rsidRPr="00A84F44" w:rsidRDefault="009C4C60" w:rsidP="00656299">
            <w:pPr>
              <w:jc w:val="center"/>
              <w:rPr>
                <w:b/>
              </w:rPr>
            </w:pPr>
            <w:r w:rsidRPr="00A84F44">
              <w:rPr>
                <w:b/>
              </w:rPr>
              <w:t>(</w:t>
            </w:r>
            <w:r>
              <w:rPr>
                <w:b/>
              </w:rPr>
              <w:t>2.0</w:t>
            </w:r>
            <w:r w:rsidRPr="00A84F44">
              <w:rPr>
                <w:b/>
              </w:rPr>
              <w:t xml:space="preserve"> µg/g)</w:t>
            </w:r>
          </w:p>
        </w:tc>
      </w:tr>
      <w:tr w:rsidR="00A82913" w:rsidRPr="00A84F44" w:rsidTr="00656299">
        <w:trPr>
          <w:cantSplit/>
          <w:trHeight w:val="1313"/>
          <w:jc w:val="center"/>
        </w:trPr>
        <w:tc>
          <w:tcPr>
            <w:tcW w:w="4050" w:type="dxa"/>
            <w:vMerge/>
            <w:tcBorders>
              <w:left w:val="single" w:sz="4" w:space="0" w:color="000000"/>
              <w:bottom w:val="single" w:sz="4" w:space="0" w:color="000000"/>
              <w:right w:val="single" w:sz="4" w:space="0" w:color="000000"/>
            </w:tcBorders>
          </w:tcPr>
          <w:p w:rsidR="00A82913" w:rsidRPr="00A84F44" w:rsidRDefault="00A82913" w:rsidP="00A82913">
            <w:pPr>
              <w:widowControl w:val="0"/>
              <w:pBdr>
                <w:top w:val="nil"/>
                <w:left w:val="nil"/>
                <w:bottom w:val="nil"/>
                <w:right w:val="nil"/>
                <w:between w:val="nil"/>
              </w:pBdr>
              <w:rPr>
                <w:b/>
              </w:rPr>
            </w:pPr>
          </w:p>
        </w:tc>
        <w:tc>
          <w:tcPr>
            <w:tcW w:w="810" w:type="dxa"/>
            <w:tcBorders>
              <w:top w:val="single" w:sz="4" w:space="0" w:color="000000"/>
              <w:left w:val="single" w:sz="4" w:space="0" w:color="000000"/>
              <w:bottom w:val="single" w:sz="4" w:space="0" w:color="000000"/>
              <w:right w:val="single" w:sz="4" w:space="0" w:color="000000"/>
            </w:tcBorders>
            <w:textDirection w:val="btLr"/>
          </w:tcPr>
          <w:p w:rsidR="00A82913" w:rsidRPr="00A84F44" w:rsidRDefault="00A82913" w:rsidP="00A82913">
            <w:pPr>
              <w:ind w:left="113" w:right="113"/>
              <w:jc w:val="center"/>
              <w:rPr>
                <w:b/>
              </w:rPr>
            </w:pPr>
            <w:r>
              <w:rPr>
                <w:b/>
              </w:rPr>
              <w:t>Egyptian</w:t>
            </w:r>
          </w:p>
        </w:tc>
        <w:tc>
          <w:tcPr>
            <w:tcW w:w="990" w:type="dxa"/>
            <w:tcBorders>
              <w:top w:val="single" w:sz="4" w:space="0" w:color="000000"/>
              <w:left w:val="single" w:sz="4" w:space="0" w:color="000000"/>
              <w:bottom w:val="single" w:sz="4" w:space="0" w:color="000000"/>
              <w:right w:val="single" w:sz="4" w:space="0" w:color="000000"/>
            </w:tcBorders>
            <w:textDirection w:val="btLr"/>
          </w:tcPr>
          <w:p w:rsidR="00A82913" w:rsidRPr="00A84F44" w:rsidRDefault="00A82913" w:rsidP="00A82913">
            <w:pPr>
              <w:ind w:left="113" w:right="113"/>
              <w:jc w:val="center"/>
              <w:rPr>
                <w:b/>
              </w:rPr>
            </w:pPr>
            <w:r>
              <w:rPr>
                <w:b/>
              </w:rPr>
              <w:t xml:space="preserve">Bahrainis </w:t>
            </w:r>
          </w:p>
        </w:tc>
        <w:tc>
          <w:tcPr>
            <w:tcW w:w="805" w:type="dxa"/>
            <w:tcBorders>
              <w:top w:val="single" w:sz="4" w:space="0" w:color="000000"/>
              <w:left w:val="single" w:sz="4" w:space="0" w:color="000000"/>
              <w:bottom w:val="single" w:sz="4" w:space="0" w:color="000000"/>
              <w:right w:val="single" w:sz="4" w:space="0" w:color="000000"/>
            </w:tcBorders>
            <w:textDirection w:val="btLr"/>
          </w:tcPr>
          <w:p w:rsidR="00A82913" w:rsidRPr="00A84F44" w:rsidRDefault="00A82913" w:rsidP="00A82913">
            <w:pPr>
              <w:ind w:left="113" w:right="113"/>
              <w:jc w:val="center"/>
              <w:rPr>
                <w:b/>
              </w:rPr>
            </w:pPr>
            <w:r>
              <w:rPr>
                <w:b/>
              </w:rPr>
              <w:t>Egyptian</w:t>
            </w:r>
          </w:p>
        </w:tc>
        <w:tc>
          <w:tcPr>
            <w:tcW w:w="815" w:type="dxa"/>
            <w:tcBorders>
              <w:top w:val="single" w:sz="4" w:space="0" w:color="000000"/>
              <w:left w:val="single" w:sz="4" w:space="0" w:color="000000"/>
              <w:bottom w:val="single" w:sz="4" w:space="0" w:color="000000"/>
              <w:right w:val="single" w:sz="4" w:space="0" w:color="000000"/>
            </w:tcBorders>
            <w:textDirection w:val="btLr"/>
          </w:tcPr>
          <w:p w:rsidR="00A82913" w:rsidRPr="00A84F44" w:rsidRDefault="00A82913" w:rsidP="00A82913">
            <w:pPr>
              <w:ind w:left="113" w:right="113"/>
              <w:jc w:val="center"/>
              <w:rPr>
                <w:b/>
              </w:rPr>
            </w:pPr>
            <w:r>
              <w:rPr>
                <w:b/>
              </w:rPr>
              <w:t xml:space="preserve">Bahrainis </w:t>
            </w:r>
          </w:p>
        </w:tc>
        <w:tc>
          <w:tcPr>
            <w:tcW w:w="805" w:type="dxa"/>
            <w:tcBorders>
              <w:top w:val="single" w:sz="4" w:space="0" w:color="000000"/>
              <w:left w:val="single" w:sz="4" w:space="0" w:color="000000"/>
              <w:bottom w:val="single" w:sz="4" w:space="0" w:color="000000"/>
              <w:right w:val="single" w:sz="4" w:space="0" w:color="000000"/>
            </w:tcBorders>
            <w:textDirection w:val="btLr"/>
          </w:tcPr>
          <w:p w:rsidR="00A82913" w:rsidRPr="00A84F44" w:rsidRDefault="00A82913" w:rsidP="00A82913">
            <w:pPr>
              <w:ind w:left="113" w:right="113"/>
              <w:jc w:val="center"/>
              <w:rPr>
                <w:b/>
              </w:rPr>
            </w:pPr>
            <w:r>
              <w:rPr>
                <w:b/>
              </w:rPr>
              <w:t>Egyptian</w:t>
            </w:r>
          </w:p>
        </w:tc>
        <w:tc>
          <w:tcPr>
            <w:tcW w:w="815" w:type="dxa"/>
            <w:tcBorders>
              <w:top w:val="single" w:sz="4" w:space="0" w:color="000000"/>
              <w:left w:val="single" w:sz="4" w:space="0" w:color="000000"/>
              <w:bottom w:val="single" w:sz="4" w:space="0" w:color="000000"/>
              <w:right w:val="single" w:sz="4" w:space="0" w:color="000000"/>
            </w:tcBorders>
            <w:textDirection w:val="btLr"/>
          </w:tcPr>
          <w:p w:rsidR="00A82913" w:rsidRPr="00A84F44" w:rsidRDefault="00A82913" w:rsidP="00A82913">
            <w:pPr>
              <w:ind w:left="113" w:right="113"/>
              <w:jc w:val="center"/>
              <w:rPr>
                <w:b/>
              </w:rPr>
            </w:pPr>
            <w:r>
              <w:rPr>
                <w:b/>
              </w:rPr>
              <w:t xml:space="preserve">Bahrainis </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A82913" w:rsidRPr="00A84F44" w:rsidRDefault="00A82913" w:rsidP="00A82913">
            <w:pPr>
              <w:ind w:left="113" w:right="113"/>
              <w:jc w:val="center"/>
              <w:rPr>
                <w:b/>
              </w:rPr>
            </w:pPr>
            <w:r>
              <w:rPr>
                <w:b/>
              </w:rPr>
              <w:t>Egyptian</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A82913" w:rsidRPr="00A84F44" w:rsidRDefault="00A82913" w:rsidP="00A82913">
            <w:pPr>
              <w:ind w:left="113" w:right="113"/>
              <w:jc w:val="center"/>
              <w:rPr>
                <w:b/>
              </w:rPr>
            </w:pPr>
            <w:r>
              <w:rPr>
                <w:b/>
              </w:rPr>
              <w:t xml:space="preserve">Bahrainis </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A82913" w:rsidRPr="00A84F44" w:rsidRDefault="00A82913" w:rsidP="00A82913">
            <w:pPr>
              <w:ind w:left="113" w:right="113"/>
              <w:jc w:val="center"/>
              <w:rPr>
                <w:b/>
              </w:rPr>
            </w:pPr>
            <w:r>
              <w:rPr>
                <w:b/>
              </w:rPr>
              <w:t>Egyptian</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A82913" w:rsidRPr="00A84F44" w:rsidRDefault="00A82913" w:rsidP="00A82913">
            <w:pPr>
              <w:ind w:left="113" w:right="113"/>
              <w:jc w:val="center"/>
              <w:rPr>
                <w:b/>
              </w:rPr>
            </w:pPr>
            <w:r>
              <w:rPr>
                <w:b/>
              </w:rPr>
              <w:t xml:space="preserve">Bahrainis </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A82913" w:rsidRPr="00A84F44" w:rsidRDefault="00A82913" w:rsidP="00A82913">
            <w:pPr>
              <w:ind w:left="113" w:right="113"/>
              <w:jc w:val="center"/>
              <w:rPr>
                <w:b/>
              </w:rPr>
            </w:pPr>
            <w:r>
              <w:rPr>
                <w:b/>
              </w:rPr>
              <w:t>Egyptian</w:t>
            </w:r>
          </w:p>
        </w:tc>
        <w:tc>
          <w:tcPr>
            <w:tcW w:w="810" w:type="dxa"/>
            <w:tcBorders>
              <w:top w:val="single" w:sz="4" w:space="0" w:color="000000"/>
              <w:left w:val="single" w:sz="4" w:space="0" w:color="000000"/>
              <w:bottom w:val="single" w:sz="4" w:space="0" w:color="000000"/>
              <w:right w:val="single" w:sz="4" w:space="0" w:color="000000"/>
            </w:tcBorders>
            <w:textDirection w:val="btLr"/>
          </w:tcPr>
          <w:p w:rsidR="00A82913" w:rsidRPr="00A84F44" w:rsidRDefault="00A82913" w:rsidP="00A82913">
            <w:pPr>
              <w:ind w:left="113" w:right="113"/>
              <w:jc w:val="center"/>
              <w:rPr>
                <w:b/>
              </w:rPr>
            </w:pPr>
            <w:r>
              <w:rPr>
                <w:b/>
              </w:rPr>
              <w:t xml:space="preserve">Bahrainis </w:t>
            </w:r>
          </w:p>
        </w:tc>
      </w:tr>
      <w:tr w:rsidR="009C4C60" w:rsidRPr="00A84F44" w:rsidTr="00656299">
        <w:trPr>
          <w:trHeight w:val="354"/>
          <w:jc w:val="center"/>
        </w:trPr>
        <w:tc>
          <w:tcPr>
            <w:tcW w:w="405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rPr>
                <w:b/>
              </w:rPr>
            </w:pPr>
            <w:r w:rsidRPr="00A84F44">
              <w:rPr>
                <w:b/>
              </w:rPr>
              <w:t xml:space="preserve">Within the </w:t>
            </w:r>
            <w:r>
              <w:rPr>
                <w:b/>
              </w:rPr>
              <w:t>International</w:t>
            </w:r>
            <w:r w:rsidRPr="00A84F44">
              <w:rPr>
                <w:b/>
              </w:rPr>
              <w:t xml:space="preserve"> Standard</w:t>
            </w:r>
            <w:r>
              <w:rPr>
                <w:b/>
              </w:rPr>
              <w:t>s</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90%</w:t>
            </w:r>
          </w:p>
        </w:tc>
        <w:tc>
          <w:tcPr>
            <w:tcW w:w="99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80%</w:t>
            </w:r>
          </w:p>
        </w:tc>
        <w:tc>
          <w:tcPr>
            <w:tcW w:w="80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90%</w:t>
            </w:r>
          </w:p>
        </w:tc>
        <w:tc>
          <w:tcPr>
            <w:tcW w:w="81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80%</w:t>
            </w:r>
          </w:p>
        </w:tc>
        <w:tc>
          <w:tcPr>
            <w:tcW w:w="80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90%</w:t>
            </w:r>
          </w:p>
        </w:tc>
        <w:tc>
          <w:tcPr>
            <w:tcW w:w="81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80%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90%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80%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100%</w:t>
            </w:r>
          </w:p>
        </w:tc>
      </w:tr>
      <w:tr w:rsidR="009C4C60" w:rsidRPr="00A84F44" w:rsidTr="00656299">
        <w:trPr>
          <w:trHeight w:val="395"/>
          <w:jc w:val="center"/>
        </w:trPr>
        <w:tc>
          <w:tcPr>
            <w:tcW w:w="405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rPr>
                <w:b/>
              </w:rPr>
            </w:pPr>
            <w:r w:rsidRPr="00A84F44">
              <w:rPr>
                <w:b/>
              </w:rPr>
              <w:t xml:space="preserve">Exceed the </w:t>
            </w:r>
            <w:r>
              <w:rPr>
                <w:b/>
              </w:rPr>
              <w:t>International</w:t>
            </w:r>
            <w:r w:rsidRPr="00A84F44">
              <w:rPr>
                <w:b/>
              </w:rPr>
              <w:t xml:space="preserve"> Standard</w:t>
            </w:r>
            <w:r>
              <w:rPr>
                <w:b/>
              </w:rPr>
              <w:t>s</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w:t>
            </w:r>
          </w:p>
        </w:tc>
        <w:tc>
          <w:tcPr>
            <w:tcW w:w="99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20%</w:t>
            </w:r>
          </w:p>
        </w:tc>
        <w:tc>
          <w:tcPr>
            <w:tcW w:w="80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w:t>
            </w:r>
          </w:p>
        </w:tc>
        <w:tc>
          <w:tcPr>
            <w:tcW w:w="81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20%</w:t>
            </w:r>
          </w:p>
        </w:tc>
        <w:tc>
          <w:tcPr>
            <w:tcW w:w="80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w:t>
            </w:r>
          </w:p>
        </w:tc>
        <w:tc>
          <w:tcPr>
            <w:tcW w:w="81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20%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20%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t>0</w:t>
            </w:r>
            <w:r w:rsidRPr="00A84F44">
              <w:t>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0</w:t>
            </w:r>
            <w:r>
              <w:t>0</w:t>
            </w:r>
            <w:r w:rsidRPr="00A84F44">
              <w:t>%</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t>0</w:t>
            </w:r>
            <w:r w:rsidRPr="00A84F44">
              <w:t>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0</w:t>
            </w:r>
            <w:r>
              <w:t>0</w:t>
            </w:r>
            <w:r w:rsidRPr="00A84F44">
              <w:t>%</w:t>
            </w:r>
          </w:p>
        </w:tc>
      </w:tr>
      <w:tr w:rsidR="009C4C60" w:rsidRPr="00A84F44" w:rsidTr="00656299">
        <w:trPr>
          <w:trHeight w:val="341"/>
          <w:jc w:val="center"/>
        </w:trPr>
        <w:tc>
          <w:tcPr>
            <w:tcW w:w="405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rPr>
                <w:b/>
              </w:rPr>
            </w:pPr>
            <w:r w:rsidRPr="00A84F44">
              <w:rPr>
                <w:b/>
              </w:rPr>
              <w:t xml:space="preserve">Within the </w:t>
            </w:r>
            <w:r>
              <w:rPr>
                <w:b/>
              </w:rPr>
              <w:t>Egyptian</w:t>
            </w:r>
            <w:r w:rsidRPr="00A84F44">
              <w:rPr>
                <w:b/>
              </w:rPr>
              <w:t xml:space="preserve"> Standard</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90%</w:t>
            </w:r>
          </w:p>
        </w:tc>
        <w:tc>
          <w:tcPr>
            <w:tcW w:w="99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80%</w:t>
            </w:r>
          </w:p>
        </w:tc>
        <w:tc>
          <w:tcPr>
            <w:tcW w:w="80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90%</w:t>
            </w:r>
          </w:p>
        </w:tc>
        <w:tc>
          <w:tcPr>
            <w:tcW w:w="81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80%</w:t>
            </w:r>
          </w:p>
        </w:tc>
        <w:tc>
          <w:tcPr>
            <w:tcW w:w="80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90%</w:t>
            </w:r>
          </w:p>
        </w:tc>
        <w:tc>
          <w:tcPr>
            <w:tcW w:w="81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80%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90%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80%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100%</w:t>
            </w:r>
          </w:p>
        </w:tc>
      </w:tr>
      <w:tr w:rsidR="009C4C60" w:rsidRPr="00A84F44" w:rsidTr="00656299">
        <w:trPr>
          <w:trHeight w:val="359"/>
          <w:jc w:val="center"/>
        </w:trPr>
        <w:tc>
          <w:tcPr>
            <w:tcW w:w="405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rPr>
                <w:b/>
              </w:rPr>
            </w:pPr>
            <w:r w:rsidRPr="00A84F44">
              <w:rPr>
                <w:b/>
              </w:rPr>
              <w:t xml:space="preserve">Exceed the </w:t>
            </w:r>
            <w:r>
              <w:rPr>
                <w:b/>
              </w:rPr>
              <w:t>Egyptian</w:t>
            </w:r>
            <w:r w:rsidRPr="00A84F44">
              <w:rPr>
                <w:b/>
              </w:rPr>
              <w:t xml:space="preserve"> Standard</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w:t>
            </w:r>
          </w:p>
        </w:tc>
        <w:tc>
          <w:tcPr>
            <w:tcW w:w="99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20%</w:t>
            </w:r>
          </w:p>
        </w:tc>
        <w:tc>
          <w:tcPr>
            <w:tcW w:w="80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w:t>
            </w:r>
          </w:p>
        </w:tc>
        <w:tc>
          <w:tcPr>
            <w:tcW w:w="81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20%</w:t>
            </w:r>
          </w:p>
        </w:tc>
        <w:tc>
          <w:tcPr>
            <w:tcW w:w="80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w:t>
            </w:r>
          </w:p>
        </w:tc>
        <w:tc>
          <w:tcPr>
            <w:tcW w:w="815"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20%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10%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20%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0</w:t>
            </w:r>
            <w:r>
              <w:t>0</w:t>
            </w:r>
            <w:r w:rsidRPr="00A84F44">
              <w:t>%</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t>0</w:t>
            </w:r>
            <w:r w:rsidRPr="00A84F44">
              <w:t>0%</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rsidRPr="00A84F44">
              <w:t>0</w:t>
            </w:r>
            <w:r>
              <w:t>0</w:t>
            </w:r>
            <w:r w:rsidRPr="00A84F44">
              <w:t>%</w:t>
            </w:r>
          </w:p>
        </w:tc>
        <w:tc>
          <w:tcPr>
            <w:tcW w:w="810" w:type="dxa"/>
            <w:tcBorders>
              <w:top w:val="single" w:sz="4" w:space="0" w:color="000000"/>
              <w:left w:val="single" w:sz="4" w:space="0" w:color="000000"/>
              <w:bottom w:val="single" w:sz="4" w:space="0" w:color="000000"/>
              <w:right w:val="single" w:sz="4" w:space="0" w:color="000000"/>
            </w:tcBorders>
          </w:tcPr>
          <w:p w:rsidR="009C4C60" w:rsidRPr="00A84F44" w:rsidRDefault="009C4C60" w:rsidP="00656299">
            <w:pPr>
              <w:jc w:val="center"/>
            </w:pPr>
            <w:r>
              <w:t>0</w:t>
            </w:r>
            <w:r w:rsidRPr="00A84F44">
              <w:t>0%</w:t>
            </w:r>
          </w:p>
        </w:tc>
      </w:tr>
      <w:tr w:rsidR="00021FF8" w:rsidRPr="00A84F44" w:rsidTr="00656299">
        <w:trPr>
          <w:trHeight w:val="359"/>
          <w:jc w:val="center"/>
        </w:trPr>
        <w:tc>
          <w:tcPr>
            <w:tcW w:w="4050" w:type="dxa"/>
            <w:tcBorders>
              <w:top w:val="single" w:sz="4" w:space="0" w:color="000000"/>
              <w:left w:val="single" w:sz="4" w:space="0" w:color="000000"/>
              <w:bottom w:val="single" w:sz="4" w:space="0" w:color="000000"/>
              <w:right w:val="single" w:sz="4" w:space="0" w:color="000000"/>
            </w:tcBorders>
          </w:tcPr>
          <w:p w:rsidR="00021FF8" w:rsidRPr="00A84F44" w:rsidRDefault="00021FF8" w:rsidP="00021FF8">
            <w:pPr>
              <w:rPr>
                <w:b/>
              </w:rPr>
            </w:pPr>
            <w:r w:rsidRPr="00A84F44">
              <w:rPr>
                <w:b/>
              </w:rPr>
              <w:t>Total</w:t>
            </w:r>
          </w:p>
        </w:tc>
        <w:tc>
          <w:tcPr>
            <w:tcW w:w="810" w:type="dxa"/>
            <w:tcBorders>
              <w:top w:val="single" w:sz="4" w:space="0" w:color="000000"/>
              <w:left w:val="single" w:sz="4" w:space="0" w:color="000000"/>
              <w:bottom w:val="single" w:sz="4" w:space="0" w:color="000000"/>
              <w:right w:val="single" w:sz="4" w:space="0" w:color="000000"/>
            </w:tcBorders>
          </w:tcPr>
          <w:p w:rsidR="00021FF8" w:rsidRPr="00A84F44" w:rsidRDefault="00021FF8" w:rsidP="00021FF8">
            <w:pPr>
              <w:jc w:val="center"/>
            </w:pPr>
            <w:r w:rsidRPr="00A84F44">
              <w:t>100%</w:t>
            </w:r>
          </w:p>
        </w:tc>
        <w:tc>
          <w:tcPr>
            <w:tcW w:w="990" w:type="dxa"/>
            <w:tcBorders>
              <w:top w:val="single" w:sz="4" w:space="0" w:color="000000"/>
              <w:left w:val="single" w:sz="4" w:space="0" w:color="000000"/>
              <w:bottom w:val="single" w:sz="4" w:space="0" w:color="000000"/>
              <w:right w:val="single" w:sz="4" w:space="0" w:color="000000"/>
            </w:tcBorders>
          </w:tcPr>
          <w:p w:rsidR="00021FF8" w:rsidRPr="00A84F44" w:rsidRDefault="00021FF8" w:rsidP="00021FF8">
            <w:pPr>
              <w:jc w:val="center"/>
            </w:pPr>
            <w:r w:rsidRPr="00A84F44">
              <w:t>100%</w:t>
            </w:r>
          </w:p>
        </w:tc>
        <w:tc>
          <w:tcPr>
            <w:tcW w:w="805" w:type="dxa"/>
            <w:tcBorders>
              <w:top w:val="single" w:sz="4" w:space="0" w:color="000000"/>
              <w:left w:val="single" w:sz="4" w:space="0" w:color="000000"/>
              <w:bottom w:val="single" w:sz="4" w:space="0" w:color="000000"/>
              <w:right w:val="single" w:sz="4" w:space="0" w:color="000000"/>
            </w:tcBorders>
          </w:tcPr>
          <w:p w:rsidR="00021FF8" w:rsidRPr="00A84F44" w:rsidRDefault="00021FF8" w:rsidP="00021FF8">
            <w:pPr>
              <w:jc w:val="center"/>
            </w:pPr>
            <w:r w:rsidRPr="00A84F44">
              <w:t>100%</w:t>
            </w:r>
          </w:p>
        </w:tc>
        <w:tc>
          <w:tcPr>
            <w:tcW w:w="815" w:type="dxa"/>
            <w:tcBorders>
              <w:top w:val="single" w:sz="4" w:space="0" w:color="000000"/>
              <w:left w:val="single" w:sz="4" w:space="0" w:color="000000"/>
              <w:bottom w:val="single" w:sz="4" w:space="0" w:color="000000"/>
              <w:right w:val="single" w:sz="4" w:space="0" w:color="000000"/>
            </w:tcBorders>
          </w:tcPr>
          <w:p w:rsidR="00021FF8" w:rsidRPr="00A84F44" w:rsidRDefault="00021FF8" w:rsidP="00021FF8">
            <w:pPr>
              <w:jc w:val="center"/>
            </w:pPr>
            <w:r w:rsidRPr="00A84F44">
              <w:t>100%</w:t>
            </w:r>
          </w:p>
        </w:tc>
        <w:tc>
          <w:tcPr>
            <w:tcW w:w="805" w:type="dxa"/>
            <w:tcBorders>
              <w:top w:val="single" w:sz="4" w:space="0" w:color="000000"/>
              <w:left w:val="single" w:sz="4" w:space="0" w:color="000000"/>
              <w:bottom w:val="single" w:sz="4" w:space="0" w:color="000000"/>
              <w:right w:val="single" w:sz="4" w:space="0" w:color="000000"/>
            </w:tcBorders>
          </w:tcPr>
          <w:p w:rsidR="00021FF8" w:rsidRPr="00A84F44" w:rsidRDefault="00021FF8" w:rsidP="00021FF8">
            <w:pPr>
              <w:jc w:val="center"/>
            </w:pPr>
            <w:r w:rsidRPr="00A84F44">
              <w:t>100%</w:t>
            </w:r>
          </w:p>
        </w:tc>
        <w:tc>
          <w:tcPr>
            <w:tcW w:w="815" w:type="dxa"/>
            <w:tcBorders>
              <w:top w:val="single" w:sz="4" w:space="0" w:color="000000"/>
              <w:left w:val="single" w:sz="4" w:space="0" w:color="000000"/>
              <w:bottom w:val="single" w:sz="4" w:space="0" w:color="000000"/>
              <w:right w:val="single" w:sz="4" w:space="0" w:color="000000"/>
            </w:tcBorders>
          </w:tcPr>
          <w:p w:rsidR="00021FF8" w:rsidRPr="00A84F44" w:rsidRDefault="00021FF8" w:rsidP="00021FF8">
            <w:pPr>
              <w:jc w:val="center"/>
            </w:pPr>
            <w:r w:rsidRPr="00A84F44">
              <w:t>100%</w:t>
            </w:r>
          </w:p>
        </w:tc>
        <w:tc>
          <w:tcPr>
            <w:tcW w:w="810" w:type="dxa"/>
            <w:tcBorders>
              <w:top w:val="single" w:sz="4" w:space="0" w:color="000000"/>
              <w:left w:val="single" w:sz="4" w:space="0" w:color="000000"/>
              <w:bottom w:val="single" w:sz="4" w:space="0" w:color="000000"/>
              <w:right w:val="single" w:sz="4" w:space="0" w:color="000000"/>
            </w:tcBorders>
          </w:tcPr>
          <w:p w:rsidR="00021FF8" w:rsidRPr="00A84F44" w:rsidRDefault="00021FF8" w:rsidP="00021FF8">
            <w:pPr>
              <w:jc w:val="center"/>
            </w:pPr>
            <w:r w:rsidRPr="00A84F44">
              <w:t>100%</w:t>
            </w:r>
          </w:p>
        </w:tc>
        <w:tc>
          <w:tcPr>
            <w:tcW w:w="810" w:type="dxa"/>
            <w:tcBorders>
              <w:top w:val="single" w:sz="4" w:space="0" w:color="000000"/>
              <w:left w:val="single" w:sz="4" w:space="0" w:color="000000"/>
              <w:bottom w:val="single" w:sz="4" w:space="0" w:color="000000"/>
              <w:right w:val="single" w:sz="4" w:space="0" w:color="000000"/>
            </w:tcBorders>
          </w:tcPr>
          <w:p w:rsidR="00021FF8" w:rsidRPr="00A84F44" w:rsidRDefault="00021FF8" w:rsidP="00021FF8">
            <w:pPr>
              <w:jc w:val="center"/>
            </w:pPr>
            <w:r w:rsidRPr="00A84F44">
              <w:t>100%</w:t>
            </w:r>
          </w:p>
        </w:tc>
        <w:tc>
          <w:tcPr>
            <w:tcW w:w="810" w:type="dxa"/>
            <w:tcBorders>
              <w:top w:val="single" w:sz="4" w:space="0" w:color="000000"/>
              <w:left w:val="single" w:sz="4" w:space="0" w:color="000000"/>
              <w:bottom w:val="single" w:sz="4" w:space="0" w:color="000000"/>
              <w:right w:val="single" w:sz="4" w:space="0" w:color="000000"/>
            </w:tcBorders>
          </w:tcPr>
          <w:p w:rsidR="00021FF8" w:rsidRPr="00A84F44" w:rsidRDefault="00021FF8" w:rsidP="00021FF8">
            <w:pPr>
              <w:jc w:val="center"/>
            </w:pPr>
            <w:r w:rsidRPr="00A84F44">
              <w:t>100%</w:t>
            </w:r>
          </w:p>
        </w:tc>
        <w:tc>
          <w:tcPr>
            <w:tcW w:w="810" w:type="dxa"/>
            <w:tcBorders>
              <w:top w:val="single" w:sz="4" w:space="0" w:color="000000"/>
              <w:left w:val="single" w:sz="4" w:space="0" w:color="000000"/>
              <w:bottom w:val="single" w:sz="4" w:space="0" w:color="000000"/>
              <w:right w:val="single" w:sz="4" w:space="0" w:color="000000"/>
            </w:tcBorders>
          </w:tcPr>
          <w:p w:rsidR="00021FF8" w:rsidRPr="00A84F44" w:rsidRDefault="00021FF8" w:rsidP="00021FF8">
            <w:pPr>
              <w:jc w:val="center"/>
            </w:pPr>
            <w:r w:rsidRPr="00A84F44">
              <w:t>100%</w:t>
            </w:r>
          </w:p>
        </w:tc>
        <w:tc>
          <w:tcPr>
            <w:tcW w:w="810" w:type="dxa"/>
            <w:tcBorders>
              <w:top w:val="single" w:sz="4" w:space="0" w:color="000000"/>
              <w:left w:val="single" w:sz="4" w:space="0" w:color="000000"/>
              <w:bottom w:val="single" w:sz="4" w:space="0" w:color="000000"/>
              <w:right w:val="single" w:sz="4" w:space="0" w:color="000000"/>
            </w:tcBorders>
          </w:tcPr>
          <w:p w:rsidR="00021FF8" w:rsidRPr="00A84F44" w:rsidRDefault="00021FF8" w:rsidP="00021FF8">
            <w:pPr>
              <w:jc w:val="center"/>
            </w:pPr>
            <w:r w:rsidRPr="00A84F44">
              <w:t>100%</w:t>
            </w:r>
          </w:p>
        </w:tc>
        <w:tc>
          <w:tcPr>
            <w:tcW w:w="810" w:type="dxa"/>
            <w:tcBorders>
              <w:top w:val="single" w:sz="4" w:space="0" w:color="000000"/>
              <w:left w:val="single" w:sz="4" w:space="0" w:color="000000"/>
              <w:bottom w:val="single" w:sz="4" w:space="0" w:color="000000"/>
              <w:right w:val="single" w:sz="4" w:space="0" w:color="000000"/>
            </w:tcBorders>
          </w:tcPr>
          <w:p w:rsidR="00021FF8" w:rsidRPr="00A84F44" w:rsidRDefault="00021FF8" w:rsidP="00021FF8">
            <w:pPr>
              <w:jc w:val="center"/>
            </w:pPr>
            <w:r w:rsidRPr="00A84F44">
              <w:t>100%</w:t>
            </w:r>
          </w:p>
        </w:tc>
      </w:tr>
    </w:tbl>
    <w:p w:rsidR="006E5643" w:rsidRDefault="006E5643" w:rsidP="006E5643">
      <w:pPr>
        <w:rPr>
          <w:b/>
        </w:rPr>
        <w:sectPr w:rsidR="006E5643" w:rsidSect="00C4130B">
          <w:pgSz w:w="16840" w:h="11907" w:orient="landscape" w:code="9"/>
          <w:pgMar w:top="1138" w:right="1138" w:bottom="1138" w:left="1138" w:header="562" w:footer="562" w:gutter="0"/>
          <w:cols w:space="720"/>
          <w:docGrid w:linePitch="360"/>
        </w:sectPr>
      </w:pPr>
    </w:p>
    <w:p w:rsidR="00EB7202" w:rsidRDefault="00EB7202" w:rsidP="006E5643">
      <w:pPr>
        <w:jc w:val="center"/>
        <w:rPr>
          <w:b/>
        </w:rPr>
      </w:pPr>
      <w:r w:rsidRPr="00A84F44">
        <w:rPr>
          <w:b/>
        </w:rPr>
        <w:lastRenderedPageBreak/>
        <w:t>Table (</w:t>
      </w:r>
      <w:r>
        <w:rPr>
          <w:b/>
        </w:rPr>
        <w:t>3</w:t>
      </w:r>
      <w:r w:rsidRPr="00A84F44">
        <w:rPr>
          <w:b/>
        </w:rPr>
        <w:t>)</w:t>
      </w:r>
      <w:r w:rsidR="006C7420">
        <w:rPr>
          <w:b/>
        </w:rPr>
        <w:t>:</w:t>
      </w:r>
      <w:r>
        <w:rPr>
          <w:b/>
        </w:rPr>
        <w:t xml:space="preserve"> Health Risk Index of Antibiotics and </w:t>
      </w:r>
      <w:r w:rsidRPr="00A84F44">
        <w:rPr>
          <w:b/>
        </w:rPr>
        <w:t>17β-Estradiol</w:t>
      </w:r>
      <w:r w:rsidR="0045464F">
        <w:rPr>
          <w:b/>
        </w:rPr>
        <w:t xml:space="preserve"> </w:t>
      </w:r>
      <w:r w:rsidRPr="00A84F44">
        <w:rPr>
          <w:b/>
        </w:rPr>
        <w:t xml:space="preserve">concentration </w:t>
      </w:r>
      <w:r>
        <w:rPr>
          <w:b/>
        </w:rPr>
        <w:t xml:space="preserve">detected </w:t>
      </w:r>
      <w:r w:rsidRPr="00A84F44">
        <w:rPr>
          <w:b/>
        </w:rPr>
        <w:t xml:space="preserve">levels </w:t>
      </w:r>
      <w:r>
        <w:rPr>
          <w:b/>
        </w:rPr>
        <w:t xml:space="preserve">in Egyptian and Bahrainis </w:t>
      </w:r>
      <w:r w:rsidRPr="00A84F44">
        <w:rPr>
          <w:b/>
        </w:rPr>
        <w:t>chicken meat</w:t>
      </w:r>
      <w:r>
        <w:rPr>
          <w:b/>
        </w:rPr>
        <w:t xml:space="preserve"> and offal</w:t>
      </w:r>
    </w:p>
    <w:p w:rsidR="00021FF8" w:rsidRPr="006E5643" w:rsidRDefault="00021FF8" w:rsidP="006E5643">
      <w:pPr>
        <w:rPr>
          <w:b/>
        </w:rPr>
      </w:pPr>
    </w:p>
    <w:tbl>
      <w:tblPr>
        <w:tblStyle w:val="a6"/>
        <w:tblW w:w="0" w:type="auto"/>
        <w:jc w:val="center"/>
        <w:tblLook w:val="04A0" w:firstRow="1" w:lastRow="0" w:firstColumn="1" w:lastColumn="0" w:noHBand="0" w:noVBand="1"/>
      </w:tblPr>
      <w:tblGrid>
        <w:gridCol w:w="1630"/>
        <w:gridCol w:w="1680"/>
        <w:gridCol w:w="1335"/>
        <w:gridCol w:w="2100"/>
        <w:gridCol w:w="1530"/>
      </w:tblGrid>
      <w:tr w:rsidR="00152139" w:rsidTr="006C7420">
        <w:trPr>
          <w:jc w:val="center"/>
        </w:trPr>
        <w:tc>
          <w:tcPr>
            <w:tcW w:w="4645" w:type="dxa"/>
            <w:gridSpan w:val="3"/>
            <w:vAlign w:val="center"/>
          </w:tcPr>
          <w:p w:rsidR="00152139" w:rsidRDefault="00152139" w:rsidP="00152139">
            <w:pPr>
              <w:jc w:val="center"/>
            </w:pPr>
            <w:r w:rsidRPr="00A84F44">
              <w:rPr>
                <w:b/>
              </w:rPr>
              <w:t>C</w:t>
            </w:r>
            <w:r>
              <w:rPr>
                <w:b/>
              </w:rPr>
              <w:t>hicken Samples</w:t>
            </w:r>
          </w:p>
        </w:tc>
        <w:tc>
          <w:tcPr>
            <w:tcW w:w="2100" w:type="dxa"/>
            <w:vAlign w:val="center"/>
          </w:tcPr>
          <w:p w:rsidR="00152139" w:rsidRDefault="00152139" w:rsidP="00152139">
            <w:pPr>
              <w:jc w:val="center"/>
            </w:pPr>
            <w:r>
              <w:rPr>
                <w:b/>
              </w:rPr>
              <w:t>Health Risk Index</w:t>
            </w:r>
          </w:p>
        </w:tc>
        <w:tc>
          <w:tcPr>
            <w:tcW w:w="1530" w:type="dxa"/>
            <w:vAlign w:val="center"/>
          </w:tcPr>
          <w:p w:rsidR="00152139" w:rsidRDefault="00152139" w:rsidP="00152139">
            <w:pPr>
              <w:jc w:val="center"/>
            </w:pPr>
            <w:r>
              <w:rPr>
                <w:b/>
              </w:rPr>
              <w:t>Health Risk</w:t>
            </w:r>
          </w:p>
        </w:tc>
      </w:tr>
      <w:tr w:rsidR="00152139" w:rsidTr="006C7420">
        <w:trPr>
          <w:jc w:val="center"/>
        </w:trPr>
        <w:tc>
          <w:tcPr>
            <w:tcW w:w="1630" w:type="dxa"/>
            <w:vMerge w:val="restart"/>
            <w:vAlign w:val="center"/>
          </w:tcPr>
          <w:p w:rsidR="00152139" w:rsidRDefault="00152139" w:rsidP="00152139">
            <w:pPr>
              <w:jc w:val="center"/>
            </w:pPr>
            <w:r w:rsidRPr="00A84F44">
              <w:rPr>
                <w:b/>
              </w:rPr>
              <w:t>Ciprofloxacin</w:t>
            </w:r>
          </w:p>
        </w:tc>
        <w:tc>
          <w:tcPr>
            <w:tcW w:w="1680" w:type="dxa"/>
            <w:vMerge w:val="restart"/>
            <w:vAlign w:val="center"/>
          </w:tcPr>
          <w:p w:rsidR="00152139" w:rsidRPr="00021FF8" w:rsidRDefault="00152139" w:rsidP="00152139">
            <w:pPr>
              <w:jc w:val="center"/>
              <w:rPr>
                <w:b/>
              </w:rPr>
            </w:pPr>
            <w:r w:rsidRPr="00A84F44">
              <w:rPr>
                <w:b/>
              </w:rPr>
              <w:t>chicken meat</w:t>
            </w:r>
          </w:p>
        </w:tc>
        <w:tc>
          <w:tcPr>
            <w:tcW w:w="1335" w:type="dxa"/>
            <w:vAlign w:val="center"/>
          </w:tcPr>
          <w:p w:rsidR="00152139" w:rsidRPr="00152139" w:rsidRDefault="00152139" w:rsidP="00152139">
            <w:pPr>
              <w:jc w:val="center"/>
              <w:rPr>
                <w:b/>
                <w:bCs/>
              </w:rPr>
            </w:pPr>
            <w:r w:rsidRPr="00152139">
              <w:rPr>
                <w:b/>
                <w:bCs/>
              </w:rPr>
              <w:t>Egyptian</w:t>
            </w:r>
          </w:p>
        </w:tc>
        <w:tc>
          <w:tcPr>
            <w:tcW w:w="2100" w:type="dxa"/>
          </w:tcPr>
          <w:p w:rsidR="00152139" w:rsidRPr="00A84F44" w:rsidRDefault="00152139" w:rsidP="00152139">
            <w:pPr>
              <w:jc w:val="center"/>
            </w:pPr>
            <w:r>
              <w:t>0.002</w:t>
            </w:r>
          </w:p>
        </w:tc>
        <w:tc>
          <w:tcPr>
            <w:tcW w:w="1530" w:type="dxa"/>
            <w:vAlign w:val="center"/>
          </w:tcPr>
          <w:p w:rsidR="00152139" w:rsidRDefault="00152139" w:rsidP="00152139">
            <w:pPr>
              <w:jc w:val="center"/>
            </w:pPr>
            <w:r>
              <w:t>Yes</w:t>
            </w:r>
          </w:p>
        </w:tc>
      </w:tr>
      <w:tr w:rsidR="00152139" w:rsidTr="006C7420">
        <w:trPr>
          <w:jc w:val="center"/>
        </w:trPr>
        <w:tc>
          <w:tcPr>
            <w:tcW w:w="1630" w:type="dxa"/>
            <w:vMerge/>
            <w:vAlign w:val="center"/>
          </w:tcPr>
          <w:p w:rsidR="00152139" w:rsidRDefault="00152139" w:rsidP="00152139">
            <w:pPr>
              <w:jc w:val="center"/>
            </w:pPr>
          </w:p>
        </w:tc>
        <w:tc>
          <w:tcPr>
            <w:tcW w:w="1680" w:type="dxa"/>
            <w:vMerge/>
            <w:vAlign w:val="center"/>
          </w:tcPr>
          <w:p w:rsidR="00152139" w:rsidRDefault="00152139" w:rsidP="00152139">
            <w:pPr>
              <w:jc w:val="center"/>
            </w:pPr>
          </w:p>
        </w:tc>
        <w:tc>
          <w:tcPr>
            <w:tcW w:w="1335" w:type="dxa"/>
            <w:vAlign w:val="center"/>
          </w:tcPr>
          <w:p w:rsidR="00152139" w:rsidRPr="00152139" w:rsidRDefault="00152139" w:rsidP="00152139">
            <w:pPr>
              <w:jc w:val="center"/>
              <w:rPr>
                <w:b/>
                <w:bCs/>
              </w:rPr>
            </w:pPr>
            <w:r w:rsidRPr="00152139">
              <w:rPr>
                <w:b/>
                <w:bCs/>
              </w:rPr>
              <w:t>Bahrainis</w:t>
            </w:r>
          </w:p>
        </w:tc>
        <w:tc>
          <w:tcPr>
            <w:tcW w:w="2100" w:type="dxa"/>
          </w:tcPr>
          <w:p w:rsidR="00152139" w:rsidRPr="00A84F44" w:rsidRDefault="00152139" w:rsidP="00152139">
            <w:pPr>
              <w:jc w:val="center"/>
            </w:pPr>
            <w:r>
              <w:t>0.775</w:t>
            </w:r>
          </w:p>
        </w:tc>
        <w:tc>
          <w:tcPr>
            <w:tcW w:w="1530" w:type="dxa"/>
          </w:tcPr>
          <w:p w:rsidR="00152139" w:rsidRDefault="00152139" w:rsidP="00152139">
            <w:pPr>
              <w:jc w:val="center"/>
            </w:pPr>
            <w:r w:rsidRPr="00FA25D5">
              <w:t>Yes</w:t>
            </w:r>
          </w:p>
        </w:tc>
      </w:tr>
      <w:tr w:rsidR="00152139" w:rsidTr="006C7420">
        <w:trPr>
          <w:jc w:val="center"/>
        </w:trPr>
        <w:tc>
          <w:tcPr>
            <w:tcW w:w="1630" w:type="dxa"/>
            <w:vMerge/>
            <w:vAlign w:val="center"/>
          </w:tcPr>
          <w:p w:rsidR="00152139" w:rsidRDefault="00152139" w:rsidP="00152139">
            <w:pPr>
              <w:jc w:val="center"/>
            </w:pPr>
          </w:p>
        </w:tc>
        <w:tc>
          <w:tcPr>
            <w:tcW w:w="1680" w:type="dxa"/>
            <w:vMerge w:val="restart"/>
            <w:vAlign w:val="center"/>
          </w:tcPr>
          <w:p w:rsidR="00152139" w:rsidRPr="00021FF8" w:rsidRDefault="00152139" w:rsidP="00152139">
            <w:pPr>
              <w:jc w:val="center"/>
              <w:rPr>
                <w:b/>
              </w:rPr>
            </w:pPr>
            <w:r w:rsidRPr="00A84F44">
              <w:rPr>
                <w:b/>
              </w:rPr>
              <w:t xml:space="preserve">chicken </w:t>
            </w:r>
            <w:r>
              <w:rPr>
                <w:b/>
              </w:rPr>
              <w:t>offal</w:t>
            </w:r>
          </w:p>
        </w:tc>
        <w:tc>
          <w:tcPr>
            <w:tcW w:w="1335" w:type="dxa"/>
            <w:vAlign w:val="center"/>
          </w:tcPr>
          <w:p w:rsidR="00152139" w:rsidRPr="00152139" w:rsidRDefault="00152139" w:rsidP="00152139">
            <w:pPr>
              <w:jc w:val="center"/>
              <w:rPr>
                <w:b/>
                <w:bCs/>
              </w:rPr>
            </w:pPr>
            <w:r w:rsidRPr="00152139">
              <w:rPr>
                <w:b/>
                <w:bCs/>
              </w:rPr>
              <w:t>Egyptian</w:t>
            </w:r>
          </w:p>
        </w:tc>
        <w:tc>
          <w:tcPr>
            <w:tcW w:w="2100" w:type="dxa"/>
          </w:tcPr>
          <w:p w:rsidR="00152139" w:rsidRPr="00A84F44" w:rsidRDefault="00152139" w:rsidP="00152139">
            <w:pPr>
              <w:jc w:val="center"/>
            </w:pPr>
            <w:r>
              <w:t>0.140</w:t>
            </w:r>
          </w:p>
        </w:tc>
        <w:tc>
          <w:tcPr>
            <w:tcW w:w="1530" w:type="dxa"/>
          </w:tcPr>
          <w:p w:rsidR="00152139" w:rsidRDefault="00152139" w:rsidP="00152139">
            <w:pPr>
              <w:jc w:val="center"/>
            </w:pPr>
            <w:r w:rsidRPr="00FA25D5">
              <w:t>Yes</w:t>
            </w:r>
          </w:p>
        </w:tc>
      </w:tr>
      <w:tr w:rsidR="00152139" w:rsidTr="006C7420">
        <w:trPr>
          <w:jc w:val="center"/>
        </w:trPr>
        <w:tc>
          <w:tcPr>
            <w:tcW w:w="1630" w:type="dxa"/>
            <w:vMerge/>
            <w:vAlign w:val="center"/>
          </w:tcPr>
          <w:p w:rsidR="00152139" w:rsidRDefault="00152139" w:rsidP="00152139">
            <w:pPr>
              <w:jc w:val="center"/>
            </w:pPr>
          </w:p>
        </w:tc>
        <w:tc>
          <w:tcPr>
            <w:tcW w:w="1680" w:type="dxa"/>
            <w:vMerge/>
            <w:vAlign w:val="center"/>
          </w:tcPr>
          <w:p w:rsidR="00152139" w:rsidRDefault="00152139" w:rsidP="00152139">
            <w:pPr>
              <w:jc w:val="center"/>
            </w:pPr>
          </w:p>
        </w:tc>
        <w:tc>
          <w:tcPr>
            <w:tcW w:w="1335" w:type="dxa"/>
            <w:vAlign w:val="center"/>
          </w:tcPr>
          <w:p w:rsidR="00152139" w:rsidRPr="00152139" w:rsidRDefault="00152139" w:rsidP="00152139">
            <w:pPr>
              <w:jc w:val="center"/>
              <w:rPr>
                <w:b/>
                <w:bCs/>
              </w:rPr>
            </w:pPr>
            <w:r w:rsidRPr="00152139">
              <w:rPr>
                <w:b/>
                <w:bCs/>
              </w:rPr>
              <w:t>Bahrainis</w:t>
            </w:r>
          </w:p>
        </w:tc>
        <w:tc>
          <w:tcPr>
            <w:tcW w:w="2100" w:type="dxa"/>
          </w:tcPr>
          <w:p w:rsidR="00152139" w:rsidRPr="00A84F44" w:rsidRDefault="00152139" w:rsidP="00152139">
            <w:pPr>
              <w:jc w:val="center"/>
            </w:pPr>
            <w:r>
              <w:t>0.873</w:t>
            </w:r>
          </w:p>
        </w:tc>
        <w:tc>
          <w:tcPr>
            <w:tcW w:w="1530" w:type="dxa"/>
          </w:tcPr>
          <w:p w:rsidR="00152139" w:rsidRDefault="00152139" w:rsidP="00152139">
            <w:pPr>
              <w:jc w:val="center"/>
            </w:pPr>
            <w:r w:rsidRPr="00FA25D5">
              <w:t>Yes</w:t>
            </w:r>
          </w:p>
        </w:tc>
      </w:tr>
      <w:tr w:rsidR="00152139" w:rsidTr="006C7420">
        <w:trPr>
          <w:jc w:val="center"/>
        </w:trPr>
        <w:tc>
          <w:tcPr>
            <w:tcW w:w="1630" w:type="dxa"/>
            <w:vMerge w:val="restart"/>
            <w:vAlign w:val="center"/>
          </w:tcPr>
          <w:p w:rsidR="00152139" w:rsidRDefault="00152139" w:rsidP="00152139">
            <w:pPr>
              <w:jc w:val="center"/>
            </w:pPr>
            <w:r w:rsidRPr="00A84F44">
              <w:rPr>
                <w:b/>
              </w:rPr>
              <w:t>Sulfadiazine</w:t>
            </w:r>
          </w:p>
        </w:tc>
        <w:tc>
          <w:tcPr>
            <w:tcW w:w="1680" w:type="dxa"/>
            <w:vMerge w:val="restart"/>
            <w:vAlign w:val="center"/>
          </w:tcPr>
          <w:p w:rsidR="00152139" w:rsidRPr="00021FF8" w:rsidRDefault="00152139" w:rsidP="00152139">
            <w:pPr>
              <w:jc w:val="center"/>
              <w:rPr>
                <w:b/>
              </w:rPr>
            </w:pPr>
            <w:r w:rsidRPr="00A84F44">
              <w:rPr>
                <w:b/>
              </w:rPr>
              <w:t>chicken meat</w:t>
            </w:r>
          </w:p>
        </w:tc>
        <w:tc>
          <w:tcPr>
            <w:tcW w:w="1335" w:type="dxa"/>
            <w:vAlign w:val="center"/>
          </w:tcPr>
          <w:p w:rsidR="00152139" w:rsidRPr="00152139" w:rsidRDefault="00152139" w:rsidP="00152139">
            <w:pPr>
              <w:jc w:val="center"/>
              <w:rPr>
                <w:b/>
                <w:bCs/>
              </w:rPr>
            </w:pPr>
            <w:r w:rsidRPr="00152139">
              <w:rPr>
                <w:b/>
                <w:bCs/>
              </w:rPr>
              <w:t>Egyptian</w:t>
            </w:r>
          </w:p>
        </w:tc>
        <w:tc>
          <w:tcPr>
            <w:tcW w:w="2100" w:type="dxa"/>
          </w:tcPr>
          <w:p w:rsidR="00152139" w:rsidRPr="00A84F44" w:rsidRDefault="00152139" w:rsidP="00152139">
            <w:pPr>
              <w:jc w:val="center"/>
            </w:pPr>
            <w:r>
              <w:t>1.720</w:t>
            </w:r>
          </w:p>
        </w:tc>
        <w:tc>
          <w:tcPr>
            <w:tcW w:w="1530" w:type="dxa"/>
          </w:tcPr>
          <w:p w:rsidR="00152139" w:rsidRDefault="00152139" w:rsidP="00152139">
            <w:pPr>
              <w:jc w:val="center"/>
            </w:pPr>
            <w:r w:rsidRPr="00FA25D5">
              <w:t>Yes</w:t>
            </w:r>
          </w:p>
        </w:tc>
      </w:tr>
      <w:tr w:rsidR="00152139" w:rsidTr="006C7420">
        <w:trPr>
          <w:jc w:val="center"/>
        </w:trPr>
        <w:tc>
          <w:tcPr>
            <w:tcW w:w="1630" w:type="dxa"/>
            <w:vMerge/>
            <w:vAlign w:val="center"/>
          </w:tcPr>
          <w:p w:rsidR="00152139" w:rsidRDefault="00152139" w:rsidP="00152139">
            <w:pPr>
              <w:jc w:val="center"/>
            </w:pPr>
          </w:p>
        </w:tc>
        <w:tc>
          <w:tcPr>
            <w:tcW w:w="1680" w:type="dxa"/>
            <w:vMerge/>
            <w:vAlign w:val="center"/>
          </w:tcPr>
          <w:p w:rsidR="00152139" w:rsidRDefault="00152139" w:rsidP="00152139">
            <w:pPr>
              <w:jc w:val="center"/>
            </w:pPr>
          </w:p>
        </w:tc>
        <w:tc>
          <w:tcPr>
            <w:tcW w:w="1335" w:type="dxa"/>
            <w:vAlign w:val="center"/>
          </w:tcPr>
          <w:p w:rsidR="00152139" w:rsidRPr="00152139" w:rsidRDefault="00152139" w:rsidP="00152139">
            <w:pPr>
              <w:jc w:val="center"/>
              <w:rPr>
                <w:b/>
                <w:bCs/>
              </w:rPr>
            </w:pPr>
            <w:r w:rsidRPr="00152139">
              <w:rPr>
                <w:b/>
                <w:bCs/>
              </w:rPr>
              <w:t>Bahrainis</w:t>
            </w:r>
          </w:p>
        </w:tc>
        <w:tc>
          <w:tcPr>
            <w:tcW w:w="2100" w:type="dxa"/>
          </w:tcPr>
          <w:p w:rsidR="00152139" w:rsidRPr="00A84F44" w:rsidRDefault="00152139" w:rsidP="00152139">
            <w:pPr>
              <w:jc w:val="center"/>
            </w:pPr>
            <w:r>
              <w:t>9.360</w:t>
            </w:r>
          </w:p>
        </w:tc>
        <w:tc>
          <w:tcPr>
            <w:tcW w:w="1530" w:type="dxa"/>
          </w:tcPr>
          <w:p w:rsidR="00152139" w:rsidRDefault="00152139" w:rsidP="00152139">
            <w:pPr>
              <w:jc w:val="center"/>
            </w:pPr>
            <w:r w:rsidRPr="00FA25D5">
              <w:t>Yes</w:t>
            </w:r>
          </w:p>
        </w:tc>
      </w:tr>
      <w:tr w:rsidR="00152139" w:rsidTr="006C7420">
        <w:trPr>
          <w:jc w:val="center"/>
        </w:trPr>
        <w:tc>
          <w:tcPr>
            <w:tcW w:w="1630" w:type="dxa"/>
            <w:vMerge/>
            <w:vAlign w:val="center"/>
          </w:tcPr>
          <w:p w:rsidR="00152139" w:rsidRDefault="00152139" w:rsidP="00152139">
            <w:pPr>
              <w:jc w:val="center"/>
            </w:pPr>
          </w:p>
        </w:tc>
        <w:tc>
          <w:tcPr>
            <w:tcW w:w="1680" w:type="dxa"/>
            <w:vMerge w:val="restart"/>
            <w:vAlign w:val="center"/>
          </w:tcPr>
          <w:p w:rsidR="00152139" w:rsidRPr="00021FF8" w:rsidRDefault="00152139" w:rsidP="00152139">
            <w:pPr>
              <w:jc w:val="center"/>
              <w:rPr>
                <w:b/>
              </w:rPr>
            </w:pPr>
            <w:r w:rsidRPr="00A84F44">
              <w:rPr>
                <w:b/>
              </w:rPr>
              <w:t xml:space="preserve">chicken </w:t>
            </w:r>
            <w:r>
              <w:rPr>
                <w:b/>
              </w:rPr>
              <w:t>offal</w:t>
            </w:r>
          </w:p>
        </w:tc>
        <w:tc>
          <w:tcPr>
            <w:tcW w:w="1335" w:type="dxa"/>
            <w:vAlign w:val="center"/>
          </w:tcPr>
          <w:p w:rsidR="00152139" w:rsidRPr="00152139" w:rsidRDefault="00152139" w:rsidP="00152139">
            <w:pPr>
              <w:jc w:val="center"/>
              <w:rPr>
                <w:b/>
                <w:bCs/>
              </w:rPr>
            </w:pPr>
            <w:r w:rsidRPr="00152139">
              <w:rPr>
                <w:b/>
                <w:bCs/>
              </w:rPr>
              <w:t>Egyptian</w:t>
            </w:r>
          </w:p>
        </w:tc>
        <w:tc>
          <w:tcPr>
            <w:tcW w:w="2100" w:type="dxa"/>
          </w:tcPr>
          <w:p w:rsidR="00152139" w:rsidRPr="00A84F44" w:rsidRDefault="00152139" w:rsidP="00152139">
            <w:pPr>
              <w:jc w:val="center"/>
            </w:pPr>
            <w:r>
              <w:t>3.770</w:t>
            </w:r>
          </w:p>
        </w:tc>
        <w:tc>
          <w:tcPr>
            <w:tcW w:w="1530" w:type="dxa"/>
          </w:tcPr>
          <w:p w:rsidR="00152139" w:rsidRDefault="00152139" w:rsidP="00152139">
            <w:pPr>
              <w:jc w:val="center"/>
            </w:pPr>
            <w:r w:rsidRPr="00FA25D5">
              <w:t>Yes</w:t>
            </w:r>
          </w:p>
        </w:tc>
      </w:tr>
      <w:tr w:rsidR="00152139" w:rsidTr="006C7420">
        <w:trPr>
          <w:jc w:val="center"/>
        </w:trPr>
        <w:tc>
          <w:tcPr>
            <w:tcW w:w="1630" w:type="dxa"/>
            <w:vMerge/>
            <w:vAlign w:val="center"/>
          </w:tcPr>
          <w:p w:rsidR="00152139" w:rsidRDefault="00152139" w:rsidP="00152139">
            <w:pPr>
              <w:jc w:val="center"/>
            </w:pPr>
          </w:p>
        </w:tc>
        <w:tc>
          <w:tcPr>
            <w:tcW w:w="1680" w:type="dxa"/>
            <w:vMerge/>
            <w:vAlign w:val="center"/>
          </w:tcPr>
          <w:p w:rsidR="00152139" w:rsidRDefault="00152139" w:rsidP="00152139">
            <w:pPr>
              <w:jc w:val="center"/>
            </w:pPr>
          </w:p>
        </w:tc>
        <w:tc>
          <w:tcPr>
            <w:tcW w:w="1335" w:type="dxa"/>
            <w:vAlign w:val="center"/>
          </w:tcPr>
          <w:p w:rsidR="00152139" w:rsidRPr="00152139" w:rsidRDefault="00152139" w:rsidP="00152139">
            <w:pPr>
              <w:jc w:val="center"/>
              <w:rPr>
                <w:b/>
                <w:bCs/>
              </w:rPr>
            </w:pPr>
            <w:r w:rsidRPr="00152139">
              <w:rPr>
                <w:b/>
                <w:bCs/>
              </w:rPr>
              <w:t>Bahrainis</w:t>
            </w:r>
          </w:p>
        </w:tc>
        <w:tc>
          <w:tcPr>
            <w:tcW w:w="2100" w:type="dxa"/>
          </w:tcPr>
          <w:p w:rsidR="00152139" w:rsidRPr="00A84F44" w:rsidRDefault="00152139" w:rsidP="00152139">
            <w:pPr>
              <w:jc w:val="center"/>
            </w:pPr>
            <w:r>
              <w:t>12.24</w:t>
            </w:r>
          </w:p>
        </w:tc>
        <w:tc>
          <w:tcPr>
            <w:tcW w:w="1530" w:type="dxa"/>
            <w:vAlign w:val="center"/>
          </w:tcPr>
          <w:p w:rsidR="00152139" w:rsidRDefault="00152139" w:rsidP="00152139">
            <w:pPr>
              <w:jc w:val="center"/>
            </w:pPr>
            <w:r>
              <w:t>No</w:t>
            </w:r>
          </w:p>
        </w:tc>
      </w:tr>
      <w:tr w:rsidR="00152139" w:rsidTr="006C7420">
        <w:trPr>
          <w:jc w:val="center"/>
        </w:trPr>
        <w:tc>
          <w:tcPr>
            <w:tcW w:w="1630" w:type="dxa"/>
            <w:vMerge w:val="restart"/>
            <w:vAlign w:val="center"/>
          </w:tcPr>
          <w:p w:rsidR="00152139" w:rsidRDefault="00152139" w:rsidP="00152139">
            <w:pPr>
              <w:jc w:val="center"/>
            </w:pPr>
            <w:r w:rsidRPr="00A84F44">
              <w:rPr>
                <w:b/>
              </w:rPr>
              <w:t>17β-Estradiol</w:t>
            </w:r>
          </w:p>
        </w:tc>
        <w:tc>
          <w:tcPr>
            <w:tcW w:w="1680" w:type="dxa"/>
            <w:vMerge w:val="restart"/>
            <w:vAlign w:val="center"/>
          </w:tcPr>
          <w:p w:rsidR="00152139" w:rsidRPr="00021FF8" w:rsidRDefault="00152139" w:rsidP="00152139">
            <w:pPr>
              <w:jc w:val="center"/>
              <w:rPr>
                <w:b/>
              </w:rPr>
            </w:pPr>
            <w:r w:rsidRPr="00A84F44">
              <w:rPr>
                <w:b/>
              </w:rPr>
              <w:t>chicken meat</w:t>
            </w:r>
          </w:p>
        </w:tc>
        <w:tc>
          <w:tcPr>
            <w:tcW w:w="1335" w:type="dxa"/>
            <w:vAlign w:val="center"/>
          </w:tcPr>
          <w:p w:rsidR="00152139" w:rsidRPr="00152139" w:rsidRDefault="00152139" w:rsidP="00152139">
            <w:pPr>
              <w:jc w:val="center"/>
              <w:rPr>
                <w:b/>
                <w:bCs/>
              </w:rPr>
            </w:pPr>
            <w:r w:rsidRPr="00152139">
              <w:rPr>
                <w:b/>
                <w:bCs/>
              </w:rPr>
              <w:t>Egyptian</w:t>
            </w:r>
          </w:p>
        </w:tc>
        <w:tc>
          <w:tcPr>
            <w:tcW w:w="2100" w:type="dxa"/>
          </w:tcPr>
          <w:p w:rsidR="00152139" w:rsidRPr="00A84F44" w:rsidRDefault="00152139" w:rsidP="00152139">
            <w:pPr>
              <w:jc w:val="center"/>
            </w:pPr>
            <w:r>
              <w:t>1.590</w:t>
            </w:r>
          </w:p>
        </w:tc>
        <w:tc>
          <w:tcPr>
            <w:tcW w:w="1530" w:type="dxa"/>
          </w:tcPr>
          <w:p w:rsidR="00152139" w:rsidRDefault="00152139" w:rsidP="00152139">
            <w:pPr>
              <w:jc w:val="center"/>
            </w:pPr>
            <w:r w:rsidRPr="000A36F9">
              <w:t>Yes</w:t>
            </w:r>
          </w:p>
        </w:tc>
      </w:tr>
      <w:tr w:rsidR="00152139" w:rsidTr="006C7420">
        <w:trPr>
          <w:jc w:val="center"/>
        </w:trPr>
        <w:tc>
          <w:tcPr>
            <w:tcW w:w="1630" w:type="dxa"/>
            <w:vMerge/>
            <w:vAlign w:val="center"/>
          </w:tcPr>
          <w:p w:rsidR="00152139" w:rsidRDefault="00152139" w:rsidP="00152139">
            <w:pPr>
              <w:jc w:val="center"/>
            </w:pPr>
          </w:p>
        </w:tc>
        <w:tc>
          <w:tcPr>
            <w:tcW w:w="1680" w:type="dxa"/>
            <w:vMerge/>
            <w:vAlign w:val="center"/>
          </w:tcPr>
          <w:p w:rsidR="00152139" w:rsidRDefault="00152139" w:rsidP="00152139">
            <w:pPr>
              <w:jc w:val="center"/>
            </w:pPr>
          </w:p>
        </w:tc>
        <w:tc>
          <w:tcPr>
            <w:tcW w:w="1335" w:type="dxa"/>
            <w:vAlign w:val="center"/>
          </w:tcPr>
          <w:p w:rsidR="00152139" w:rsidRPr="00152139" w:rsidRDefault="00152139" w:rsidP="00152139">
            <w:pPr>
              <w:jc w:val="center"/>
              <w:rPr>
                <w:b/>
                <w:bCs/>
              </w:rPr>
            </w:pPr>
            <w:r w:rsidRPr="00152139">
              <w:rPr>
                <w:b/>
                <w:bCs/>
              </w:rPr>
              <w:t>Bahrainis</w:t>
            </w:r>
          </w:p>
        </w:tc>
        <w:tc>
          <w:tcPr>
            <w:tcW w:w="2100" w:type="dxa"/>
          </w:tcPr>
          <w:p w:rsidR="00152139" w:rsidRDefault="00152139" w:rsidP="00152139">
            <w:pPr>
              <w:jc w:val="center"/>
            </w:pPr>
            <w:r>
              <w:t>3.100</w:t>
            </w:r>
          </w:p>
        </w:tc>
        <w:tc>
          <w:tcPr>
            <w:tcW w:w="1530" w:type="dxa"/>
          </w:tcPr>
          <w:p w:rsidR="00152139" w:rsidRDefault="00152139" w:rsidP="00152139">
            <w:pPr>
              <w:jc w:val="center"/>
            </w:pPr>
            <w:r w:rsidRPr="000A36F9">
              <w:t>Yes</w:t>
            </w:r>
          </w:p>
        </w:tc>
      </w:tr>
      <w:tr w:rsidR="00152139" w:rsidTr="006C7420">
        <w:trPr>
          <w:jc w:val="center"/>
        </w:trPr>
        <w:tc>
          <w:tcPr>
            <w:tcW w:w="1630" w:type="dxa"/>
            <w:vMerge/>
            <w:vAlign w:val="center"/>
          </w:tcPr>
          <w:p w:rsidR="00152139" w:rsidRDefault="00152139" w:rsidP="00152139">
            <w:pPr>
              <w:jc w:val="center"/>
            </w:pPr>
          </w:p>
        </w:tc>
        <w:tc>
          <w:tcPr>
            <w:tcW w:w="1680" w:type="dxa"/>
            <w:vMerge w:val="restart"/>
            <w:vAlign w:val="center"/>
          </w:tcPr>
          <w:p w:rsidR="00152139" w:rsidRPr="00021FF8" w:rsidRDefault="00152139" w:rsidP="00152139">
            <w:pPr>
              <w:jc w:val="center"/>
              <w:rPr>
                <w:b/>
              </w:rPr>
            </w:pPr>
            <w:r w:rsidRPr="00A84F44">
              <w:rPr>
                <w:b/>
              </w:rPr>
              <w:t xml:space="preserve">chicken </w:t>
            </w:r>
            <w:r>
              <w:rPr>
                <w:b/>
              </w:rPr>
              <w:t>offal</w:t>
            </w:r>
          </w:p>
        </w:tc>
        <w:tc>
          <w:tcPr>
            <w:tcW w:w="1335" w:type="dxa"/>
            <w:vAlign w:val="center"/>
          </w:tcPr>
          <w:p w:rsidR="00152139" w:rsidRPr="00152139" w:rsidRDefault="00152139" w:rsidP="00152139">
            <w:pPr>
              <w:jc w:val="center"/>
              <w:rPr>
                <w:b/>
                <w:bCs/>
              </w:rPr>
            </w:pPr>
            <w:r w:rsidRPr="00152139">
              <w:rPr>
                <w:b/>
                <w:bCs/>
              </w:rPr>
              <w:t>Egyptian</w:t>
            </w:r>
          </w:p>
        </w:tc>
        <w:tc>
          <w:tcPr>
            <w:tcW w:w="2100" w:type="dxa"/>
          </w:tcPr>
          <w:p w:rsidR="00152139" w:rsidRPr="00A84F44" w:rsidRDefault="00152139" w:rsidP="00152139">
            <w:pPr>
              <w:jc w:val="center"/>
            </w:pPr>
            <w:r>
              <w:t>2.300</w:t>
            </w:r>
          </w:p>
        </w:tc>
        <w:tc>
          <w:tcPr>
            <w:tcW w:w="1530" w:type="dxa"/>
          </w:tcPr>
          <w:p w:rsidR="00152139" w:rsidRDefault="00152139" w:rsidP="00152139">
            <w:pPr>
              <w:jc w:val="center"/>
            </w:pPr>
            <w:r w:rsidRPr="000A36F9">
              <w:t>Yes</w:t>
            </w:r>
          </w:p>
        </w:tc>
      </w:tr>
      <w:tr w:rsidR="00152139" w:rsidTr="006C7420">
        <w:trPr>
          <w:jc w:val="center"/>
        </w:trPr>
        <w:tc>
          <w:tcPr>
            <w:tcW w:w="1630" w:type="dxa"/>
            <w:vMerge/>
            <w:vAlign w:val="center"/>
          </w:tcPr>
          <w:p w:rsidR="00152139" w:rsidRDefault="00152139" w:rsidP="00152139">
            <w:pPr>
              <w:jc w:val="center"/>
            </w:pPr>
          </w:p>
        </w:tc>
        <w:tc>
          <w:tcPr>
            <w:tcW w:w="1680" w:type="dxa"/>
            <w:vMerge/>
            <w:vAlign w:val="center"/>
          </w:tcPr>
          <w:p w:rsidR="00152139" w:rsidRDefault="00152139" w:rsidP="00152139">
            <w:pPr>
              <w:jc w:val="center"/>
            </w:pPr>
          </w:p>
        </w:tc>
        <w:tc>
          <w:tcPr>
            <w:tcW w:w="1335" w:type="dxa"/>
            <w:vAlign w:val="center"/>
          </w:tcPr>
          <w:p w:rsidR="00152139" w:rsidRPr="00152139" w:rsidRDefault="00152139" w:rsidP="00152139">
            <w:pPr>
              <w:jc w:val="center"/>
              <w:rPr>
                <w:b/>
                <w:bCs/>
              </w:rPr>
            </w:pPr>
            <w:r w:rsidRPr="00152139">
              <w:rPr>
                <w:b/>
                <w:bCs/>
              </w:rPr>
              <w:t>Bahrainis</w:t>
            </w:r>
          </w:p>
        </w:tc>
        <w:tc>
          <w:tcPr>
            <w:tcW w:w="2100" w:type="dxa"/>
          </w:tcPr>
          <w:p w:rsidR="00152139" w:rsidRDefault="00152139" w:rsidP="00152139">
            <w:pPr>
              <w:jc w:val="center"/>
            </w:pPr>
            <w:r>
              <w:t>3.500</w:t>
            </w:r>
          </w:p>
        </w:tc>
        <w:tc>
          <w:tcPr>
            <w:tcW w:w="1530" w:type="dxa"/>
          </w:tcPr>
          <w:p w:rsidR="00152139" w:rsidRDefault="00152139" w:rsidP="00152139">
            <w:pPr>
              <w:jc w:val="center"/>
            </w:pPr>
            <w:r w:rsidRPr="000A36F9">
              <w:t>Yes</w:t>
            </w:r>
          </w:p>
        </w:tc>
      </w:tr>
      <w:bookmarkEnd w:id="4"/>
    </w:tbl>
    <w:p w:rsidR="009B7286" w:rsidRDefault="009B7286" w:rsidP="00107C46">
      <w:pPr>
        <w:rPr>
          <w:sz w:val="32"/>
          <w:szCs w:val="32"/>
        </w:rPr>
      </w:pPr>
    </w:p>
    <w:sectPr w:rsidR="009B7286" w:rsidSect="00C4130B">
      <w:footerReference w:type="default" r:id="rId19"/>
      <w:pgSz w:w="16840" w:h="11907" w:orient="landscape" w:code="9"/>
      <w:pgMar w:top="1138" w:right="1138" w:bottom="1138" w:left="1138" w:header="562"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907" w:rsidRDefault="00E03907">
      <w:r>
        <w:separator/>
      </w:r>
    </w:p>
  </w:endnote>
  <w:endnote w:type="continuationSeparator" w:id="0">
    <w:p w:rsidR="00E03907" w:rsidRDefault="00E0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4953"/>
      <w:docPartObj>
        <w:docPartGallery w:val="Page Numbers (Bottom of Page)"/>
        <w:docPartUnique/>
      </w:docPartObj>
    </w:sdtPr>
    <w:sdtEndPr/>
    <w:sdtContent>
      <w:p w:rsidR="00107C46" w:rsidRDefault="00107C46">
        <w:pPr>
          <w:pStyle w:val="a9"/>
          <w:jc w:val="center"/>
        </w:pPr>
        <w:r>
          <w:fldChar w:fldCharType="begin"/>
        </w:r>
        <w:r>
          <w:instrText xml:space="preserve"> PAGE   \* MERGEFORMAT </w:instrText>
        </w:r>
        <w:r>
          <w:fldChar w:fldCharType="separate"/>
        </w:r>
        <w:r>
          <w:rPr>
            <w:noProof/>
          </w:rPr>
          <w:t>13</w:t>
        </w:r>
        <w:r>
          <w:fldChar w:fldCharType="end"/>
        </w:r>
      </w:p>
    </w:sdtContent>
  </w:sdt>
  <w:p w:rsidR="00107C46" w:rsidRDefault="00107C46">
    <w:pPr>
      <w:pBdr>
        <w:top w:val="nil"/>
        <w:left w:val="nil"/>
        <w:bottom w:val="nil"/>
        <w:right w:val="nil"/>
        <w:between w:val="nil"/>
      </w:pBdr>
      <w:tabs>
        <w:tab w:val="center" w:pos="4153"/>
        <w:tab w:val="right" w:pos="8306"/>
      </w:tabs>
      <w:jc w:val="center"/>
      <w:rPr>
        <w:b/>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907" w:rsidRDefault="00E03907">
      <w:r>
        <w:separator/>
      </w:r>
    </w:p>
  </w:footnote>
  <w:footnote w:type="continuationSeparator" w:id="0">
    <w:p w:rsidR="00E03907" w:rsidRDefault="00E0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4C7" w:rsidRPr="002954C7" w:rsidRDefault="002954C7" w:rsidP="002954C7">
    <w:pPr>
      <w:rPr>
        <w:sz w:val="22"/>
        <w:szCs w:val="22"/>
      </w:rPr>
    </w:pPr>
    <w:r w:rsidRPr="002954C7">
      <w:rPr>
        <w:b/>
      </w:rPr>
      <w:t>A</w:t>
    </w:r>
    <w:r w:rsidRPr="002954C7">
      <w:rPr>
        <w:b/>
      </w:rPr>
      <w:t xml:space="preserve">ntibiotic </w:t>
    </w:r>
    <w:r w:rsidRPr="002954C7">
      <w:rPr>
        <w:b/>
      </w:rPr>
      <w:t>&amp;</w:t>
    </w:r>
    <w:r w:rsidRPr="002954C7">
      <w:rPr>
        <w:b/>
      </w:rPr>
      <w:t xml:space="preserve"> </w:t>
    </w:r>
    <w:r w:rsidRPr="002954C7">
      <w:rPr>
        <w:b/>
      </w:rPr>
      <w:t>H</w:t>
    </w:r>
    <w:r w:rsidRPr="002954C7">
      <w:rPr>
        <w:b/>
      </w:rPr>
      <w:t xml:space="preserve">ormone-like </w:t>
    </w:r>
    <w:r w:rsidRPr="002954C7">
      <w:rPr>
        <w:b/>
      </w:rPr>
      <w:t>Residues</w:t>
    </w:r>
    <w:r w:rsidRPr="002954C7">
      <w:rPr>
        <w:b/>
      </w:rPr>
      <w:t xml:space="preserve"> in </w:t>
    </w:r>
    <w:r w:rsidRPr="002954C7">
      <w:rPr>
        <w:b/>
      </w:rPr>
      <w:t>C</w:t>
    </w:r>
    <w:r w:rsidRPr="002954C7">
      <w:rPr>
        <w:b/>
      </w:rPr>
      <w:t xml:space="preserve">hicken </w:t>
    </w:r>
    <w:r w:rsidRPr="002954C7">
      <w:rPr>
        <w:b/>
      </w:rPr>
      <w:t>M</w:t>
    </w:r>
    <w:r w:rsidRPr="002954C7">
      <w:rPr>
        <w:b/>
      </w:rPr>
      <w:t>eat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1A9"/>
    <w:multiLevelType w:val="multilevel"/>
    <w:tmpl w:val="9D60D778"/>
    <w:lvl w:ilvl="0">
      <w:start w:val="1"/>
      <w:numFmt w:val="upperLetter"/>
      <w:lvlText w:val="%1-"/>
      <w:lvlJc w:val="left"/>
      <w:pPr>
        <w:ind w:left="1092" w:hanging="372"/>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81586C"/>
    <w:multiLevelType w:val="multilevel"/>
    <w:tmpl w:val="D090BB8E"/>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9E5EAA"/>
    <w:multiLevelType w:val="multilevel"/>
    <w:tmpl w:val="B59477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0C76C2"/>
    <w:multiLevelType w:val="multilevel"/>
    <w:tmpl w:val="65FAA37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291A0DC2"/>
    <w:multiLevelType w:val="multilevel"/>
    <w:tmpl w:val="FF1803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65777F0"/>
    <w:multiLevelType w:val="multilevel"/>
    <w:tmpl w:val="2CD8C9A6"/>
    <w:lvl w:ilvl="0">
      <w:start w:val="1"/>
      <w:numFmt w:val="decimal"/>
      <w:lvlText w:val="%1."/>
      <w:lvlJc w:val="left"/>
      <w:pPr>
        <w:ind w:left="1155" w:hanging="360"/>
      </w:p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6" w15:restartNumberingAfterBreak="0">
    <w:nsid w:val="424F1656"/>
    <w:multiLevelType w:val="multilevel"/>
    <w:tmpl w:val="1346DA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A25031"/>
    <w:multiLevelType w:val="multilevel"/>
    <w:tmpl w:val="5F662B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DEA4938"/>
    <w:multiLevelType w:val="multilevel"/>
    <w:tmpl w:val="55E235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016EAF"/>
    <w:multiLevelType w:val="multilevel"/>
    <w:tmpl w:val="0264EDBE"/>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D915F57"/>
    <w:multiLevelType w:val="multilevel"/>
    <w:tmpl w:val="9DCC3A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1E373C"/>
    <w:multiLevelType w:val="multilevel"/>
    <w:tmpl w:val="5CDCEAD4"/>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0F4CB4"/>
    <w:multiLevelType w:val="multilevel"/>
    <w:tmpl w:val="C8306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C50F5A"/>
    <w:multiLevelType w:val="multilevel"/>
    <w:tmpl w:val="509A753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1"/>
  </w:num>
  <w:num w:numId="2">
    <w:abstractNumId w:val="3"/>
  </w:num>
  <w:num w:numId="3">
    <w:abstractNumId w:val="4"/>
  </w:num>
  <w:num w:numId="4">
    <w:abstractNumId w:val="10"/>
  </w:num>
  <w:num w:numId="5">
    <w:abstractNumId w:val="13"/>
  </w:num>
  <w:num w:numId="6">
    <w:abstractNumId w:val="6"/>
  </w:num>
  <w:num w:numId="7">
    <w:abstractNumId w:val="9"/>
  </w:num>
  <w:num w:numId="8">
    <w:abstractNumId w:val="1"/>
  </w:num>
  <w:num w:numId="9">
    <w:abstractNumId w:val="12"/>
  </w:num>
  <w:num w:numId="10">
    <w:abstractNumId w:val="5"/>
  </w:num>
  <w:num w:numId="11">
    <w:abstractNumId w:val="7"/>
  </w:num>
  <w:num w:numId="12">
    <w:abstractNumId w:val="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CA"/>
    <w:rsid w:val="00006629"/>
    <w:rsid w:val="00021FF8"/>
    <w:rsid w:val="000301D2"/>
    <w:rsid w:val="000361C1"/>
    <w:rsid w:val="000C75C4"/>
    <w:rsid w:val="00104EE1"/>
    <w:rsid w:val="00107C46"/>
    <w:rsid w:val="0014567F"/>
    <w:rsid w:val="0015183A"/>
    <w:rsid w:val="00152139"/>
    <w:rsid w:val="00153641"/>
    <w:rsid w:val="00161DE0"/>
    <w:rsid w:val="001D3D3C"/>
    <w:rsid w:val="001E7CCA"/>
    <w:rsid w:val="00253771"/>
    <w:rsid w:val="002879A9"/>
    <w:rsid w:val="002954C7"/>
    <w:rsid w:val="002F4203"/>
    <w:rsid w:val="0035181E"/>
    <w:rsid w:val="00374912"/>
    <w:rsid w:val="00380A8A"/>
    <w:rsid w:val="003A3C95"/>
    <w:rsid w:val="003A4AF6"/>
    <w:rsid w:val="003C6753"/>
    <w:rsid w:val="003E478F"/>
    <w:rsid w:val="00407D6C"/>
    <w:rsid w:val="00410A15"/>
    <w:rsid w:val="0045464F"/>
    <w:rsid w:val="004E1E5B"/>
    <w:rsid w:val="005065E3"/>
    <w:rsid w:val="00544C3F"/>
    <w:rsid w:val="00550FFB"/>
    <w:rsid w:val="00563AC3"/>
    <w:rsid w:val="00572272"/>
    <w:rsid w:val="005D0C4F"/>
    <w:rsid w:val="005E77CE"/>
    <w:rsid w:val="00607A40"/>
    <w:rsid w:val="00634FBC"/>
    <w:rsid w:val="00640F4B"/>
    <w:rsid w:val="00656299"/>
    <w:rsid w:val="0066490B"/>
    <w:rsid w:val="00683D61"/>
    <w:rsid w:val="006A3E7C"/>
    <w:rsid w:val="006C7420"/>
    <w:rsid w:val="006E0DBF"/>
    <w:rsid w:val="006E5643"/>
    <w:rsid w:val="0070097C"/>
    <w:rsid w:val="00747C4B"/>
    <w:rsid w:val="00754ACB"/>
    <w:rsid w:val="007E4BBB"/>
    <w:rsid w:val="008013F9"/>
    <w:rsid w:val="00851955"/>
    <w:rsid w:val="00871040"/>
    <w:rsid w:val="008732C1"/>
    <w:rsid w:val="00874B9D"/>
    <w:rsid w:val="00875CC9"/>
    <w:rsid w:val="00883E6E"/>
    <w:rsid w:val="00931C77"/>
    <w:rsid w:val="009607A0"/>
    <w:rsid w:val="009B7286"/>
    <w:rsid w:val="009C4C60"/>
    <w:rsid w:val="00A42673"/>
    <w:rsid w:val="00A82913"/>
    <w:rsid w:val="00AF73CC"/>
    <w:rsid w:val="00B07CE6"/>
    <w:rsid w:val="00B217AE"/>
    <w:rsid w:val="00B33222"/>
    <w:rsid w:val="00B43420"/>
    <w:rsid w:val="00B83D98"/>
    <w:rsid w:val="00B84C10"/>
    <w:rsid w:val="00BA05E3"/>
    <w:rsid w:val="00BC71F0"/>
    <w:rsid w:val="00BE1589"/>
    <w:rsid w:val="00BF0697"/>
    <w:rsid w:val="00C133CD"/>
    <w:rsid w:val="00C26878"/>
    <w:rsid w:val="00C4130B"/>
    <w:rsid w:val="00C77ACE"/>
    <w:rsid w:val="00C82585"/>
    <w:rsid w:val="00D04FD0"/>
    <w:rsid w:val="00D237BB"/>
    <w:rsid w:val="00D23A98"/>
    <w:rsid w:val="00D45E80"/>
    <w:rsid w:val="00D74924"/>
    <w:rsid w:val="00DD496A"/>
    <w:rsid w:val="00DF335A"/>
    <w:rsid w:val="00E01F7B"/>
    <w:rsid w:val="00E03907"/>
    <w:rsid w:val="00E130A3"/>
    <w:rsid w:val="00E75C40"/>
    <w:rsid w:val="00EB7202"/>
    <w:rsid w:val="00EF27C0"/>
    <w:rsid w:val="00F6489B"/>
    <w:rsid w:val="00F67B1E"/>
    <w:rsid w:val="00FA6913"/>
    <w:rsid w:val="00FD7B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F2844"/>
  <w15:docId w15:val="{CCB9582C-A959-6042-ABCD-7888428C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CCA"/>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1E7CCA"/>
    <w:pPr>
      <w:keepNext/>
      <w:keepLines/>
      <w:spacing w:before="480" w:after="120"/>
      <w:outlineLvl w:val="0"/>
    </w:pPr>
    <w:rPr>
      <w:b/>
      <w:sz w:val="48"/>
      <w:szCs w:val="48"/>
    </w:rPr>
  </w:style>
  <w:style w:type="paragraph" w:styleId="2">
    <w:name w:val="heading 2"/>
    <w:basedOn w:val="a"/>
    <w:next w:val="a"/>
    <w:link w:val="2Char"/>
    <w:uiPriority w:val="9"/>
    <w:semiHidden/>
    <w:unhideWhenUsed/>
    <w:qFormat/>
    <w:rsid w:val="001E7CCA"/>
    <w:pPr>
      <w:keepNext/>
      <w:keepLines/>
      <w:spacing w:before="360" w:after="80"/>
      <w:outlineLvl w:val="1"/>
    </w:pPr>
    <w:rPr>
      <w:b/>
      <w:sz w:val="36"/>
      <w:szCs w:val="36"/>
    </w:rPr>
  </w:style>
  <w:style w:type="paragraph" w:styleId="3">
    <w:name w:val="heading 3"/>
    <w:basedOn w:val="a"/>
    <w:next w:val="a"/>
    <w:link w:val="3Char"/>
    <w:uiPriority w:val="9"/>
    <w:semiHidden/>
    <w:unhideWhenUsed/>
    <w:qFormat/>
    <w:rsid w:val="001E7CCA"/>
    <w:pPr>
      <w:keepNext/>
      <w:keepLines/>
      <w:spacing w:before="280" w:after="80"/>
      <w:outlineLvl w:val="2"/>
    </w:pPr>
    <w:rPr>
      <w:b/>
      <w:sz w:val="28"/>
      <w:szCs w:val="28"/>
    </w:rPr>
  </w:style>
  <w:style w:type="paragraph" w:styleId="4">
    <w:name w:val="heading 4"/>
    <w:basedOn w:val="a"/>
    <w:next w:val="a"/>
    <w:link w:val="4Char"/>
    <w:uiPriority w:val="9"/>
    <w:semiHidden/>
    <w:unhideWhenUsed/>
    <w:qFormat/>
    <w:rsid w:val="001E7CCA"/>
    <w:pPr>
      <w:keepNext/>
      <w:keepLines/>
      <w:spacing w:before="240" w:after="40"/>
      <w:outlineLvl w:val="3"/>
    </w:pPr>
    <w:rPr>
      <w:b/>
    </w:rPr>
  </w:style>
  <w:style w:type="paragraph" w:styleId="5">
    <w:name w:val="heading 5"/>
    <w:basedOn w:val="a"/>
    <w:next w:val="a"/>
    <w:link w:val="5Char"/>
    <w:uiPriority w:val="9"/>
    <w:semiHidden/>
    <w:unhideWhenUsed/>
    <w:qFormat/>
    <w:rsid w:val="001E7CCA"/>
    <w:pPr>
      <w:keepNext/>
      <w:keepLines/>
      <w:spacing w:before="220" w:after="40"/>
      <w:outlineLvl w:val="4"/>
    </w:pPr>
    <w:rPr>
      <w:b/>
      <w:sz w:val="22"/>
      <w:szCs w:val="22"/>
    </w:rPr>
  </w:style>
  <w:style w:type="paragraph" w:styleId="6">
    <w:name w:val="heading 6"/>
    <w:basedOn w:val="a"/>
    <w:next w:val="a"/>
    <w:link w:val="6Char"/>
    <w:uiPriority w:val="9"/>
    <w:semiHidden/>
    <w:unhideWhenUsed/>
    <w:qFormat/>
    <w:rsid w:val="001E7C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1E7CCA"/>
    <w:rPr>
      <w:rFonts w:ascii="Times New Roman" w:eastAsia="Times New Roman" w:hAnsi="Times New Roman" w:cs="Times New Roman"/>
      <w:b/>
      <w:sz w:val="48"/>
      <w:szCs w:val="48"/>
    </w:rPr>
  </w:style>
  <w:style w:type="character" w:customStyle="1" w:styleId="2Char">
    <w:name w:val="عنوان 2 Char"/>
    <w:basedOn w:val="a0"/>
    <w:link w:val="2"/>
    <w:uiPriority w:val="9"/>
    <w:semiHidden/>
    <w:rsid w:val="001E7CCA"/>
    <w:rPr>
      <w:rFonts w:ascii="Times New Roman" w:eastAsia="Times New Roman" w:hAnsi="Times New Roman" w:cs="Times New Roman"/>
      <w:b/>
      <w:sz w:val="36"/>
      <w:szCs w:val="36"/>
    </w:rPr>
  </w:style>
  <w:style w:type="character" w:customStyle="1" w:styleId="3Char">
    <w:name w:val="عنوان 3 Char"/>
    <w:basedOn w:val="a0"/>
    <w:link w:val="3"/>
    <w:uiPriority w:val="9"/>
    <w:semiHidden/>
    <w:rsid w:val="001E7CCA"/>
    <w:rPr>
      <w:rFonts w:ascii="Times New Roman" w:eastAsia="Times New Roman" w:hAnsi="Times New Roman" w:cs="Times New Roman"/>
      <w:b/>
      <w:sz w:val="28"/>
      <w:szCs w:val="28"/>
    </w:rPr>
  </w:style>
  <w:style w:type="character" w:customStyle="1" w:styleId="4Char">
    <w:name w:val="عنوان 4 Char"/>
    <w:basedOn w:val="a0"/>
    <w:link w:val="4"/>
    <w:uiPriority w:val="9"/>
    <w:semiHidden/>
    <w:rsid w:val="001E7CCA"/>
    <w:rPr>
      <w:rFonts w:ascii="Times New Roman" w:eastAsia="Times New Roman" w:hAnsi="Times New Roman" w:cs="Times New Roman"/>
      <w:b/>
      <w:sz w:val="24"/>
      <w:szCs w:val="24"/>
    </w:rPr>
  </w:style>
  <w:style w:type="character" w:customStyle="1" w:styleId="5Char">
    <w:name w:val="عنوان 5 Char"/>
    <w:basedOn w:val="a0"/>
    <w:link w:val="5"/>
    <w:uiPriority w:val="9"/>
    <w:semiHidden/>
    <w:rsid w:val="001E7CCA"/>
    <w:rPr>
      <w:rFonts w:ascii="Times New Roman" w:eastAsia="Times New Roman" w:hAnsi="Times New Roman" w:cs="Times New Roman"/>
      <w:b/>
    </w:rPr>
  </w:style>
  <w:style w:type="character" w:customStyle="1" w:styleId="6Char">
    <w:name w:val="عنوان 6 Char"/>
    <w:basedOn w:val="a0"/>
    <w:link w:val="6"/>
    <w:uiPriority w:val="9"/>
    <w:semiHidden/>
    <w:rsid w:val="001E7CCA"/>
    <w:rPr>
      <w:rFonts w:ascii="Times New Roman" w:eastAsia="Times New Roman" w:hAnsi="Times New Roman" w:cs="Times New Roman"/>
      <w:b/>
      <w:sz w:val="20"/>
      <w:szCs w:val="20"/>
    </w:rPr>
  </w:style>
  <w:style w:type="table" w:customStyle="1" w:styleId="26">
    <w:name w:val="26"/>
    <w:basedOn w:val="a1"/>
    <w:rsid w:val="001E7CCA"/>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7">
    <w:name w:val="27"/>
    <w:basedOn w:val="a1"/>
    <w:rsid w:val="001E7CCA"/>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a3">
    <w:name w:val="List Paragraph"/>
    <w:basedOn w:val="a"/>
    <w:uiPriority w:val="34"/>
    <w:qFormat/>
    <w:rsid w:val="001E7CCA"/>
    <w:pPr>
      <w:ind w:left="720"/>
      <w:contextualSpacing/>
    </w:pPr>
  </w:style>
  <w:style w:type="paragraph" w:styleId="a4">
    <w:name w:val="Title"/>
    <w:basedOn w:val="a"/>
    <w:next w:val="a"/>
    <w:link w:val="Char"/>
    <w:uiPriority w:val="10"/>
    <w:qFormat/>
    <w:rsid w:val="001E7CCA"/>
    <w:pPr>
      <w:keepNext/>
      <w:keepLines/>
      <w:spacing w:before="480" w:after="120"/>
    </w:pPr>
    <w:rPr>
      <w:b/>
      <w:sz w:val="72"/>
      <w:szCs w:val="72"/>
    </w:rPr>
  </w:style>
  <w:style w:type="character" w:customStyle="1" w:styleId="Char">
    <w:name w:val="العنوان Char"/>
    <w:basedOn w:val="a0"/>
    <w:link w:val="a4"/>
    <w:uiPriority w:val="10"/>
    <w:rsid w:val="001E7CCA"/>
    <w:rPr>
      <w:rFonts w:ascii="Times New Roman" w:eastAsia="Times New Roman" w:hAnsi="Times New Roman" w:cs="Times New Roman"/>
      <w:b/>
      <w:sz w:val="72"/>
      <w:szCs w:val="72"/>
    </w:rPr>
  </w:style>
  <w:style w:type="paragraph" w:styleId="a5">
    <w:name w:val="Subtitle"/>
    <w:basedOn w:val="a"/>
    <w:next w:val="a"/>
    <w:link w:val="Char0"/>
    <w:uiPriority w:val="11"/>
    <w:qFormat/>
    <w:rsid w:val="001E7CCA"/>
    <w:pPr>
      <w:keepNext/>
      <w:keepLines/>
      <w:spacing w:before="360" w:after="80"/>
    </w:pPr>
    <w:rPr>
      <w:rFonts w:ascii="Georgia" w:eastAsia="Georgia" w:hAnsi="Georgia" w:cs="Georgia"/>
      <w:i/>
      <w:color w:val="666666"/>
      <w:sz w:val="48"/>
      <w:szCs w:val="48"/>
    </w:rPr>
  </w:style>
  <w:style w:type="character" w:customStyle="1" w:styleId="Char0">
    <w:name w:val="عنوان فرعي Char"/>
    <w:basedOn w:val="a0"/>
    <w:link w:val="a5"/>
    <w:uiPriority w:val="11"/>
    <w:rsid w:val="001E7CCA"/>
    <w:rPr>
      <w:rFonts w:ascii="Georgia" w:eastAsia="Georgia" w:hAnsi="Georgia" w:cs="Georgia"/>
      <w:i/>
      <w:color w:val="666666"/>
      <w:sz w:val="48"/>
      <w:szCs w:val="48"/>
    </w:rPr>
  </w:style>
  <w:style w:type="character" w:styleId="Hyperlink">
    <w:name w:val="Hyperlink"/>
    <w:basedOn w:val="a0"/>
    <w:uiPriority w:val="99"/>
    <w:unhideWhenUsed/>
    <w:rsid w:val="001E7CCA"/>
    <w:rPr>
      <w:color w:val="0563C1" w:themeColor="hyperlink"/>
      <w:u w:val="single"/>
    </w:rPr>
  </w:style>
  <w:style w:type="character" w:customStyle="1" w:styleId="10">
    <w:name w:val="إشارة لم يتم حلها1"/>
    <w:basedOn w:val="a0"/>
    <w:uiPriority w:val="99"/>
    <w:semiHidden/>
    <w:unhideWhenUsed/>
    <w:rsid w:val="001E7CCA"/>
    <w:rPr>
      <w:color w:val="605E5C"/>
      <w:shd w:val="clear" w:color="auto" w:fill="E1DFDD"/>
    </w:rPr>
  </w:style>
  <w:style w:type="table" w:styleId="a6">
    <w:name w:val="Table Grid"/>
    <w:basedOn w:val="a1"/>
    <w:uiPriority w:val="39"/>
    <w:rsid w:val="00A8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F67B1E"/>
    <w:rPr>
      <w:rFonts w:ascii="Tahoma" w:hAnsi="Tahoma" w:cs="Tahoma"/>
      <w:sz w:val="16"/>
      <w:szCs w:val="16"/>
    </w:rPr>
  </w:style>
  <w:style w:type="character" w:customStyle="1" w:styleId="Char1">
    <w:name w:val="نص في بالون Char"/>
    <w:basedOn w:val="a0"/>
    <w:link w:val="a7"/>
    <w:uiPriority w:val="99"/>
    <w:semiHidden/>
    <w:rsid w:val="00F67B1E"/>
    <w:rPr>
      <w:rFonts w:ascii="Tahoma" w:eastAsia="Times New Roman" w:hAnsi="Tahoma" w:cs="Tahoma"/>
      <w:sz w:val="16"/>
      <w:szCs w:val="16"/>
    </w:rPr>
  </w:style>
  <w:style w:type="paragraph" w:styleId="HTML">
    <w:name w:val="HTML Preformatted"/>
    <w:basedOn w:val="a"/>
    <w:link w:val="HTMLChar"/>
    <w:uiPriority w:val="99"/>
    <w:semiHidden/>
    <w:unhideWhenUsed/>
    <w:rsid w:val="00104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بتنسيق HTML مسبق Char"/>
    <w:basedOn w:val="a0"/>
    <w:link w:val="HTML"/>
    <w:uiPriority w:val="99"/>
    <w:semiHidden/>
    <w:rsid w:val="00104EE1"/>
    <w:rPr>
      <w:rFonts w:ascii="Courier New" w:eastAsia="Times New Roman" w:hAnsi="Courier New" w:cs="Courier New"/>
      <w:sz w:val="20"/>
      <w:szCs w:val="20"/>
    </w:rPr>
  </w:style>
  <w:style w:type="paragraph" w:styleId="a8">
    <w:name w:val="header"/>
    <w:basedOn w:val="a"/>
    <w:link w:val="Char2"/>
    <w:uiPriority w:val="99"/>
    <w:unhideWhenUsed/>
    <w:rsid w:val="00BC71F0"/>
    <w:pPr>
      <w:tabs>
        <w:tab w:val="center" w:pos="4153"/>
        <w:tab w:val="right" w:pos="8306"/>
      </w:tabs>
    </w:pPr>
  </w:style>
  <w:style w:type="character" w:customStyle="1" w:styleId="Char2">
    <w:name w:val="رأس الصفحة Char"/>
    <w:basedOn w:val="a0"/>
    <w:link w:val="a8"/>
    <w:uiPriority w:val="99"/>
    <w:rsid w:val="00BC71F0"/>
    <w:rPr>
      <w:rFonts w:ascii="Times New Roman" w:eastAsia="Times New Roman" w:hAnsi="Times New Roman" w:cs="Times New Roman"/>
      <w:sz w:val="24"/>
      <w:szCs w:val="24"/>
    </w:rPr>
  </w:style>
  <w:style w:type="paragraph" w:styleId="a9">
    <w:name w:val="footer"/>
    <w:basedOn w:val="a"/>
    <w:link w:val="Char3"/>
    <w:uiPriority w:val="99"/>
    <w:unhideWhenUsed/>
    <w:rsid w:val="00BC71F0"/>
    <w:pPr>
      <w:tabs>
        <w:tab w:val="center" w:pos="4153"/>
        <w:tab w:val="right" w:pos="8306"/>
      </w:tabs>
    </w:pPr>
  </w:style>
  <w:style w:type="character" w:customStyle="1" w:styleId="Char3">
    <w:name w:val="تذييل الصفحة Char"/>
    <w:basedOn w:val="a0"/>
    <w:link w:val="a9"/>
    <w:uiPriority w:val="99"/>
    <w:rsid w:val="00BC71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gypt"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worldatlas.com/as/bh/where-is-bahrain.htm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atlas.com/as/bh/where-is-bahrain.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en.wikipedia.org/wiki/Suez_Can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Governorates_of_Egypt" TargetMode="External"/><Relationship Id="rId14" Type="http://schemas.openxmlformats.org/officeDocument/2006/relationships/hyperlink" Target="http://www.ra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0E2E-FD05-40FF-AD56-E73EF14D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5781</Words>
  <Characters>32952</Characters>
  <Application>Microsoft Office Word</Application>
  <DocSecurity>0</DocSecurity>
  <Lines>274</Lines>
  <Paragraphs>77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nagwa</dc:creator>
  <cp:lastModifiedBy>dr nagwa</cp:lastModifiedBy>
  <cp:revision>2</cp:revision>
  <dcterms:created xsi:type="dcterms:W3CDTF">2020-12-13T03:39:00Z</dcterms:created>
  <dcterms:modified xsi:type="dcterms:W3CDTF">2020-12-13T03:39:00Z</dcterms:modified>
</cp:coreProperties>
</file>