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8ED" w:rsidRPr="00E148FB" w:rsidRDefault="000967D0" w:rsidP="007D78ED">
      <w:pPr>
        <w:rPr>
          <w:b/>
          <w:bCs/>
        </w:rPr>
      </w:pPr>
      <w:r w:rsidRPr="00E148FB">
        <w:rPr>
          <w:b/>
          <w:bCs/>
        </w:rPr>
        <w:t>Abstract</w:t>
      </w:r>
    </w:p>
    <w:p w:rsidR="007D78ED" w:rsidRPr="00E148FB" w:rsidRDefault="007D78ED" w:rsidP="005A08DF">
      <w:pPr>
        <w:pStyle w:val="NormalWeb"/>
        <w:spacing w:line="480" w:lineRule="auto"/>
        <w:jc w:val="both"/>
      </w:pPr>
      <w:r w:rsidRPr="00E148FB">
        <w:t xml:space="preserve">This study provides ethnomedicinal information and conservation status of medicinal trees used by the </w:t>
      </w:r>
      <w:r w:rsidRPr="00E148FB">
        <w:rPr>
          <w:i/>
          <w:iCs/>
        </w:rPr>
        <w:t>Manobo</w:t>
      </w:r>
      <w:r w:rsidRPr="00E148FB">
        <w:t xml:space="preserve"> and </w:t>
      </w:r>
      <w:r w:rsidRPr="00E148FB">
        <w:rPr>
          <w:i/>
          <w:iCs/>
        </w:rPr>
        <w:t>Higaonon</w:t>
      </w:r>
      <w:r w:rsidRPr="00E148FB">
        <w:t xml:space="preserve"> indigenous communities of Esperanza, Agusan del Sur, Philippines. Data were obtained through semi-structured interviews, group discussion</w:t>
      </w:r>
      <w:r w:rsidR="00972FE6">
        <w:t>,</w:t>
      </w:r>
      <w:r w:rsidRPr="00E148FB">
        <w:t xml:space="preserve"> and guided field walks with a total of 145 informants comprising of 95 </w:t>
      </w:r>
      <w:r w:rsidRPr="00E148FB">
        <w:rPr>
          <w:i/>
          <w:iCs/>
        </w:rPr>
        <w:t>Manobo</w:t>
      </w:r>
      <w:r w:rsidRPr="00E148FB">
        <w:t xml:space="preserve"> and 50 </w:t>
      </w:r>
      <w:r w:rsidRPr="00E148FB">
        <w:rPr>
          <w:i/>
          <w:iCs/>
        </w:rPr>
        <w:t>Higaonon</w:t>
      </w:r>
      <w:r w:rsidRPr="00E148FB">
        <w:t xml:space="preserve"> people with their traditional medical knowledge. A total of 43 tree species belonging to 36 genera and 22 plant families were recorded as ethnomedicinally important. Family importance value (FIV) was highest in Moraceae (</w:t>
      </w:r>
      <w:r w:rsidRPr="00E148FB">
        <w:rPr>
          <w:bCs/>
          <w:lang w:val="en-US"/>
        </w:rPr>
        <w:t>99.33), followed by Lamiaceae (97.33), Rutaceae (96.00), Lauraceae (94.00), and Fabaceae (93.33). Plant parts are used for</w:t>
      </w:r>
      <w:r w:rsidRPr="00E148FB">
        <w:t xml:space="preserve"> fracture and dislocation, weakness and fatigue, snakebite, diarrhea, and postpartum care and recovery, respectively. </w:t>
      </w:r>
      <w:r w:rsidRPr="00E148FB">
        <w:rPr>
          <w:bCs/>
        </w:rPr>
        <w:t xml:space="preserve">Highest relative frequency of citation (RFC) was cited for both </w:t>
      </w:r>
      <w:r w:rsidRPr="00E148FB">
        <w:rPr>
          <w:bCs/>
          <w:i/>
          <w:iCs/>
        </w:rPr>
        <w:t>Cinnamomum mercadoi</w:t>
      </w:r>
      <w:r w:rsidRPr="00E148FB">
        <w:rPr>
          <w:bCs/>
        </w:rPr>
        <w:t xml:space="preserve"> </w:t>
      </w:r>
      <w:proofErr w:type="gramStart"/>
      <w:r w:rsidRPr="00E148FB">
        <w:rPr>
          <w:bCs/>
        </w:rPr>
        <w:t>S.Vidal</w:t>
      </w:r>
      <w:proofErr w:type="gramEnd"/>
      <w:r w:rsidRPr="00E148FB">
        <w:rPr>
          <w:bCs/>
        </w:rPr>
        <w:t xml:space="preserve"> and </w:t>
      </w:r>
      <w:r w:rsidRPr="00E148FB">
        <w:rPr>
          <w:bCs/>
          <w:i/>
          <w:iCs/>
        </w:rPr>
        <w:t>Ficus concinna</w:t>
      </w:r>
      <w:r w:rsidRPr="00E148FB">
        <w:rPr>
          <w:bCs/>
        </w:rPr>
        <w:t xml:space="preserve"> (Miq.) Miq. </w:t>
      </w:r>
      <w:r w:rsidRPr="00E148FB">
        <w:t>Assessment of conservation status revealed that most of the medicinal trees with 20 species were not assessed (</w:t>
      </w:r>
      <w:r w:rsidR="00972FE6">
        <w:t>NA</w:t>
      </w:r>
      <w:r w:rsidRPr="00E148FB">
        <w:t>), followed by 15 species as least concern (</w:t>
      </w:r>
      <w:r w:rsidR="00972FE6">
        <w:t>LC</w:t>
      </w:r>
      <w:r w:rsidRPr="00E148FB">
        <w:t>), two species as vulnerable (</w:t>
      </w:r>
      <w:r w:rsidR="00972FE6">
        <w:t>VU</w:t>
      </w:r>
      <w:r w:rsidRPr="00E148FB">
        <w:t>), two species as other threatened species (OTS), two species as data deficient (</w:t>
      </w:r>
      <w:r w:rsidR="00972FE6">
        <w:t>DD</w:t>
      </w:r>
      <w:r w:rsidRPr="00E148FB">
        <w:t xml:space="preserve">), and one species each as endangered and near threatened, namely </w:t>
      </w:r>
      <w:proofErr w:type="spellStart"/>
      <w:r w:rsidRPr="00E148FB">
        <w:rPr>
          <w:i/>
          <w:iCs/>
        </w:rPr>
        <w:t>Swietenia</w:t>
      </w:r>
      <w:proofErr w:type="spellEnd"/>
      <w:r w:rsidRPr="00E148FB">
        <w:rPr>
          <w:i/>
          <w:iCs/>
        </w:rPr>
        <w:t xml:space="preserve"> </w:t>
      </w:r>
      <w:proofErr w:type="spellStart"/>
      <w:r w:rsidRPr="00E148FB">
        <w:rPr>
          <w:i/>
          <w:iCs/>
        </w:rPr>
        <w:t>mahagoni</w:t>
      </w:r>
      <w:proofErr w:type="spellEnd"/>
      <w:r w:rsidRPr="00E148FB">
        <w:t xml:space="preserve"> (L.) Jacq., and </w:t>
      </w:r>
      <w:r w:rsidRPr="00E148FB">
        <w:rPr>
          <w:i/>
          <w:iCs/>
        </w:rPr>
        <w:t xml:space="preserve">Calamus </w:t>
      </w:r>
      <w:proofErr w:type="spellStart"/>
      <w:r w:rsidRPr="00E148FB">
        <w:rPr>
          <w:i/>
          <w:iCs/>
        </w:rPr>
        <w:t>megaphyllus</w:t>
      </w:r>
      <w:proofErr w:type="spellEnd"/>
      <w:r w:rsidRPr="00E148FB">
        <w:t> </w:t>
      </w:r>
      <w:proofErr w:type="spellStart"/>
      <w:r w:rsidRPr="00E148FB">
        <w:t>Becc</w:t>
      </w:r>
      <w:proofErr w:type="spellEnd"/>
      <w:r w:rsidRPr="00E148FB">
        <w:t xml:space="preserve">., respectively. Only seven species (16%) are endemic in the Philippines. These findings provide a rationale for future </w:t>
      </w:r>
      <w:r w:rsidRPr="00E148FB">
        <w:rPr>
          <w:i/>
          <w:iCs/>
        </w:rPr>
        <w:t xml:space="preserve">in-situ </w:t>
      </w:r>
      <w:r w:rsidRPr="00E148FB">
        <w:t xml:space="preserve">conservation strategies of these important medicinal trees in indigenous ancestral lands for sustainable utilization of these genetic resources as part of the traditional heritage of the </w:t>
      </w:r>
      <w:r w:rsidRPr="00E148FB">
        <w:rPr>
          <w:i/>
          <w:iCs/>
        </w:rPr>
        <w:t>Manobo</w:t>
      </w:r>
      <w:r w:rsidRPr="00E148FB">
        <w:t xml:space="preserve"> and </w:t>
      </w:r>
      <w:r w:rsidRPr="00E148FB">
        <w:rPr>
          <w:i/>
          <w:iCs/>
        </w:rPr>
        <w:t>Higaonon</w:t>
      </w:r>
      <w:r w:rsidRPr="00E148FB">
        <w:t>.</w:t>
      </w:r>
    </w:p>
    <w:p w:rsidR="0020415E" w:rsidRPr="00E148FB" w:rsidRDefault="007164F3" w:rsidP="005A08DF">
      <w:pPr>
        <w:pStyle w:val="NormalWeb"/>
        <w:spacing w:line="480" w:lineRule="auto"/>
        <w:jc w:val="both"/>
      </w:pPr>
      <w:r w:rsidRPr="00E148FB">
        <w:rPr>
          <w:b/>
          <w:bCs/>
          <w:i/>
          <w:iCs/>
        </w:rPr>
        <w:t>Keywords</w:t>
      </w:r>
      <w:r w:rsidR="00997B0F" w:rsidRPr="00E148FB">
        <w:t xml:space="preserve">: </w:t>
      </w:r>
      <w:r w:rsidR="008100E2" w:rsidRPr="00E148FB">
        <w:t xml:space="preserve">Conservation; </w:t>
      </w:r>
      <w:r w:rsidR="008C15E5" w:rsidRPr="00E148FB">
        <w:t xml:space="preserve">Esperanza; </w:t>
      </w:r>
      <w:r w:rsidR="0048766D" w:rsidRPr="00E148FB">
        <w:t xml:space="preserve">ethnomedicine; </w:t>
      </w:r>
      <w:r w:rsidR="008100E2" w:rsidRPr="00E148FB">
        <w:rPr>
          <w:i/>
          <w:iCs/>
        </w:rPr>
        <w:t>Higaonon</w:t>
      </w:r>
      <w:r w:rsidR="008100E2" w:rsidRPr="00E148FB">
        <w:t xml:space="preserve">; </w:t>
      </w:r>
      <w:r w:rsidR="008100E2" w:rsidRPr="00E148FB">
        <w:rPr>
          <w:i/>
          <w:iCs/>
        </w:rPr>
        <w:t>Manobo</w:t>
      </w:r>
      <w:r w:rsidR="008C15E5" w:rsidRPr="00E148FB">
        <w:t>; medicinal trees</w:t>
      </w:r>
    </w:p>
    <w:p w:rsidR="00997B0F" w:rsidRPr="00E148FB" w:rsidRDefault="00030F1F" w:rsidP="005A08DF">
      <w:pPr>
        <w:pStyle w:val="Heading1"/>
        <w:spacing w:line="480" w:lineRule="auto"/>
      </w:pPr>
      <w:r w:rsidRPr="00E148FB">
        <w:lastRenderedPageBreak/>
        <w:t>Introduction</w:t>
      </w:r>
    </w:p>
    <w:p w:rsidR="00030F1F" w:rsidRPr="00E148FB" w:rsidRDefault="00030F1F" w:rsidP="005A08DF">
      <w:pPr>
        <w:pStyle w:val="Els-NoIndent"/>
        <w:spacing w:line="480" w:lineRule="auto"/>
        <w:rPr>
          <w:bCs/>
          <w:sz w:val="24"/>
          <w:szCs w:val="24"/>
        </w:rPr>
      </w:pPr>
      <w:r w:rsidRPr="00E148FB">
        <w:rPr>
          <w:bCs/>
          <w:sz w:val="24"/>
          <w:szCs w:val="24"/>
        </w:rPr>
        <w:t xml:space="preserve">The United Nations has recently reported a warning that global biodiversity is unprecedentedly reducing with more than a million species at risk of extinction </w:t>
      </w:r>
      <w:r w:rsidR="00B64431" w:rsidRPr="00E148FB">
        <w:rPr>
          <w:bCs/>
          <w:sz w:val="24"/>
          <w:szCs w:val="24"/>
        </w:rPr>
        <w:t>[1]</w:t>
      </w:r>
      <w:r w:rsidRPr="00E148FB">
        <w:rPr>
          <w:bCs/>
          <w:sz w:val="24"/>
          <w:szCs w:val="24"/>
        </w:rPr>
        <w:t xml:space="preserve">. </w:t>
      </w:r>
      <w:r w:rsidR="00972FE6">
        <w:rPr>
          <w:bCs/>
          <w:sz w:val="24"/>
          <w:szCs w:val="24"/>
        </w:rPr>
        <w:t>Despite</w:t>
      </w:r>
      <w:r w:rsidRPr="00E148FB">
        <w:rPr>
          <w:bCs/>
          <w:sz w:val="24"/>
          <w:szCs w:val="24"/>
        </w:rPr>
        <w:t xml:space="preserve"> the decline, this report further emphasized that lands governed by indigenous communities have significantly lower reduction rates, demonstrating </w:t>
      </w:r>
      <w:r w:rsidR="00742143" w:rsidRPr="00E148FB">
        <w:rPr>
          <w:bCs/>
          <w:sz w:val="24"/>
          <w:szCs w:val="24"/>
        </w:rPr>
        <w:t>the</w:t>
      </w:r>
      <w:r w:rsidRPr="00E148FB">
        <w:rPr>
          <w:bCs/>
          <w:sz w:val="24"/>
          <w:szCs w:val="24"/>
        </w:rPr>
        <w:t xml:space="preserve"> essential role of indigenous peoples (IPs) as stewards of their natural environment. Around 22% of the </w:t>
      </w:r>
      <w:r w:rsidR="00972FE6">
        <w:rPr>
          <w:bCs/>
          <w:sz w:val="24"/>
          <w:szCs w:val="24"/>
        </w:rPr>
        <w:t>world’s</w:t>
      </w:r>
      <w:r w:rsidRPr="00E148FB">
        <w:rPr>
          <w:bCs/>
          <w:sz w:val="24"/>
          <w:szCs w:val="24"/>
        </w:rPr>
        <w:t xml:space="preserve"> land surface </w:t>
      </w:r>
      <w:r w:rsidR="00CF7CBF">
        <w:rPr>
          <w:bCs/>
          <w:sz w:val="24"/>
          <w:szCs w:val="24"/>
        </w:rPr>
        <w:t>is</w:t>
      </w:r>
      <w:r w:rsidRPr="00E148FB">
        <w:rPr>
          <w:bCs/>
          <w:sz w:val="24"/>
          <w:szCs w:val="24"/>
        </w:rPr>
        <w:t xml:space="preserve"> recognized as traditional indigenous territories</w:t>
      </w:r>
      <w:r w:rsidR="00CF7CBF">
        <w:rPr>
          <w:bCs/>
          <w:sz w:val="24"/>
          <w:szCs w:val="24"/>
        </w:rPr>
        <w:t>,</w:t>
      </w:r>
      <w:r w:rsidRPr="00E148FB">
        <w:rPr>
          <w:bCs/>
          <w:sz w:val="24"/>
          <w:szCs w:val="24"/>
        </w:rPr>
        <w:t xml:space="preserve"> which coincide with areas harboring 80% of the </w:t>
      </w:r>
      <w:r w:rsidR="00972FE6">
        <w:rPr>
          <w:bCs/>
          <w:sz w:val="24"/>
          <w:szCs w:val="24"/>
        </w:rPr>
        <w:t>plant’s</w:t>
      </w:r>
      <w:r w:rsidRPr="00E148FB">
        <w:rPr>
          <w:bCs/>
          <w:sz w:val="24"/>
          <w:szCs w:val="24"/>
        </w:rPr>
        <w:t xml:space="preserve"> biodiversity </w:t>
      </w:r>
      <w:r w:rsidR="00B64431" w:rsidRPr="00E148FB">
        <w:rPr>
          <w:bCs/>
          <w:sz w:val="24"/>
          <w:szCs w:val="24"/>
        </w:rPr>
        <w:t>[2].</w:t>
      </w:r>
      <w:r w:rsidRPr="00E148FB">
        <w:rPr>
          <w:bCs/>
          <w:sz w:val="24"/>
          <w:szCs w:val="24"/>
        </w:rPr>
        <w:t xml:space="preserve"> The knowledge of rural residents is essential for forest conservation </w:t>
      </w:r>
      <w:r w:rsidR="006E7C21" w:rsidRPr="00E148FB">
        <w:rPr>
          <w:bCs/>
          <w:sz w:val="24"/>
          <w:szCs w:val="24"/>
        </w:rPr>
        <w:t>[3]</w:t>
      </w:r>
      <w:r w:rsidRPr="00E148FB">
        <w:rPr>
          <w:bCs/>
          <w:sz w:val="24"/>
          <w:szCs w:val="24"/>
        </w:rPr>
        <w:t>. In agroforestry, trees have been increasingly recognized as an option for multifunctional land management</w:t>
      </w:r>
      <w:r w:rsidR="00CF7CBF">
        <w:rPr>
          <w:bCs/>
          <w:sz w:val="24"/>
          <w:szCs w:val="24"/>
        </w:rPr>
        <w:t>,</w:t>
      </w:r>
      <w:r w:rsidRPr="00E148FB">
        <w:rPr>
          <w:bCs/>
          <w:sz w:val="24"/>
          <w:szCs w:val="24"/>
        </w:rPr>
        <w:t xml:space="preserve"> which can also contribute to income, food security and biodiversity conservation</w:t>
      </w:r>
      <w:r w:rsidR="00772588" w:rsidRPr="00E148FB">
        <w:rPr>
          <w:bCs/>
          <w:sz w:val="24"/>
          <w:szCs w:val="24"/>
        </w:rPr>
        <w:t>,</w:t>
      </w:r>
      <w:r w:rsidRPr="00E148FB">
        <w:rPr>
          <w:bCs/>
          <w:sz w:val="24"/>
          <w:szCs w:val="24"/>
        </w:rPr>
        <w:t xml:space="preserve"> and ecosystem services </w:t>
      </w:r>
      <w:r w:rsidR="00B64431" w:rsidRPr="00E148FB">
        <w:rPr>
          <w:bCs/>
          <w:sz w:val="24"/>
          <w:szCs w:val="24"/>
        </w:rPr>
        <w:t>[</w:t>
      </w:r>
      <w:r w:rsidR="006E7C21" w:rsidRPr="00E148FB">
        <w:rPr>
          <w:bCs/>
          <w:sz w:val="24"/>
          <w:szCs w:val="24"/>
        </w:rPr>
        <w:t>4</w:t>
      </w:r>
      <w:r w:rsidR="00EA5255" w:rsidRPr="002F45E1">
        <w:rPr>
          <w:sz w:val="24"/>
          <w:szCs w:val="24"/>
        </w:rPr>
        <w:t>–</w:t>
      </w:r>
      <w:r w:rsidR="006E7C21" w:rsidRPr="00E148FB">
        <w:rPr>
          <w:bCs/>
          <w:sz w:val="24"/>
          <w:szCs w:val="24"/>
        </w:rPr>
        <w:t>6</w:t>
      </w:r>
      <w:r w:rsidR="00B64431" w:rsidRPr="00E148FB">
        <w:rPr>
          <w:bCs/>
          <w:sz w:val="24"/>
          <w:szCs w:val="24"/>
        </w:rPr>
        <w:t>]</w:t>
      </w:r>
      <w:r w:rsidRPr="00E148FB">
        <w:rPr>
          <w:bCs/>
          <w:sz w:val="24"/>
          <w:szCs w:val="24"/>
        </w:rPr>
        <w:t>.</w:t>
      </w:r>
    </w:p>
    <w:p w:rsidR="00030F1F" w:rsidRPr="00E148FB" w:rsidRDefault="00030F1F" w:rsidP="005A08DF">
      <w:pPr>
        <w:pStyle w:val="Els-NoIndent"/>
        <w:spacing w:line="480" w:lineRule="auto"/>
        <w:ind w:firstLine="360"/>
        <w:rPr>
          <w:bCs/>
          <w:sz w:val="24"/>
          <w:szCs w:val="24"/>
        </w:rPr>
      </w:pPr>
      <w:r w:rsidRPr="00E148FB">
        <w:rPr>
          <w:bCs/>
          <w:sz w:val="24"/>
          <w:szCs w:val="24"/>
        </w:rPr>
        <w:t xml:space="preserve">Regardless of the transformations of many indigenous knowledge systems, practices that help promote forest sustainability have remained intact in the Philippines </w:t>
      </w:r>
      <w:r w:rsidR="00B64431" w:rsidRPr="00E148FB">
        <w:rPr>
          <w:bCs/>
          <w:sz w:val="24"/>
          <w:szCs w:val="24"/>
        </w:rPr>
        <w:t>[</w:t>
      </w:r>
      <w:r w:rsidR="006E7C21" w:rsidRPr="00E148FB">
        <w:rPr>
          <w:bCs/>
          <w:sz w:val="24"/>
          <w:szCs w:val="24"/>
        </w:rPr>
        <w:t>7</w:t>
      </w:r>
      <w:r w:rsidR="00B64431" w:rsidRPr="00E148FB">
        <w:rPr>
          <w:bCs/>
          <w:sz w:val="24"/>
          <w:szCs w:val="24"/>
        </w:rPr>
        <w:t>]</w:t>
      </w:r>
      <w:r w:rsidRPr="00E148FB">
        <w:rPr>
          <w:bCs/>
          <w:sz w:val="24"/>
          <w:szCs w:val="24"/>
        </w:rPr>
        <w:t>. The Philippines</w:t>
      </w:r>
      <w:r w:rsidR="00CF7CBF">
        <w:rPr>
          <w:bCs/>
          <w:sz w:val="24"/>
          <w:szCs w:val="24"/>
        </w:rPr>
        <w:t>,</w:t>
      </w:r>
      <w:r w:rsidRPr="00E148FB">
        <w:rPr>
          <w:bCs/>
          <w:sz w:val="24"/>
          <w:szCs w:val="24"/>
        </w:rPr>
        <w:t xml:space="preserve"> as an archipelagic country</w:t>
      </w:r>
      <w:r w:rsidR="00CF7CBF">
        <w:rPr>
          <w:bCs/>
          <w:sz w:val="24"/>
          <w:szCs w:val="24"/>
        </w:rPr>
        <w:t>,</w:t>
      </w:r>
      <w:r w:rsidRPr="00E148FB">
        <w:rPr>
          <w:bCs/>
          <w:sz w:val="24"/>
          <w:szCs w:val="24"/>
        </w:rPr>
        <w:t xml:space="preserve"> has a unique geographical location comprising more than 7,100 islands. </w:t>
      </w:r>
      <w:r w:rsidR="00CF7CBF">
        <w:rPr>
          <w:bCs/>
          <w:sz w:val="24"/>
          <w:szCs w:val="24"/>
        </w:rPr>
        <w:t xml:space="preserve">The </w:t>
      </w:r>
      <w:r w:rsidRPr="00E148FB">
        <w:rPr>
          <w:bCs/>
          <w:sz w:val="24"/>
          <w:szCs w:val="24"/>
        </w:rPr>
        <w:t xml:space="preserve">Philippines is considered crucially important to global biodiversity because of its </w:t>
      </w:r>
      <w:r w:rsidR="00CF7CBF">
        <w:rPr>
          <w:bCs/>
          <w:sz w:val="24"/>
          <w:szCs w:val="24"/>
        </w:rPr>
        <w:t>exceptional</w:t>
      </w:r>
      <w:r w:rsidRPr="00E148FB">
        <w:rPr>
          <w:bCs/>
          <w:sz w:val="24"/>
          <w:szCs w:val="24"/>
        </w:rPr>
        <w:t xml:space="preserve"> levels of narrow endemism in both terrestrial and marine ecosystems</w:t>
      </w:r>
      <w:r w:rsidRPr="00E148FB">
        <w:rPr>
          <w:bCs/>
          <w:sz w:val="24"/>
          <w:szCs w:val="24"/>
          <w:vertAlign w:val="superscript"/>
        </w:rPr>
        <w:t xml:space="preserve"> </w:t>
      </w:r>
      <w:r w:rsidR="00B64431" w:rsidRPr="00E148FB">
        <w:rPr>
          <w:bCs/>
          <w:sz w:val="24"/>
          <w:szCs w:val="24"/>
        </w:rPr>
        <w:t>[</w:t>
      </w:r>
      <w:r w:rsidR="006E7C21" w:rsidRPr="00E148FB">
        <w:rPr>
          <w:bCs/>
          <w:sz w:val="24"/>
          <w:szCs w:val="24"/>
        </w:rPr>
        <w:t>8</w:t>
      </w:r>
      <w:r w:rsidR="00EA5255" w:rsidRPr="002F45E1">
        <w:rPr>
          <w:sz w:val="24"/>
          <w:szCs w:val="24"/>
        </w:rPr>
        <w:t>–</w:t>
      </w:r>
      <w:r w:rsidR="006E7C21" w:rsidRPr="00E148FB">
        <w:rPr>
          <w:bCs/>
          <w:sz w:val="24"/>
          <w:szCs w:val="24"/>
        </w:rPr>
        <w:t>10</w:t>
      </w:r>
      <w:r w:rsidR="00B64431" w:rsidRPr="00E148FB">
        <w:rPr>
          <w:bCs/>
          <w:sz w:val="24"/>
          <w:szCs w:val="24"/>
        </w:rPr>
        <w:t>]</w:t>
      </w:r>
      <w:r w:rsidRPr="00E148FB">
        <w:rPr>
          <w:bCs/>
          <w:sz w:val="24"/>
          <w:szCs w:val="24"/>
        </w:rPr>
        <w:t xml:space="preserve">. </w:t>
      </w:r>
      <w:r w:rsidR="00CF7CBF">
        <w:rPr>
          <w:bCs/>
          <w:sz w:val="24"/>
          <w:szCs w:val="24"/>
        </w:rPr>
        <w:t xml:space="preserve">The </w:t>
      </w:r>
      <w:r w:rsidRPr="00E148FB">
        <w:rPr>
          <w:bCs/>
          <w:sz w:val="24"/>
          <w:szCs w:val="24"/>
        </w:rPr>
        <w:t>Philippines is renowned as one of the megadiverse countries around the globe</w:t>
      </w:r>
      <w:r w:rsidRPr="00E148FB">
        <w:rPr>
          <w:bCs/>
          <w:sz w:val="24"/>
          <w:szCs w:val="24"/>
          <w:vertAlign w:val="superscript"/>
        </w:rPr>
        <w:t xml:space="preserve"> </w:t>
      </w:r>
      <w:r w:rsidR="00F84696" w:rsidRPr="00E148FB">
        <w:rPr>
          <w:bCs/>
          <w:sz w:val="24"/>
          <w:szCs w:val="24"/>
        </w:rPr>
        <w:t>[1</w:t>
      </w:r>
      <w:r w:rsidR="006E7C21" w:rsidRPr="00E148FB">
        <w:rPr>
          <w:bCs/>
          <w:sz w:val="24"/>
          <w:szCs w:val="24"/>
        </w:rPr>
        <w:t>1</w:t>
      </w:r>
      <w:r w:rsidR="00F84696" w:rsidRPr="00E148FB">
        <w:rPr>
          <w:bCs/>
          <w:sz w:val="24"/>
          <w:szCs w:val="24"/>
        </w:rPr>
        <w:t>]</w:t>
      </w:r>
      <w:r w:rsidRPr="00E148FB">
        <w:rPr>
          <w:bCs/>
          <w:sz w:val="24"/>
          <w:szCs w:val="24"/>
        </w:rPr>
        <w:t xml:space="preserve"> and one of the </w:t>
      </w:r>
      <w:r w:rsidR="00972FE6">
        <w:rPr>
          <w:bCs/>
          <w:sz w:val="24"/>
          <w:szCs w:val="24"/>
        </w:rPr>
        <w:t>world’s</w:t>
      </w:r>
      <w:r w:rsidRPr="00E148FB">
        <w:rPr>
          <w:bCs/>
          <w:sz w:val="24"/>
          <w:szCs w:val="24"/>
        </w:rPr>
        <w:t xml:space="preserve"> eight biodiversity hottest hotspots</w:t>
      </w:r>
      <w:r w:rsidRPr="00E148FB">
        <w:rPr>
          <w:bCs/>
          <w:sz w:val="24"/>
          <w:szCs w:val="24"/>
          <w:vertAlign w:val="superscript"/>
        </w:rPr>
        <w:t xml:space="preserve"> </w:t>
      </w:r>
      <w:r w:rsidR="00B64431" w:rsidRPr="00E148FB">
        <w:rPr>
          <w:bCs/>
          <w:sz w:val="24"/>
          <w:szCs w:val="24"/>
        </w:rPr>
        <w:t>[</w:t>
      </w:r>
      <w:r w:rsidR="003142EE" w:rsidRPr="00E148FB">
        <w:rPr>
          <w:bCs/>
          <w:sz w:val="24"/>
          <w:szCs w:val="24"/>
        </w:rPr>
        <w:t>9</w:t>
      </w:r>
      <w:r w:rsidR="00B64431" w:rsidRPr="00E148FB">
        <w:rPr>
          <w:bCs/>
          <w:sz w:val="24"/>
          <w:szCs w:val="24"/>
        </w:rPr>
        <w:t>]</w:t>
      </w:r>
      <w:r w:rsidRPr="00E148FB">
        <w:rPr>
          <w:bCs/>
          <w:sz w:val="24"/>
          <w:szCs w:val="24"/>
        </w:rPr>
        <w:t>.</w:t>
      </w:r>
    </w:p>
    <w:p w:rsidR="00030F1F" w:rsidRPr="00176610" w:rsidRDefault="00030F1F" w:rsidP="005A08DF">
      <w:pPr>
        <w:pStyle w:val="Els-NoIndent"/>
        <w:spacing w:line="480" w:lineRule="auto"/>
        <w:rPr>
          <w:bCs/>
          <w:sz w:val="24"/>
          <w:szCs w:val="24"/>
          <w:lang w:val="en-GB"/>
        </w:rPr>
      </w:pPr>
      <w:r w:rsidRPr="00E148FB">
        <w:rPr>
          <w:bCs/>
          <w:sz w:val="24"/>
          <w:szCs w:val="24"/>
        </w:rPr>
        <w:t xml:space="preserve">Aside from its megadiverse biodiversity, </w:t>
      </w:r>
      <w:r w:rsidR="00CF7CBF">
        <w:rPr>
          <w:bCs/>
          <w:sz w:val="24"/>
          <w:szCs w:val="24"/>
        </w:rPr>
        <w:t xml:space="preserve">the </w:t>
      </w:r>
      <w:r w:rsidRPr="00E148FB">
        <w:rPr>
          <w:bCs/>
          <w:sz w:val="24"/>
          <w:szCs w:val="24"/>
        </w:rPr>
        <w:t xml:space="preserve">Philippines is also acclaimed to be culturally diverse in ethnicity, accounting to 110 </w:t>
      </w:r>
      <w:r w:rsidR="00CF7CBF">
        <w:rPr>
          <w:bCs/>
          <w:sz w:val="24"/>
          <w:szCs w:val="24"/>
        </w:rPr>
        <w:t>different</w:t>
      </w:r>
      <w:r w:rsidRPr="00E148FB">
        <w:rPr>
          <w:bCs/>
          <w:sz w:val="24"/>
          <w:szCs w:val="24"/>
        </w:rPr>
        <w:t xml:space="preserve"> ethnolinguistic groups </w:t>
      </w:r>
      <w:r w:rsidR="003E0387" w:rsidRPr="00E148FB">
        <w:rPr>
          <w:bCs/>
          <w:sz w:val="24"/>
          <w:szCs w:val="24"/>
        </w:rPr>
        <w:t>[1</w:t>
      </w:r>
      <w:r w:rsidR="003142EE" w:rsidRPr="00E148FB">
        <w:rPr>
          <w:bCs/>
          <w:sz w:val="24"/>
          <w:szCs w:val="24"/>
        </w:rPr>
        <w:t>2</w:t>
      </w:r>
      <w:r w:rsidR="003E0387" w:rsidRPr="00E148FB">
        <w:rPr>
          <w:bCs/>
          <w:sz w:val="24"/>
          <w:szCs w:val="24"/>
        </w:rPr>
        <w:t>,1</w:t>
      </w:r>
      <w:r w:rsidR="003142EE" w:rsidRPr="00E148FB">
        <w:rPr>
          <w:bCs/>
          <w:sz w:val="24"/>
          <w:szCs w:val="24"/>
        </w:rPr>
        <w:t>3</w:t>
      </w:r>
      <w:r w:rsidR="003E0387" w:rsidRPr="00E148FB">
        <w:rPr>
          <w:bCs/>
          <w:sz w:val="24"/>
          <w:szCs w:val="24"/>
        </w:rPr>
        <w:t>]</w:t>
      </w:r>
      <w:r w:rsidRPr="00E148FB">
        <w:rPr>
          <w:bCs/>
          <w:sz w:val="24"/>
          <w:szCs w:val="24"/>
        </w:rPr>
        <w:t xml:space="preserve"> with distinct classification based on identity, language, socio-political systems, and practices</w:t>
      </w:r>
      <w:r w:rsidRPr="00E148FB">
        <w:rPr>
          <w:bCs/>
          <w:sz w:val="24"/>
          <w:szCs w:val="24"/>
          <w:vertAlign w:val="superscript"/>
        </w:rPr>
        <w:t xml:space="preserve"> </w:t>
      </w:r>
      <w:r w:rsidR="003E0387" w:rsidRPr="00E148FB">
        <w:rPr>
          <w:bCs/>
          <w:sz w:val="24"/>
          <w:szCs w:val="24"/>
        </w:rPr>
        <w:t>[1</w:t>
      </w:r>
      <w:r w:rsidR="003142EE" w:rsidRPr="00E148FB">
        <w:rPr>
          <w:bCs/>
          <w:sz w:val="24"/>
          <w:szCs w:val="24"/>
        </w:rPr>
        <w:t>4</w:t>
      </w:r>
      <w:r w:rsidR="003E0387" w:rsidRPr="00E148FB">
        <w:rPr>
          <w:bCs/>
          <w:sz w:val="24"/>
          <w:szCs w:val="24"/>
        </w:rPr>
        <w:t>]</w:t>
      </w:r>
      <w:r w:rsidRPr="00E148FB">
        <w:rPr>
          <w:bCs/>
          <w:sz w:val="24"/>
          <w:szCs w:val="24"/>
        </w:rPr>
        <w:t xml:space="preserve">. Among the settlements of these indigenous groups, the island of Mindanao is </w:t>
      </w:r>
      <w:r w:rsidR="00CF7CBF">
        <w:rPr>
          <w:bCs/>
          <w:sz w:val="24"/>
          <w:szCs w:val="24"/>
        </w:rPr>
        <w:t>mostly occupied</w:t>
      </w:r>
      <w:r w:rsidRPr="00E148FB">
        <w:rPr>
          <w:bCs/>
          <w:sz w:val="24"/>
          <w:szCs w:val="24"/>
        </w:rPr>
        <w:t xml:space="preserve"> with various indigenous peoples (IPs)</w:t>
      </w:r>
      <w:r w:rsidRPr="00E148FB">
        <w:rPr>
          <w:bCs/>
          <w:sz w:val="24"/>
          <w:szCs w:val="24"/>
          <w:vertAlign w:val="superscript"/>
        </w:rPr>
        <w:t xml:space="preserve"> </w:t>
      </w:r>
      <w:r w:rsidR="00F84696" w:rsidRPr="00E148FB">
        <w:rPr>
          <w:bCs/>
          <w:sz w:val="24"/>
          <w:szCs w:val="24"/>
        </w:rPr>
        <w:t>[1</w:t>
      </w:r>
      <w:r w:rsidR="003142EE" w:rsidRPr="00E148FB">
        <w:rPr>
          <w:bCs/>
          <w:sz w:val="24"/>
          <w:szCs w:val="24"/>
        </w:rPr>
        <w:t>5</w:t>
      </w:r>
      <w:r w:rsidR="00F84696" w:rsidRPr="00E148FB">
        <w:rPr>
          <w:bCs/>
          <w:sz w:val="24"/>
          <w:szCs w:val="24"/>
        </w:rPr>
        <w:t>]</w:t>
      </w:r>
      <w:r w:rsidRPr="00E148FB">
        <w:rPr>
          <w:bCs/>
          <w:sz w:val="24"/>
          <w:szCs w:val="24"/>
        </w:rPr>
        <w:t xml:space="preserve">. Some of these </w:t>
      </w:r>
      <w:r w:rsidR="00972FE6">
        <w:rPr>
          <w:bCs/>
          <w:sz w:val="24"/>
          <w:szCs w:val="24"/>
        </w:rPr>
        <w:t>IPs</w:t>
      </w:r>
      <w:r w:rsidRPr="00E148FB">
        <w:rPr>
          <w:bCs/>
          <w:sz w:val="24"/>
          <w:szCs w:val="24"/>
        </w:rPr>
        <w:t xml:space="preserve"> are the </w:t>
      </w:r>
      <w:r w:rsidR="0039171D" w:rsidRPr="00E148FB">
        <w:rPr>
          <w:bCs/>
          <w:sz w:val="24"/>
          <w:szCs w:val="24"/>
        </w:rPr>
        <w:t xml:space="preserve">numerous </w:t>
      </w:r>
      <w:r w:rsidRPr="00E148FB">
        <w:rPr>
          <w:bCs/>
          <w:sz w:val="24"/>
          <w:szCs w:val="24"/>
        </w:rPr>
        <w:t xml:space="preserve">cultural communities of </w:t>
      </w:r>
      <w:r w:rsidRPr="00E148FB">
        <w:rPr>
          <w:bCs/>
          <w:i/>
          <w:iCs/>
          <w:sz w:val="24"/>
          <w:szCs w:val="24"/>
        </w:rPr>
        <w:t>Manobo</w:t>
      </w:r>
      <w:r w:rsidRPr="00E148FB">
        <w:rPr>
          <w:bCs/>
          <w:sz w:val="24"/>
          <w:szCs w:val="24"/>
        </w:rPr>
        <w:t xml:space="preserve"> and </w:t>
      </w:r>
      <w:r w:rsidRPr="00E148FB">
        <w:rPr>
          <w:bCs/>
          <w:i/>
          <w:iCs/>
          <w:sz w:val="24"/>
          <w:szCs w:val="24"/>
        </w:rPr>
        <w:t>Higaonon</w:t>
      </w:r>
      <w:r w:rsidRPr="00E148FB">
        <w:rPr>
          <w:bCs/>
          <w:sz w:val="24"/>
          <w:szCs w:val="24"/>
        </w:rPr>
        <w:t xml:space="preserve">, inhabiting several areas only in </w:t>
      </w:r>
      <w:r w:rsidRPr="00E148FB">
        <w:rPr>
          <w:bCs/>
          <w:sz w:val="24"/>
          <w:szCs w:val="24"/>
        </w:rPr>
        <w:lastRenderedPageBreak/>
        <w:t>Mindanao</w:t>
      </w:r>
      <w:r w:rsidRPr="00E148FB">
        <w:rPr>
          <w:bCs/>
          <w:sz w:val="24"/>
          <w:szCs w:val="24"/>
          <w:vertAlign w:val="superscript"/>
        </w:rPr>
        <w:t xml:space="preserve"> </w:t>
      </w:r>
      <w:r w:rsidR="00F84696" w:rsidRPr="00E148FB">
        <w:rPr>
          <w:bCs/>
          <w:sz w:val="24"/>
          <w:szCs w:val="24"/>
        </w:rPr>
        <w:t>[1</w:t>
      </w:r>
      <w:r w:rsidR="003142EE" w:rsidRPr="00E148FB">
        <w:rPr>
          <w:bCs/>
          <w:sz w:val="24"/>
          <w:szCs w:val="24"/>
        </w:rPr>
        <w:t>6</w:t>
      </w:r>
      <w:r w:rsidR="00F84696" w:rsidRPr="00E148FB">
        <w:rPr>
          <w:bCs/>
          <w:sz w:val="24"/>
          <w:szCs w:val="24"/>
        </w:rPr>
        <w:t>]</w:t>
      </w:r>
      <w:r w:rsidRPr="00E148FB">
        <w:rPr>
          <w:bCs/>
          <w:sz w:val="24"/>
          <w:szCs w:val="24"/>
        </w:rPr>
        <w:t xml:space="preserve">. Both </w:t>
      </w:r>
      <w:r w:rsidRPr="00E148FB">
        <w:rPr>
          <w:bCs/>
          <w:i/>
          <w:iCs/>
          <w:sz w:val="24"/>
          <w:szCs w:val="24"/>
        </w:rPr>
        <w:t>Manobo</w:t>
      </w:r>
      <w:r w:rsidRPr="00E148FB">
        <w:rPr>
          <w:bCs/>
          <w:sz w:val="24"/>
          <w:szCs w:val="24"/>
        </w:rPr>
        <w:t xml:space="preserve"> and </w:t>
      </w:r>
      <w:r w:rsidRPr="00E148FB">
        <w:rPr>
          <w:bCs/>
          <w:i/>
          <w:iCs/>
          <w:sz w:val="24"/>
          <w:szCs w:val="24"/>
        </w:rPr>
        <w:t xml:space="preserve">Higaonon </w:t>
      </w:r>
      <w:r w:rsidRPr="00E148FB">
        <w:rPr>
          <w:bCs/>
          <w:sz w:val="24"/>
          <w:szCs w:val="24"/>
        </w:rPr>
        <w:t xml:space="preserve">continued to be recognized as one of the largest </w:t>
      </w:r>
      <w:r w:rsidR="0039171D" w:rsidRPr="00E148FB">
        <w:rPr>
          <w:bCs/>
          <w:sz w:val="24"/>
          <w:szCs w:val="24"/>
        </w:rPr>
        <w:t xml:space="preserve">and nomadic </w:t>
      </w:r>
      <w:r w:rsidRPr="00E148FB">
        <w:rPr>
          <w:bCs/>
          <w:sz w:val="24"/>
          <w:szCs w:val="24"/>
        </w:rPr>
        <w:t>groups of indigenous peoples in CARAGA Administrative Region</w:t>
      </w:r>
      <w:r w:rsidRPr="00E148FB">
        <w:rPr>
          <w:bCs/>
          <w:sz w:val="24"/>
          <w:szCs w:val="24"/>
          <w:vertAlign w:val="superscript"/>
        </w:rPr>
        <w:t xml:space="preserve"> </w:t>
      </w:r>
      <w:r w:rsidR="00F84696" w:rsidRPr="00E148FB">
        <w:rPr>
          <w:bCs/>
          <w:sz w:val="24"/>
          <w:szCs w:val="24"/>
        </w:rPr>
        <w:t>[1</w:t>
      </w:r>
      <w:r w:rsidR="003142EE" w:rsidRPr="00E148FB">
        <w:rPr>
          <w:bCs/>
          <w:sz w:val="24"/>
          <w:szCs w:val="24"/>
        </w:rPr>
        <w:t>4</w:t>
      </w:r>
      <w:r w:rsidR="00F05C9D" w:rsidRPr="00E148FB">
        <w:rPr>
          <w:bCs/>
          <w:sz w:val="24"/>
          <w:szCs w:val="24"/>
        </w:rPr>
        <w:t>,</w:t>
      </w:r>
      <w:r w:rsidR="00F84696" w:rsidRPr="00E148FB">
        <w:rPr>
          <w:bCs/>
          <w:sz w:val="24"/>
          <w:szCs w:val="24"/>
        </w:rPr>
        <w:t>1</w:t>
      </w:r>
      <w:r w:rsidR="003142EE" w:rsidRPr="00E148FB">
        <w:rPr>
          <w:bCs/>
          <w:sz w:val="24"/>
          <w:szCs w:val="24"/>
        </w:rPr>
        <w:t>7</w:t>
      </w:r>
      <w:r w:rsidR="00F84696" w:rsidRPr="00E148FB">
        <w:rPr>
          <w:bCs/>
          <w:sz w:val="24"/>
          <w:szCs w:val="24"/>
        </w:rPr>
        <w:t>]</w:t>
      </w:r>
      <w:r w:rsidRPr="00E148FB">
        <w:rPr>
          <w:bCs/>
          <w:sz w:val="24"/>
          <w:szCs w:val="24"/>
        </w:rPr>
        <w:t xml:space="preserve">. Etymologically, the </w:t>
      </w:r>
      <w:r w:rsidRPr="00E148FB">
        <w:rPr>
          <w:bCs/>
          <w:i/>
          <w:iCs/>
          <w:sz w:val="24"/>
          <w:szCs w:val="24"/>
        </w:rPr>
        <w:t>Manobo</w:t>
      </w:r>
      <w:r w:rsidRPr="00E148FB">
        <w:rPr>
          <w:bCs/>
          <w:sz w:val="24"/>
          <w:szCs w:val="24"/>
        </w:rPr>
        <w:t xml:space="preserve"> term was </w:t>
      </w:r>
      <w:r w:rsidRPr="00E148FB">
        <w:rPr>
          <w:bCs/>
          <w:sz w:val="24"/>
          <w:szCs w:val="24"/>
          <w:lang w:val="en-GB"/>
        </w:rPr>
        <w:t xml:space="preserve">named after the </w:t>
      </w:r>
      <w:r w:rsidR="00972FE6">
        <w:rPr>
          <w:bCs/>
          <w:sz w:val="24"/>
          <w:szCs w:val="24"/>
          <w:lang w:val="en-GB"/>
        </w:rPr>
        <w:t>“</w:t>
      </w:r>
      <w:r w:rsidRPr="00E148FB">
        <w:rPr>
          <w:bCs/>
          <w:sz w:val="24"/>
          <w:szCs w:val="24"/>
          <w:lang w:val="en-GB"/>
        </w:rPr>
        <w:t>Mansuba</w:t>
      </w:r>
      <w:r w:rsidR="00972FE6">
        <w:rPr>
          <w:bCs/>
          <w:sz w:val="24"/>
          <w:szCs w:val="24"/>
          <w:lang w:val="en-GB"/>
        </w:rPr>
        <w:t>”</w:t>
      </w:r>
      <w:r w:rsidRPr="00E148FB">
        <w:rPr>
          <w:bCs/>
          <w:sz w:val="24"/>
          <w:szCs w:val="24"/>
          <w:lang w:val="en-GB"/>
        </w:rPr>
        <w:t xml:space="preserve"> which means river people, coined from the </w:t>
      </w:r>
      <w:r w:rsidR="00972FE6">
        <w:rPr>
          <w:bCs/>
          <w:sz w:val="24"/>
          <w:szCs w:val="24"/>
          <w:lang w:val="en-GB"/>
        </w:rPr>
        <w:t>“</w:t>
      </w:r>
      <w:r w:rsidRPr="00E148FB">
        <w:rPr>
          <w:bCs/>
          <w:sz w:val="24"/>
          <w:szCs w:val="24"/>
          <w:lang w:val="en-GB"/>
        </w:rPr>
        <w:t>man</w:t>
      </w:r>
      <w:r w:rsidR="00972FE6">
        <w:rPr>
          <w:bCs/>
          <w:sz w:val="24"/>
          <w:szCs w:val="24"/>
          <w:lang w:val="en-GB"/>
        </w:rPr>
        <w:t>”</w:t>
      </w:r>
      <w:r w:rsidRPr="00E148FB">
        <w:rPr>
          <w:bCs/>
          <w:sz w:val="24"/>
          <w:szCs w:val="24"/>
          <w:lang w:val="en-GB"/>
        </w:rPr>
        <w:t xml:space="preserve"> (people) and the </w:t>
      </w:r>
      <w:r w:rsidR="00972FE6">
        <w:rPr>
          <w:bCs/>
          <w:sz w:val="24"/>
          <w:szCs w:val="24"/>
          <w:lang w:val="en-GB"/>
        </w:rPr>
        <w:t>“</w:t>
      </w:r>
      <w:r w:rsidRPr="00E148FB">
        <w:rPr>
          <w:bCs/>
          <w:sz w:val="24"/>
          <w:szCs w:val="24"/>
          <w:lang w:val="en-GB"/>
        </w:rPr>
        <w:t>suba</w:t>
      </w:r>
      <w:r w:rsidR="00972FE6">
        <w:rPr>
          <w:bCs/>
          <w:sz w:val="24"/>
          <w:szCs w:val="24"/>
          <w:lang w:val="en-GB"/>
        </w:rPr>
        <w:t>”</w:t>
      </w:r>
      <w:r w:rsidRPr="00E148FB">
        <w:rPr>
          <w:bCs/>
          <w:sz w:val="24"/>
          <w:szCs w:val="24"/>
          <w:lang w:val="en-GB"/>
        </w:rPr>
        <w:t xml:space="preserve"> (river)</w:t>
      </w:r>
      <w:r w:rsidR="00176610">
        <w:rPr>
          <w:bCs/>
          <w:sz w:val="24"/>
          <w:szCs w:val="24"/>
          <w:lang w:val="en-GB"/>
        </w:rPr>
        <w:t>. In contrast,</w:t>
      </w:r>
      <w:r w:rsidRPr="00E148FB">
        <w:rPr>
          <w:bCs/>
          <w:sz w:val="24"/>
          <w:szCs w:val="24"/>
        </w:rPr>
        <w:t xml:space="preserve"> the </w:t>
      </w:r>
      <w:r w:rsidRPr="00E148FB">
        <w:rPr>
          <w:bCs/>
          <w:i/>
          <w:iCs/>
          <w:sz w:val="24"/>
          <w:szCs w:val="24"/>
        </w:rPr>
        <w:t>Higaonon</w:t>
      </w:r>
      <w:r w:rsidRPr="00E148FB">
        <w:rPr>
          <w:bCs/>
          <w:sz w:val="24"/>
          <w:szCs w:val="24"/>
        </w:rPr>
        <w:t xml:space="preserve"> term was named after </w:t>
      </w:r>
      <w:r w:rsidR="00972FE6">
        <w:rPr>
          <w:bCs/>
          <w:sz w:val="24"/>
          <w:szCs w:val="24"/>
        </w:rPr>
        <w:t>“</w:t>
      </w:r>
      <w:proofErr w:type="spellStart"/>
      <w:r w:rsidRPr="00E148FB">
        <w:rPr>
          <w:bCs/>
          <w:sz w:val="24"/>
          <w:szCs w:val="24"/>
        </w:rPr>
        <w:t>Higa-gaon-onon</w:t>
      </w:r>
      <w:proofErr w:type="spellEnd"/>
      <w:r w:rsidR="00972FE6">
        <w:rPr>
          <w:bCs/>
          <w:sz w:val="24"/>
          <w:szCs w:val="24"/>
        </w:rPr>
        <w:t>”</w:t>
      </w:r>
      <w:r w:rsidRPr="00E148FB">
        <w:rPr>
          <w:bCs/>
          <w:sz w:val="24"/>
          <w:szCs w:val="24"/>
        </w:rPr>
        <w:t xml:space="preserve"> coined from the </w:t>
      </w:r>
      <w:r w:rsidR="00972FE6">
        <w:rPr>
          <w:bCs/>
          <w:sz w:val="24"/>
          <w:szCs w:val="24"/>
        </w:rPr>
        <w:t>“</w:t>
      </w:r>
      <w:proofErr w:type="spellStart"/>
      <w:r w:rsidRPr="00E148FB">
        <w:rPr>
          <w:bCs/>
          <w:sz w:val="24"/>
          <w:szCs w:val="24"/>
        </w:rPr>
        <w:t>higa</w:t>
      </w:r>
      <w:proofErr w:type="spellEnd"/>
      <w:r w:rsidR="00972FE6">
        <w:rPr>
          <w:bCs/>
          <w:sz w:val="24"/>
          <w:szCs w:val="24"/>
        </w:rPr>
        <w:t>”</w:t>
      </w:r>
      <w:r w:rsidRPr="00E148FB">
        <w:rPr>
          <w:bCs/>
          <w:sz w:val="24"/>
          <w:szCs w:val="24"/>
        </w:rPr>
        <w:t xml:space="preserve"> (to live or to lay), </w:t>
      </w:r>
      <w:r w:rsidR="00972FE6">
        <w:rPr>
          <w:bCs/>
          <w:sz w:val="24"/>
          <w:szCs w:val="24"/>
        </w:rPr>
        <w:t>“</w:t>
      </w:r>
      <w:proofErr w:type="spellStart"/>
      <w:r w:rsidRPr="00E148FB">
        <w:rPr>
          <w:bCs/>
          <w:sz w:val="24"/>
          <w:szCs w:val="24"/>
        </w:rPr>
        <w:t>gaon</w:t>
      </w:r>
      <w:proofErr w:type="spellEnd"/>
      <w:r w:rsidR="00972FE6">
        <w:rPr>
          <w:bCs/>
          <w:sz w:val="24"/>
          <w:szCs w:val="24"/>
        </w:rPr>
        <w:t>”</w:t>
      </w:r>
      <w:r w:rsidRPr="00E148FB">
        <w:rPr>
          <w:bCs/>
          <w:sz w:val="24"/>
          <w:szCs w:val="24"/>
        </w:rPr>
        <w:t xml:space="preserve"> (mountain), and </w:t>
      </w:r>
      <w:r w:rsidR="00972FE6">
        <w:rPr>
          <w:bCs/>
          <w:sz w:val="24"/>
          <w:szCs w:val="24"/>
        </w:rPr>
        <w:t>“</w:t>
      </w:r>
      <w:proofErr w:type="spellStart"/>
      <w:r w:rsidRPr="00E148FB">
        <w:rPr>
          <w:bCs/>
          <w:sz w:val="24"/>
          <w:szCs w:val="24"/>
        </w:rPr>
        <w:t>onon</w:t>
      </w:r>
      <w:proofErr w:type="spellEnd"/>
      <w:r w:rsidR="00972FE6">
        <w:rPr>
          <w:bCs/>
          <w:sz w:val="24"/>
          <w:szCs w:val="24"/>
        </w:rPr>
        <w:t>”</w:t>
      </w:r>
      <w:r w:rsidRPr="00E148FB">
        <w:rPr>
          <w:bCs/>
          <w:sz w:val="24"/>
          <w:szCs w:val="24"/>
        </w:rPr>
        <w:t xml:space="preserve"> (people). These tribes have maintained to conserve and protect their ancestral domain to continually sustain their cultural traditions, practices</w:t>
      </w:r>
      <w:r w:rsidR="00176610">
        <w:rPr>
          <w:bCs/>
          <w:sz w:val="24"/>
          <w:szCs w:val="24"/>
        </w:rPr>
        <w:t>,</w:t>
      </w:r>
      <w:r w:rsidRPr="00E148FB">
        <w:rPr>
          <w:bCs/>
          <w:sz w:val="24"/>
          <w:szCs w:val="24"/>
        </w:rPr>
        <w:t xml:space="preserve"> and values up to this present generation. They are knowledgeable </w:t>
      </w:r>
      <w:r w:rsidR="00176610">
        <w:rPr>
          <w:bCs/>
          <w:sz w:val="24"/>
          <w:szCs w:val="24"/>
        </w:rPr>
        <w:t>about</w:t>
      </w:r>
      <w:r w:rsidRPr="00E148FB">
        <w:rPr>
          <w:bCs/>
          <w:sz w:val="24"/>
          <w:szCs w:val="24"/>
        </w:rPr>
        <w:t xml:space="preserve"> various medicinal trees used in their communities for economic and </w:t>
      </w:r>
      <w:r w:rsidR="00176610">
        <w:rPr>
          <w:bCs/>
          <w:sz w:val="24"/>
          <w:szCs w:val="24"/>
        </w:rPr>
        <w:t>therapeutic</w:t>
      </w:r>
      <w:r w:rsidRPr="00E148FB">
        <w:rPr>
          <w:bCs/>
          <w:sz w:val="24"/>
          <w:szCs w:val="24"/>
        </w:rPr>
        <w:t xml:space="preserve"> </w:t>
      </w:r>
      <w:r w:rsidR="00176610">
        <w:rPr>
          <w:bCs/>
          <w:sz w:val="24"/>
          <w:szCs w:val="24"/>
        </w:rPr>
        <w:t>benefits</w:t>
      </w:r>
      <w:r w:rsidRPr="00E148FB">
        <w:rPr>
          <w:bCs/>
          <w:sz w:val="24"/>
          <w:szCs w:val="24"/>
        </w:rPr>
        <w:t>. Medicinal trees and other trees in the forest have a crucial role in forest structure</w:t>
      </w:r>
      <w:r w:rsidR="00461D57" w:rsidRPr="00E148FB">
        <w:rPr>
          <w:bCs/>
          <w:sz w:val="24"/>
          <w:szCs w:val="24"/>
        </w:rPr>
        <w:t xml:space="preserve"> and </w:t>
      </w:r>
      <w:r w:rsidRPr="00E148FB">
        <w:rPr>
          <w:bCs/>
          <w:sz w:val="24"/>
          <w:szCs w:val="24"/>
        </w:rPr>
        <w:t xml:space="preserve">ecological balance. Some of these trees are also used for timber production and are then often overused and harvested more frequently than others </w:t>
      </w:r>
      <w:r w:rsidR="00415D9D" w:rsidRPr="00E148FB">
        <w:rPr>
          <w:bCs/>
          <w:sz w:val="24"/>
          <w:szCs w:val="24"/>
        </w:rPr>
        <w:t>[18]</w:t>
      </w:r>
      <w:r w:rsidRPr="00E148FB">
        <w:rPr>
          <w:bCs/>
          <w:sz w:val="24"/>
          <w:szCs w:val="24"/>
        </w:rPr>
        <w:t xml:space="preserve">. The significant role of </w:t>
      </w:r>
      <w:r w:rsidR="00972FE6">
        <w:rPr>
          <w:bCs/>
          <w:sz w:val="24"/>
          <w:szCs w:val="24"/>
        </w:rPr>
        <w:t>IPs</w:t>
      </w:r>
      <w:r w:rsidRPr="00E148FB">
        <w:rPr>
          <w:bCs/>
          <w:sz w:val="24"/>
          <w:szCs w:val="24"/>
        </w:rPr>
        <w:t xml:space="preserve"> as key conservation actors is highly anticipated because of their vast knowledge and internal accountability in opportunities for joint intervention with Indigenous Peoples Organization (IPOs) to address biodiversity programs worldwide </w:t>
      </w:r>
      <w:r w:rsidR="00415D9D" w:rsidRPr="00E148FB">
        <w:rPr>
          <w:bCs/>
          <w:sz w:val="24"/>
          <w:szCs w:val="24"/>
        </w:rPr>
        <w:t>[19]</w:t>
      </w:r>
      <w:r w:rsidRPr="00E148FB">
        <w:rPr>
          <w:bCs/>
          <w:sz w:val="24"/>
          <w:szCs w:val="24"/>
        </w:rPr>
        <w:t>.</w:t>
      </w:r>
    </w:p>
    <w:p w:rsidR="00A41E1E" w:rsidRPr="00E148FB" w:rsidRDefault="00030F1F" w:rsidP="005A08DF">
      <w:pPr>
        <w:pStyle w:val="Els-NoIndent"/>
        <w:spacing w:line="480" w:lineRule="auto"/>
        <w:rPr>
          <w:bCs/>
          <w:sz w:val="24"/>
          <w:szCs w:val="24"/>
        </w:rPr>
      </w:pPr>
      <w:r w:rsidRPr="00E148FB">
        <w:rPr>
          <w:bCs/>
          <w:sz w:val="24"/>
          <w:szCs w:val="24"/>
        </w:rPr>
        <w:t xml:space="preserve">It is highly significant to investigate plant sources like medicinal trees and their conservation status used by the Indigenous Cultural Communities/Indigenous Peoples (ICCs/IPs). Hence, this study aims to document ethnomedicinal importance and assess the conservation status of the medicinal trees used by the </w:t>
      </w:r>
      <w:r w:rsidRPr="00E148FB">
        <w:rPr>
          <w:bCs/>
          <w:i/>
          <w:iCs/>
          <w:sz w:val="24"/>
          <w:szCs w:val="24"/>
        </w:rPr>
        <w:t>Manobo</w:t>
      </w:r>
      <w:r w:rsidRPr="00E148FB">
        <w:rPr>
          <w:bCs/>
          <w:sz w:val="24"/>
          <w:szCs w:val="24"/>
        </w:rPr>
        <w:t xml:space="preserve"> and </w:t>
      </w:r>
      <w:r w:rsidRPr="00E148FB">
        <w:rPr>
          <w:bCs/>
          <w:i/>
          <w:iCs/>
          <w:sz w:val="24"/>
          <w:szCs w:val="24"/>
        </w:rPr>
        <w:t>Higaonon</w:t>
      </w:r>
      <w:r w:rsidRPr="00E148FB">
        <w:rPr>
          <w:bCs/>
          <w:sz w:val="24"/>
          <w:szCs w:val="24"/>
        </w:rPr>
        <w:t xml:space="preserve"> cultural communities in Esperanza, Agusan del Sur, Philippines.</w:t>
      </w:r>
    </w:p>
    <w:p w:rsidR="00290B0B" w:rsidRPr="00E148FB" w:rsidRDefault="00290B0B" w:rsidP="005A08DF">
      <w:pPr>
        <w:pStyle w:val="Els-NoIndent"/>
        <w:spacing w:line="480" w:lineRule="auto"/>
        <w:ind w:firstLine="360"/>
        <w:rPr>
          <w:bCs/>
          <w:sz w:val="24"/>
          <w:szCs w:val="24"/>
        </w:rPr>
      </w:pPr>
    </w:p>
    <w:p w:rsidR="00C73F1A" w:rsidRPr="00E148FB" w:rsidRDefault="00030F1F" w:rsidP="005A08DF">
      <w:pPr>
        <w:ind w:right="780"/>
        <w:rPr>
          <w:b/>
          <w:bCs/>
        </w:rPr>
      </w:pPr>
      <w:r w:rsidRPr="00E148FB">
        <w:rPr>
          <w:b/>
          <w:bCs/>
        </w:rPr>
        <w:t>Materials and Methods</w:t>
      </w:r>
    </w:p>
    <w:p w:rsidR="00030F1F" w:rsidRPr="00E148FB" w:rsidRDefault="00030F1F" w:rsidP="005A08DF">
      <w:pPr>
        <w:ind w:right="780"/>
        <w:rPr>
          <w:b/>
          <w:i/>
          <w:iCs/>
        </w:rPr>
      </w:pPr>
      <w:r w:rsidRPr="00E148FB">
        <w:rPr>
          <w:b/>
          <w:i/>
          <w:iCs/>
        </w:rPr>
        <w:t>Study Area</w:t>
      </w:r>
    </w:p>
    <w:p w:rsidR="00030F1F" w:rsidRPr="00E148FB" w:rsidRDefault="00030F1F" w:rsidP="005A08DF">
      <w:pPr>
        <w:pStyle w:val="ListParagraph"/>
        <w:spacing w:line="480" w:lineRule="auto"/>
        <w:ind w:left="0"/>
        <w:jc w:val="both"/>
        <w:rPr>
          <w:bCs/>
          <w:sz w:val="24"/>
          <w:szCs w:val="24"/>
        </w:rPr>
      </w:pPr>
      <w:r w:rsidRPr="00E148FB">
        <w:rPr>
          <w:bCs/>
          <w:sz w:val="24"/>
          <w:szCs w:val="24"/>
        </w:rPr>
        <w:t>The fieldwork was conducted in the Municipality of Esperanza, Agusan del Sur. This landlocked municipality is situated at the coordinates 8°41</w:t>
      </w:r>
      <w:r w:rsidR="00972FE6">
        <w:rPr>
          <w:bCs/>
          <w:sz w:val="24"/>
          <w:szCs w:val="24"/>
        </w:rPr>
        <w:t>’</w:t>
      </w:r>
      <w:r w:rsidRPr="00E148FB">
        <w:rPr>
          <w:bCs/>
          <w:sz w:val="24"/>
          <w:szCs w:val="24"/>
        </w:rPr>
        <w:t xml:space="preserve"> N and 125°39</w:t>
      </w:r>
      <w:r w:rsidR="00972FE6">
        <w:rPr>
          <w:bCs/>
          <w:sz w:val="24"/>
          <w:szCs w:val="24"/>
        </w:rPr>
        <w:t>’</w:t>
      </w:r>
      <w:r w:rsidRPr="00E148FB">
        <w:rPr>
          <w:bCs/>
          <w:sz w:val="24"/>
          <w:szCs w:val="24"/>
        </w:rPr>
        <w:t xml:space="preserve"> E (8.6760, </w:t>
      </w:r>
      <w:r w:rsidRPr="00E148FB">
        <w:rPr>
          <w:bCs/>
          <w:sz w:val="24"/>
          <w:szCs w:val="24"/>
        </w:rPr>
        <w:lastRenderedPageBreak/>
        <w:t>125.6454). This study purposively covered selected barangays for the reasons of accessibility, availability, and security with Certification of Ancestral Domain Title (CADT) as endorsed by the National Commission on Indigenous Peoples - CARAGA Administrative Region (NCIP-CARAGA) (Fig</w:t>
      </w:r>
      <w:r w:rsidR="00701E2A" w:rsidRPr="00E148FB">
        <w:rPr>
          <w:bCs/>
          <w:sz w:val="24"/>
          <w:szCs w:val="24"/>
        </w:rPr>
        <w:t>.</w:t>
      </w:r>
      <w:r w:rsidRPr="00E148FB">
        <w:rPr>
          <w:bCs/>
          <w:sz w:val="24"/>
          <w:szCs w:val="24"/>
        </w:rPr>
        <w:t xml:space="preserve"> 1). These sites are part of the forestland areas of the province</w:t>
      </w:r>
      <w:r w:rsidR="009B3030">
        <w:rPr>
          <w:bCs/>
          <w:sz w:val="24"/>
          <w:szCs w:val="24"/>
        </w:rPr>
        <w:t>,</w:t>
      </w:r>
      <w:r w:rsidRPr="00E148FB">
        <w:rPr>
          <w:bCs/>
          <w:sz w:val="24"/>
          <w:szCs w:val="24"/>
        </w:rPr>
        <w:t xml:space="preserve"> which comprise almost two-thirds (74%) of </w:t>
      </w:r>
      <w:r w:rsidR="009B3030">
        <w:rPr>
          <w:bCs/>
          <w:sz w:val="24"/>
          <w:szCs w:val="24"/>
        </w:rPr>
        <w:t xml:space="preserve">the </w:t>
      </w:r>
      <w:r w:rsidRPr="00E148FB">
        <w:rPr>
          <w:bCs/>
          <w:sz w:val="24"/>
          <w:szCs w:val="24"/>
        </w:rPr>
        <w:t>total land area</w:t>
      </w:r>
      <w:r w:rsidR="00176610">
        <w:rPr>
          <w:bCs/>
          <w:sz w:val="24"/>
          <w:szCs w:val="24"/>
        </w:rPr>
        <w:t xml:space="preserve"> </w:t>
      </w:r>
      <w:r w:rsidR="00176610" w:rsidRPr="00E148FB">
        <w:rPr>
          <w:bCs/>
          <w:sz w:val="24"/>
          <w:szCs w:val="24"/>
        </w:rPr>
        <w:t>[20].</w:t>
      </w:r>
      <w:r w:rsidR="00176610">
        <w:rPr>
          <w:bCs/>
          <w:sz w:val="24"/>
          <w:szCs w:val="24"/>
        </w:rPr>
        <w:t xml:space="preserve"> In comparison,</w:t>
      </w:r>
      <w:r w:rsidRPr="00E148FB">
        <w:rPr>
          <w:bCs/>
          <w:sz w:val="24"/>
          <w:szCs w:val="24"/>
        </w:rPr>
        <w:t xml:space="preserve"> alienable and disposable (A&amp;D) areas constitute around one-third (26%) of the total land area </w:t>
      </w:r>
      <w:r w:rsidR="00701E2A" w:rsidRPr="00E148FB">
        <w:rPr>
          <w:bCs/>
          <w:sz w:val="24"/>
          <w:szCs w:val="24"/>
        </w:rPr>
        <w:t>[</w:t>
      </w:r>
      <w:r w:rsidR="002C4233" w:rsidRPr="00E148FB">
        <w:rPr>
          <w:bCs/>
          <w:sz w:val="24"/>
          <w:szCs w:val="24"/>
        </w:rPr>
        <w:t>2</w:t>
      </w:r>
      <w:r w:rsidR="00701E2A" w:rsidRPr="00E148FB">
        <w:rPr>
          <w:bCs/>
          <w:sz w:val="24"/>
          <w:szCs w:val="24"/>
        </w:rPr>
        <w:t>0]</w:t>
      </w:r>
      <w:r w:rsidRPr="00E148FB">
        <w:rPr>
          <w:bCs/>
          <w:sz w:val="24"/>
          <w:szCs w:val="24"/>
        </w:rPr>
        <w:t>.</w:t>
      </w:r>
    </w:p>
    <w:p w:rsidR="00290B0B" w:rsidRPr="00E148FB" w:rsidRDefault="00290B0B" w:rsidP="005A08DF">
      <w:pPr>
        <w:pStyle w:val="ListParagraph"/>
        <w:spacing w:line="480" w:lineRule="auto"/>
        <w:ind w:left="0"/>
        <w:jc w:val="both"/>
        <w:rPr>
          <w:bCs/>
          <w:sz w:val="24"/>
          <w:szCs w:val="24"/>
        </w:rPr>
      </w:pPr>
    </w:p>
    <w:p w:rsidR="00030F1F" w:rsidRPr="00E148FB" w:rsidRDefault="00030F1F" w:rsidP="005A08DF">
      <w:pPr>
        <w:ind w:right="780"/>
        <w:rPr>
          <w:b/>
          <w:i/>
          <w:iCs/>
        </w:rPr>
      </w:pPr>
      <w:r w:rsidRPr="00E148FB">
        <w:rPr>
          <w:b/>
          <w:i/>
          <w:iCs/>
        </w:rPr>
        <w:t>Field Survey</w:t>
      </w:r>
    </w:p>
    <w:p w:rsidR="00030F1F" w:rsidRPr="00E148FB" w:rsidRDefault="00030F1F" w:rsidP="005A08DF">
      <w:pPr>
        <w:tabs>
          <w:tab w:val="left" w:pos="450"/>
          <w:tab w:val="center" w:pos="4680"/>
        </w:tabs>
        <w:jc w:val="both"/>
        <w:rPr>
          <w:spacing w:val="2"/>
          <w:kern w:val="36"/>
          <w:lang w:val="en-PH"/>
        </w:rPr>
      </w:pPr>
      <w:r w:rsidRPr="00E148FB">
        <w:rPr>
          <w:spacing w:val="2"/>
          <w:kern w:val="36"/>
          <w:lang w:val="en-PH"/>
        </w:rPr>
        <w:t xml:space="preserve">Fieldwork was conducted from </w:t>
      </w:r>
      <w:r w:rsidR="008A5B99" w:rsidRPr="00E148FB">
        <w:rPr>
          <w:spacing w:val="2"/>
          <w:kern w:val="36"/>
          <w:lang w:val="en-PH"/>
        </w:rPr>
        <w:t>March</w:t>
      </w:r>
      <w:r w:rsidRPr="00E148FB">
        <w:rPr>
          <w:spacing w:val="2"/>
          <w:kern w:val="36"/>
          <w:lang w:val="en-PH"/>
        </w:rPr>
        <w:t xml:space="preserve"> 201</w:t>
      </w:r>
      <w:r w:rsidR="008A5B99" w:rsidRPr="00E148FB">
        <w:rPr>
          <w:spacing w:val="2"/>
          <w:kern w:val="36"/>
          <w:lang w:val="en-PH"/>
        </w:rPr>
        <w:t>8</w:t>
      </w:r>
      <w:r w:rsidRPr="00E148FB">
        <w:rPr>
          <w:spacing w:val="2"/>
          <w:kern w:val="36"/>
          <w:lang w:val="en-PH"/>
        </w:rPr>
        <w:t xml:space="preserve"> to April 2019. Prior acquisition of necessary ethics approval, informed consents, resolution, certification, and wildlife gratuitous permit were acquired before </w:t>
      </w:r>
      <w:r w:rsidR="009B3030">
        <w:rPr>
          <w:spacing w:val="2"/>
          <w:kern w:val="36"/>
          <w:lang w:val="en-PH"/>
        </w:rPr>
        <w:t xml:space="preserve">the </w:t>
      </w:r>
      <w:r w:rsidRPr="00E148FB">
        <w:rPr>
          <w:spacing w:val="2"/>
          <w:kern w:val="36"/>
          <w:lang w:val="en-PH"/>
        </w:rPr>
        <w:t xml:space="preserve">actual interview, field survey, and </w:t>
      </w:r>
      <w:r w:rsidR="00271DEA" w:rsidRPr="00E148FB">
        <w:rPr>
          <w:spacing w:val="2"/>
          <w:kern w:val="36"/>
          <w:lang w:val="en-PH"/>
        </w:rPr>
        <w:t xml:space="preserve">branch </w:t>
      </w:r>
      <w:r w:rsidRPr="00E148FB">
        <w:rPr>
          <w:spacing w:val="2"/>
          <w:kern w:val="36"/>
          <w:lang w:val="en-PH"/>
        </w:rPr>
        <w:t xml:space="preserve">collection in selected barangays of Esperanza, Agusan del Sur, namely </w:t>
      </w:r>
      <w:proofErr w:type="spellStart"/>
      <w:r w:rsidRPr="00E148FB">
        <w:rPr>
          <w:spacing w:val="2"/>
          <w:kern w:val="36"/>
          <w:lang w:val="en-PH"/>
        </w:rPr>
        <w:t>Bentahon</w:t>
      </w:r>
      <w:proofErr w:type="spellEnd"/>
      <w:r w:rsidRPr="00E148FB">
        <w:rPr>
          <w:spacing w:val="2"/>
          <w:kern w:val="36"/>
          <w:lang w:val="en-PH"/>
        </w:rPr>
        <w:t xml:space="preserve">, </w:t>
      </w:r>
      <w:proofErr w:type="spellStart"/>
      <w:r w:rsidRPr="00E148FB">
        <w:rPr>
          <w:spacing w:val="2"/>
          <w:kern w:val="36"/>
          <w:lang w:val="en-PH"/>
        </w:rPr>
        <w:t>Bunaguit</w:t>
      </w:r>
      <w:proofErr w:type="spellEnd"/>
      <w:r w:rsidRPr="00E148FB">
        <w:rPr>
          <w:spacing w:val="2"/>
          <w:kern w:val="36"/>
          <w:lang w:val="en-PH"/>
        </w:rPr>
        <w:t xml:space="preserve">, </w:t>
      </w:r>
      <w:proofErr w:type="spellStart"/>
      <w:r w:rsidRPr="00E148FB">
        <w:rPr>
          <w:spacing w:val="2"/>
          <w:kern w:val="36"/>
          <w:lang w:val="en-PH"/>
        </w:rPr>
        <w:t>Poblacion</w:t>
      </w:r>
      <w:proofErr w:type="spellEnd"/>
      <w:r w:rsidRPr="00E148FB">
        <w:rPr>
          <w:spacing w:val="2"/>
          <w:kern w:val="36"/>
          <w:lang w:val="en-PH"/>
        </w:rPr>
        <w:t xml:space="preserve"> and Remedios. Consultation meetings and discussions were conducted together with the two tribal leaders and two tribal healers comprising the two indigenous communities, with the assistance of the municipal </w:t>
      </w:r>
      <w:r w:rsidR="00972FE6">
        <w:rPr>
          <w:spacing w:val="2"/>
          <w:kern w:val="36"/>
          <w:lang w:val="en-PH"/>
        </w:rPr>
        <w:t>IPs</w:t>
      </w:r>
      <w:r w:rsidRPr="00E148FB">
        <w:rPr>
          <w:spacing w:val="2"/>
          <w:kern w:val="36"/>
          <w:lang w:val="en-PH"/>
        </w:rPr>
        <w:t xml:space="preserve"> consultant in cooperation with the municipal administration to discuss research intent as totally academic. The joint meeting succeeded with rituals for this </w:t>
      </w:r>
      <w:r w:rsidR="00F97948" w:rsidRPr="00E148FB">
        <w:rPr>
          <w:spacing w:val="2"/>
          <w:kern w:val="36"/>
          <w:lang w:val="en-PH"/>
        </w:rPr>
        <w:t>documentation</w:t>
      </w:r>
      <w:r w:rsidRPr="00E148FB">
        <w:rPr>
          <w:spacing w:val="2"/>
          <w:kern w:val="36"/>
          <w:lang w:val="en-PH"/>
        </w:rPr>
        <w:t xml:space="preserve"> resulted in mutual agreement and respect. As agreed, the research intent was certified by NCIP-local government unit (LGU) following its by-laws for the welfare and protection of indigenous peoples, and finally </w:t>
      </w:r>
      <w:r w:rsidR="009B3030">
        <w:rPr>
          <w:spacing w:val="2"/>
          <w:kern w:val="36"/>
          <w:lang w:val="en-PH"/>
        </w:rPr>
        <w:t>approved</w:t>
      </w:r>
      <w:r w:rsidRPr="00E148FB">
        <w:rPr>
          <w:spacing w:val="2"/>
          <w:kern w:val="36"/>
          <w:lang w:val="en-PH"/>
        </w:rPr>
        <w:t xml:space="preserve"> by NCIP-CARAGA. </w:t>
      </w:r>
    </w:p>
    <w:p w:rsidR="00030F1F" w:rsidRPr="00E148FB" w:rsidRDefault="00030F1F" w:rsidP="005A08DF">
      <w:pPr>
        <w:tabs>
          <w:tab w:val="left" w:pos="3422"/>
          <w:tab w:val="center" w:pos="4680"/>
        </w:tabs>
        <w:jc w:val="both"/>
        <w:rPr>
          <w:spacing w:val="2"/>
          <w:kern w:val="36"/>
          <w:lang w:val="en-PH"/>
        </w:rPr>
      </w:pPr>
      <w:r w:rsidRPr="00E148FB">
        <w:rPr>
          <w:spacing w:val="2"/>
          <w:kern w:val="36"/>
          <w:lang w:val="en-PH"/>
        </w:rPr>
        <w:t xml:space="preserve">A total of 145 indigenous respondents (95 </w:t>
      </w:r>
      <w:r w:rsidRPr="00E148FB">
        <w:rPr>
          <w:i/>
          <w:iCs/>
          <w:spacing w:val="2"/>
          <w:kern w:val="36"/>
          <w:lang w:val="en-PH"/>
        </w:rPr>
        <w:t>Manobo</w:t>
      </w:r>
      <w:r w:rsidRPr="00E148FB">
        <w:rPr>
          <w:spacing w:val="2"/>
          <w:kern w:val="36"/>
          <w:lang w:val="en-PH"/>
        </w:rPr>
        <w:t xml:space="preserve"> and 50 </w:t>
      </w:r>
      <w:r w:rsidRPr="00E148FB">
        <w:rPr>
          <w:i/>
          <w:iCs/>
          <w:spacing w:val="2"/>
          <w:kern w:val="36"/>
          <w:lang w:val="en-PH"/>
        </w:rPr>
        <w:t>Higaonon</w:t>
      </w:r>
      <w:r w:rsidRPr="00E148FB">
        <w:rPr>
          <w:spacing w:val="2"/>
          <w:kern w:val="36"/>
          <w:lang w:val="en-PH"/>
        </w:rPr>
        <w:t xml:space="preserve">), which is more than 10% of the total population of selected barangays, comprising </w:t>
      </w:r>
      <w:r w:rsidRPr="00E148FB">
        <w:t xml:space="preserve">of the tribal council and members </w:t>
      </w:r>
      <w:r w:rsidRPr="00E148FB">
        <w:rPr>
          <w:spacing w:val="2"/>
          <w:kern w:val="36"/>
          <w:lang w:val="en-PH"/>
        </w:rPr>
        <w:t xml:space="preserve">were selected through purposive and snowball sampling. A total of 48 females and 97 males with </w:t>
      </w:r>
      <w:r w:rsidR="009B3030">
        <w:rPr>
          <w:spacing w:val="2"/>
          <w:kern w:val="36"/>
          <w:lang w:val="en-PH"/>
        </w:rPr>
        <w:t xml:space="preserve">an </w:t>
      </w:r>
      <w:r w:rsidRPr="00E148FB">
        <w:rPr>
          <w:spacing w:val="2"/>
          <w:kern w:val="36"/>
          <w:lang w:val="en-PH"/>
        </w:rPr>
        <w:t>age range from 18</w:t>
      </w:r>
      <w:r w:rsidR="00EA5255" w:rsidRPr="002F45E1">
        <w:t>–</w:t>
      </w:r>
      <w:r w:rsidRPr="00E148FB">
        <w:rPr>
          <w:spacing w:val="2"/>
          <w:kern w:val="36"/>
          <w:lang w:val="en-PH"/>
        </w:rPr>
        <w:t xml:space="preserve">78 years old and median age being 41 </w:t>
      </w:r>
      <w:r w:rsidRPr="00E148FB">
        <w:rPr>
          <w:spacing w:val="2"/>
          <w:kern w:val="36"/>
          <w:lang w:val="en-PH"/>
        </w:rPr>
        <w:lastRenderedPageBreak/>
        <w:t xml:space="preserve">were sampled. Ethnomedicinal data were collected through semi-structured interviews with the key informants and corner meetings with the tribal community after obtaining </w:t>
      </w:r>
      <w:r w:rsidR="009B3030">
        <w:rPr>
          <w:spacing w:val="2"/>
          <w:kern w:val="36"/>
          <w:lang w:val="en-PH"/>
        </w:rPr>
        <w:t>an accurate</w:t>
      </w:r>
      <w:r w:rsidRPr="00E148FB">
        <w:rPr>
          <w:spacing w:val="2"/>
          <w:kern w:val="36"/>
          <w:lang w:val="en-PH"/>
        </w:rPr>
        <w:t xml:space="preserve"> translation to </w:t>
      </w:r>
      <w:r w:rsidR="009B3030">
        <w:rPr>
          <w:spacing w:val="2"/>
          <w:kern w:val="36"/>
          <w:lang w:val="en-PH"/>
        </w:rPr>
        <w:t xml:space="preserve">the </w:t>
      </w:r>
      <w:r w:rsidRPr="00E148FB">
        <w:rPr>
          <w:i/>
          <w:iCs/>
          <w:spacing w:val="2"/>
          <w:kern w:val="36"/>
          <w:lang w:val="en-PH"/>
        </w:rPr>
        <w:t>Manobo</w:t>
      </w:r>
      <w:r w:rsidRPr="00E148FB">
        <w:rPr>
          <w:spacing w:val="2"/>
          <w:kern w:val="36"/>
          <w:lang w:val="en-PH"/>
        </w:rPr>
        <w:t xml:space="preserve"> dialect (Minanubu) with the help of the tribal elders. Focus group discussions among respondents were assisted by the respective barangay tribal leaders and the municipal </w:t>
      </w:r>
      <w:r w:rsidR="00972FE6">
        <w:rPr>
          <w:spacing w:val="2"/>
          <w:kern w:val="36"/>
          <w:lang w:val="en-PH"/>
        </w:rPr>
        <w:t>IP</w:t>
      </w:r>
      <w:r w:rsidRPr="00E148FB">
        <w:rPr>
          <w:spacing w:val="2"/>
          <w:kern w:val="36"/>
          <w:lang w:val="en-PH"/>
        </w:rPr>
        <w:t xml:space="preserve"> representative as consultants to obtain consensus and clarification of their essential points and ideas.</w:t>
      </w:r>
    </w:p>
    <w:p w:rsidR="00030F1F" w:rsidRPr="00E148FB" w:rsidRDefault="00030F1F" w:rsidP="005A08DF">
      <w:pPr>
        <w:tabs>
          <w:tab w:val="left" w:pos="3422"/>
          <w:tab w:val="center" w:pos="4680"/>
        </w:tabs>
        <w:jc w:val="both"/>
        <w:rPr>
          <w:spacing w:val="2"/>
          <w:kern w:val="36"/>
          <w:lang w:val="en-PH"/>
        </w:rPr>
      </w:pPr>
    </w:p>
    <w:p w:rsidR="00030F1F" w:rsidRPr="00E148FB" w:rsidRDefault="00030F1F" w:rsidP="005A08DF">
      <w:pPr>
        <w:ind w:right="780"/>
        <w:rPr>
          <w:b/>
          <w:i/>
        </w:rPr>
      </w:pPr>
      <w:r w:rsidRPr="00E148FB">
        <w:rPr>
          <w:b/>
          <w:bCs/>
          <w:i/>
          <w:spacing w:val="2"/>
          <w:kern w:val="36"/>
        </w:rPr>
        <w:t>Collection and Identification</w:t>
      </w:r>
    </w:p>
    <w:p w:rsidR="00F0690F" w:rsidRPr="00E148FB" w:rsidRDefault="00030F1F" w:rsidP="005A08DF">
      <w:pPr>
        <w:tabs>
          <w:tab w:val="left" w:pos="450"/>
          <w:tab w:val="center" w:pos="4680"/>
        </w:tabs>
        <w:jc w:val="both"/>
        <w:rPr>
          <w:bCs/>
          <w:lang w:val="en-PH"/>
        </w:rPr>
      </w:pPr>
      <w:r w:rsidRPr="00E148FB">
        <w:rPr>
          <w:spacing w:val="2"/>
          <w:kern w:val="36"/>
          <w:lang w:val="en-PH"/>
        </w:rPr>
        <w:t xml:space="preserve">Actual species identification of trees was conducted during field walks with the assistance of the forester guide from the City Environment and Natural Resources Office (CENRO) and tribal healer for the record of the vernacular names. At least three branches of each tree were collected and subsequently pressed, poisoned, and mounted as herbarium vouchers. </w:t>
      </w:r>
      <w:r w:rsidRPr="00E148FB">
        <w:rPr>
          <w:bCs/>
          <w:spacing w:val="2"/>
          <w:kern w:val="36"/>
        </w:rPr>
        <w:t xml:space="preserve">Voucher specimens were deposited in the University of Santo Tomas Herbarium (USTH). </w:t>
      </w:r>
      <w:r w:rsidRPr="00E148FB">
        <w:rPr>
          <w:spacing w:val="2"/>
          <w:kern w:val="36"/>
          <w:lang w:val="en-PH"/>
        </w:rPr>
        <w:t xml:space="preserve">Vernacular names of specimens were referred to the </w:t>
      </w:r>
      <w:r w:rsidRPr="00E148FB">
        <w:rPr>
          <w:i/>
          <w:iCs/>
          <w:spacing w:val="2"/>
          <w:kern w:val="36"/>
          <w:lang w:val="en-PH"/>
        </w:rPr>
        <w:t xml:space="preserve">Dictionary of Philippines Plant Names </w:t>
      </w:r>
      <w:r w:rsidR="00A4569E" w:rsidRPr="00E148FB">
        <w:rPr>
          <w:spacing w:val="2"/>
          <w:kern w:val="36"/>
          <w:lang w:val="en-PH"/>
        </w:rPr>
        <w:t>[21]</w:t>
      </w:r>
      <w:r w:rsidRPr="00E148FB">
        <w:rPr>
          <w:spacing w:val="2"/>
          <w:kern w:val="36"/>
          <w:lang w:val="en-PH"/>
        </w:rPr>
        <w:t xml:space="preserve">. </w:t>
      </w:r>
      <w:r w:rsidRPr="00E148FB">
        <w:rPr>
          <w:bCs/>
          <w:spacing w:val="2"/>
          <w:kern w:val="36"/>
        </w:rPr>
        <w:t xml:space="preserve">Plant identification was verified by Mr. Danilo Tandang, a botanist and researcher at the National Museum of the Philippines. </w:t>
      </w:r>
      <w:r w:rsidRPr="00E148FB">
        <w:rPr>
          <w:bCs/>
        </w:rPr>
        <w:t xml:space="preserve">All scientific names were checked for spelling and synonyms, and family classification using </w:t>
      </w:r>
      <w:r w:rsidRPr="00E148FB">
        <w:rPr>
          <w:bCs/>
          <w:i/>
          <w:iCs/>
        </w:rPr>
        <w:t>The Plant List</w:t>
      </w:r>
      <w:r w:rsidRPr="00E148FB">
        <w:rPr>
          <w:bCs/>
          <w:vertAlign w:val="superscript"/>
        </w:rPr>
        <w:t xml:space="preserve"> </w:t>
      </w:r>
      <w:r w:rsidR="00FB4C9A" w:rsidRPr="00E148FB">
        <w:rPr>
          <w:bCs/>
        </w:rPr>
        <w:t>[22]</w:t>
      </w:r>
      <w:r w:rsidRPr="00E148FB">
        <w:rPr>
          <w:bCs/>
        </w:rPr>
        <w:t xml:space="preserve">, </w:t>
      </w:r>
      <w:r w:rsidRPr="00E148FB">
        <w:rPr>
          <w:bCs/>
          <w:i/>
          <w:iCs/>
        </w:rPr>
        <w:t>World Flora Online</w:t>
      </w:r>
      <w:r w:rsidRPr="00E148FB">
        <w:rPr>
          <w:bCs/>
          <w:vertAlign w:val="superscript"/>
        </w:rPr>
        <w:t xml:space="preserve"> </w:t>
      </w:r>
      <w:r w:rsidR="00FB4C9A" w:rsidRPr="00E148FB">
        <w:rPr>
          <w:bCs/>
        </w:rPr>
        <w:t>[23]</w:t>
      </w:r>
      <w:r w:rsidRPr="00E148FB">
        <w:rPr>
          <w:bCs/>
        </w:rPr>
        <w:t xml:space="preserve">, the </w:t>
      </w:r>
      <w:r w:rsidRPr="00E148FB">
        <w:rPr>
          <w:bCs/>
          <w:i/>
          <w:iCs/>
        </w:rPr>
        <w:t>International Plant Names Index</w:t>
      </w:r>
      <w:r w:rsidRPr="00E148FB">
        <w:rPr>
          <w:bCs/>
          <w:vertAlign w:val="superscript"/>
        </w:rPr>
        <w:t xml:space="preserve"> </w:t>
      </w:r>
      <w:r w:rsidR="00FB4C9A" w:rsidRPr="00E148FB">
        <w:rPr>
          <w:bCs/>
        </w:rPr>
        <w:t>[24]</w:t>
      </w:r>
      <w:r w:rsidRPr="00E148FB">
        <w:rPr>
          <w:bCs/>
        </w:rPr>
        <w:t xml:space="preserve"> and </w:t>
      </w:r>
      <w:r w:rsidRPr="00E148FB">
        <w:rPr>
          <w:bCs/>
          <w:i/>
          <w:iCs/>
        </w:rPr>
        <w:t>Tropicos</w:t>
      </w:r>
      <w:r w:rsidRPr="00E148FB">
        <w:rPr>
          <w:bCs/>
          <w:vertAlign w:val="superscript"/>
        </w:rPr>
        <w:t xml:space="preserve"> </w:t>
      </w:r>
      <w:r w:rsidR="00FB4C9A" w:rsidRPr="00E148FB">
        <w:rPr>
          <w:bCs/>
        </w:rPr>
        <w:t>[25]</w:t>
      </w:r>
      <w:r w:rsidRPr="00E148FB">
        <w:rPr>
          <w:bCs/>
        </w:rPr>
        <w:t xml:space="preserve">. The occurrence, distribution, and latest species identification were further confirmed in the updated </w:t>
      </w:r>
      <w:r w:rsidR="00972FE6">
        <w:rPr>
          <w:i/>
          <w:iCs/>
          <w:spacing w:val="2"/>
          <w:kern w:val="36"/>
          <w:lang w:val="en-PH"/>
        </w:rPr>
        <w:t>Co’s</w:t>
      </w:r>
      <w:r w:rsidRPr="00E148FB">
        <w:rPr>
          <w:i/>
          <w:iCs/>
          <w:spacing w:val="2"/>
          <w:kern w:val="36"/>
          <w:lang w:val="en-PH"/>
        </w:rPr>
        <w:t xml:space="preserve"> Digital Flora of the Philippines</w:t>
      </w:r>
      <w:r w:rsidRPr="00E148FB">
        <w:rPr>
          <w:spacing w:val="2"/>
          <w:kern w:val="36"/>
          <w:vertAlign w:val="superscript"/>
          <w:lang w:val="en-PH"/>
        </w:rPr>
        <w:t xml:space="preserve"> </w:t>
      </w:r>
      <w:r w:rsidR="00FB4C9A" w:rsidRPr="00E148FB">
        <w:rPr>
          <w:bCs/>
          <w:lang w:val="en-PH"/>
        </w:rPr>
        <w:t>[26]</w:t>
      </w:r>
      <w:r w:rsidRPr="00E148FB">
        <w:rPr>
          <w:bCs/>
          <w:lang w:val="en-PH"/>
        </w:rPr>
        <w:t>.</w:t>
      </w:r>
    </w:p>
    <w:p w:rsidR="00290B0B" w:rsidRPr="00E148FB" w:rsidRDefault="00290B0B" w:rsidP="005A08DF">
      <w:pPr>
        <w:tabs>
          <w:tab w:val="left" w:pos="450"/>
          <w:tab w:val="center" w:pos="4680"/>
        </w:tabs>
        <w:jc w:val="both"/>
        <w:rPr>
          <w:bCs/>
          <w:lang w:val="en-PH"/>
        </w:rPr>
      </w:pPr>
    </w:p>
    <w:p w:rsidR="00030F1F" w:rsidRPr="00E148FB" w:rsidRDefault="00030F1F" w:rsidP="005A08DF">
      <w:pPr>
        <w:ind w:right="780"/>
        <w:rPr>
          <w:b/>
          <w:i/>
        </w:rPr>
      </w:pPr>
      <w:r w:rsidRPr="00E148FB">
        <w:rPr>
          <w:b/>
          <w:bCs/>
          <w:i/>
          <w:spacing w:val="2"/>
          <w:kern w:val="36"/>
        </w:rPr>
        <w:t>Family Importance Value (FIV)</w:t>
      </w:r>
    </w:p>
    <w:p w:rsidR="00030F1F" w:rsidRPr="00E148FB" w:rsidRDefault="00030F1F" w:rsidP="005A08DF">
      <w:pPr>
        <w:tabs>
          <w:tab w:val="left" w:pos="450"/>
          <w:tab w:val="center" w:pos="4680"/>
        </w:tabs>
        <w:jc w:val="both"/>
        <w:rPr>
          <w:iCs/>
          <w:spacing w:val="2"/>
          <w:kern w:val="36"/>
        </w:rPr>
      </w:pPr>
      <w:r w:rsidRPr="00E148FB">
        <w:rPr>
          <w:iCs/>
          <w:spacing w:val="2"/>
          <w:kern w:val="36"/>
        </w:rPr>
        <w:t>FIV determines the most important family based on the number of citation reports of the informants</w:t>
      </w:r>
      <w:r w:rsidRPr="00E148FB">
        <w:rPr>
          <w:iCs/>
          <w:spacing w:val="2"/>
          <w:kern w:val="36"/>
          <w:vertAlign w:val="superscript"/>
        </w:rPr>
        <w:t xml:space="preserve"> </w:t>
      </w:r>
      <w:r w:rsidR="00FB4C9A" w:rsidRPr="00E148FB">
        <w:rPr>
          <w:iCs/>
          <w:spacing w:val="2"/>
          <w:kern w:val="36"/>
        </w:rPr>
        <w:t>[27]</w:t>
      </w:r>
      <w:r w:rsidRPr="00E148FB">
        <w:rPr>
          <w:iCs/>
          <w:spacing w:val="2"/>
          <w:kern w:val="36"/>
        </w:rPr>
        <w:t xml:space="preserve">. This was calculated using the following formula: FIV = (FC/N) x 100, where </w:t>
      </w:r>
      <w:r w:rsidR="00972FE6">
        <w:rPr>
          <w:iCs/>
          <w:spacing w:val="2"/>
          <w:kern w:val="36"/>
        </w:rPr>
        <w:t>FC</w:t>
      </w:r>
      <w:r w:rsidRPr="00E148FB">
        <w:rPr>
          <w:iCs/>
          <w:spacing w:val="2"/>
          <w:kern w:val="36"/>
        </w:rPr>
        <w:t xml:space="preserve"> is the frequency of citation of the plant family, and N is the total number </w:t>
      </w:r>
      <w:r w:rsidRPr="00E148FB">
        <w:rPr>
          <w:iCs/>
          <w:spacing w:val="2"/>
          <w:kern w:val="36"/>
        </w:rPr>
        <w:lastRenderedPageBreak/>
        <w:t>of informants. The FIV also helps characterize families according to the number of medicinal plant species belonging to a particular family as a treatment.</w:t>
      </w:r>
    </w:p>
    <w:p w:rsidR="00132DF3" w:rsidRPr="00E148FB" w:rsidRDefault="00132DF3" w:rsidP="005A08DF">
      <w:pPr>
        <w:tabs>
          <w:tab w:val="left" w:pos="450"/>
          <w:tab w:val="center" w:pos="4680"/>
        </w:tabs>
        <w:jc w:val="both"/>
        <w:rPr>
          <w:iCs/>
          <w:spacing w:val="2"/>
          <w:kern w:val="36"/>
        </w:rPr>
      </w:pPr>
    </w:p>
    <w:p w:rsidR="00030F1F" w:rsidRPr="00E148FB" w:rsidRDefault="00030F1F" w:rsidP="005A08DF">
      <w:pPr>
        <w:rPr>
          <w:b/>
          <w:bCs/>
          <w:i/>
          <w:spacing w:val="2"/>
          <w:kern w:val="36"/>
        </w:rPr>
      </w:pPr>
      <w:r w:rsidRPr="00E148FB">
        <w:rPr>
          <w:b/>
          <w:bCs/>
          <w:i/>
          <w:spacing w:val="2"/>
          <w:kern w:val="36"/>
        </w:rPr>
        <w:t>Relative Frequency of Citation (RFC)</w:t>
      </w:r>
    </w:p>
    <w:p w:rsidR="00030F1F" w:rsidRPr="00E148FB" w:rsidRDefault="00030F1F" w:rsidP="005A08DF">
      <w:pPr>
        <w:tabs>
          <w:tab w:val="left" w:pos="450"/>
          <w:tab w:val="center" w:pos="4680"/>
        </w:tabs>
        <w:jc w:val="both"/>
        <w:rPr>
          <w:bCs/>
        </w:rPr>
      </w:pPr>
      <w:r w:rsidRPr="00E148FB">
        <w:rPr>
          <w:bCs/>
        </w:rPr>
        <w:t>RFC, on the other hand, identifies the local importance of each medicinal plant species</w:t>
      </w:r>
      <w:r w:rsidRPr="00E148FB">
        <w:rPr>
          <w:iCs/>
          <w:spacing w:val="2"/>
          <w:kern w:val="36"/>
          <w:vertAlign w:val="superscript"/>
        </w:rPr>
        <w:t xml:space="preserve"> </w:t>
      </w:r>
      <w:r w:rsidR="00FB4C9A" w:rsidRPr="00E148FB">
        <w:rPr>
          <w:iCs/>
          <w:spacing w:val="2"/>
          <w:kern w:val="36"/>
        </w:rPr>
        <w:t>[28]</w:t>
      </w:r>
      <w:r w:rsidRPr="00E148FB">
        <w:rPr>
          <w:iCs/>
          <w:spacing w:val="2"/>
          <w:kern w:val="36"/>
        </w:rPr>
        <w:t xml:space="preserve"> and is</w:t>
      </w:r>
      <w:r w:rsidRPr="00E148FB">
        <w:rPr>
          <w:bCs/>
        </w:rPr>
        <w:t xml:space="preserve"> calculated using this formula: RFC = FC/N, where </w:t>
      </w:r>
      <w:r w:rsidR="00972FE6">
        <w:rPr>
          <w:bCs/>
        </w:rPr>
        <w:t>FC</w:t>
      </w:r>
      <w:r w:rsidRPr="00E148FB">
        <w:rPr>
          <w:bCs/>
        </w:rPr>
        <w:t xml:space="preserve"> is the number of informants who mentioned the plant species while N is the total number of informants. RFC ranges its value from 0 to 1, where most important species have values closer to 1.</w:t>
      </w:r>
    </w:p>
    <w:p w:rsidR="00C64C65" w:rsidRPr="00E148FB" w:rsidRDefault="00C64C65" w:rsidP="005A08DF">
      <w:pPr>
        <w:tabs>
          <w:tab w:val="left" w:pos="450"/>
          <w:tab w:val="center" w:pos="4680"/>
        </w:tabs>
        <w:jc w:val="both"/>
        <w:rPr>
          <w:bCs/>
        </w:rPr>
      </w:pPr>
    </w:p>
    <w:p w:rsidR="00030F1F" w:rsidRPr="00E148FB" w:rsidRDefault="00030F1F" w:rsidP="005A08DF">
      <w:pPr>
        <w:rPr>
          <w:b/>
          <w:bCs/>
          <w:i/>
          <w:spacing w:val="2"/>
          <w:kern w:val="36"/>
        </w:rPr>
      </w:pPr>
      <w:r w:rsidRPr="00E148FB">
        <w:rPr>
          <w:b/>
          <w:bCs/>
          <w:i/>
          <w:spacing w:val="2"/>
          <w:kern w:val="36"/>
        </w:rPr>
        <w:t>Conservation Status and Endemicity</w:t>
      </w:r>
    </w:p>
    <w:p w:rsidR="00A41E1E" w:rsidRPr="00E148FB" w:rsidRDefault="00030F1F" w:rsidP="005A08DF">
      <w:pPr>
        <w:tabs>
          <w:tab w:val="left" w:pos="450"/>
          <w:tab w:val="center" w:pos="4680"/>
        </w:tabs>
        <w:jc w:val="both"/>
        <w:rPr>
          <w:bCs/>
        </w:rPr>
      </w:pPr>
      <w:r w:rsidRPr="00E148FB">
        <w:rPr>
          <w:iCs/>
          <w:spacing w:val="2"/>
          <w:kern w:val="36"/>
        </w:rPr>
        <w:t xml:space="preserve">Conservation status of the medicinal plants was enumerated according to the </w:t>
      </w:r>
      <w:r w:rsidRPr="00E148FB">
        <w:rPr>
          <w:bCs/>
        </w:rPr>
        <w:t>International Union for Conservation of Nature</w:t>
      </w:r>
      <w:r w:rsidRPr="00E148FB">
        <w:rPr>
          <w:iCs/>
          <w:spacing w:val="2"/>
          <w:kern w:val="36"/>
        </w:rPr>
        <w:t xml:space="preserve"> (IUCN) standard</w:t>
      </w:r>
      <w:r w:rsidRPr="00E148FB">
        <w:rPr>
          <w:iCs/>
          <w:spacing w:val="2"/>
          <w:kern w:val="36"/>
          <w:vertAlign w:val="superscript"/>
        </w:rPr>
        <w:t xml:space="preserve"> </w:t>
      </w:r>
      <w:r w:rsidR="00FB4C9A" w:rsidRPr="00E148FB">
        <w:rPr>
          <w:iCs/>
          <w:spacing w:val="2"/>
          <w:kern w:val="36"/>
        </w:rPr>
        <w:t>[29]</w:t>
      </w:r>
      <w:r w:rsidRPr="00E148FB">
        <w:rPr>
          <w:iCs/>
          <w:spacing w:val="2"/>
          <w:kern w:val="36"/>
        </w:rPr>
        <w:t xml:space="preserve">, and further assessed based on the available data from the Department of Environment and Natural Resources (DENR) Administrative Order No. (DAO) 2017-01 </w:t>
      </w:r>
      <w:r w:rsidR="00E8377C" w:rsidRPr="00E148FB">
        <w:rPr>
          <w:iCs/>
          <w:spacing w:val="2"/>
          <w:kern w:val="36"/>
        </w:rPr>
        <w:t>[30]</w:t>
      </w:r>
      <w:r w:rsidRPr="00E148FB">
        <w:rPr>
          <w:iCs/>
          <w:spacing w:val="2"/>
          <w:kern w:val="36"/>
        </w:rPr>
        <w:t xml:space="preserve"> and the updated online flora of </w:t>
      </w:r>
      <w:r w:rsidR="00972FE6">
        <w:rPr>
          <w:i/>
          <w:iCs/>
          <w:spacing w:val="2"/>
          <w:kern w:val="36"/>
          <w:lang w:val="en-PH"/>
        </w:rPr>
        <w:t>Co’s</w:t>
      </w:r>
      <w:r w:rsidRPr="00E148FB">
        <w:rPr>
          <w:i/>
          <w:iCs/>
          <w:spacing w:val="2"/>
          <w:kern w:val="36"/>
          <w:lang w:val="en-PH"/>
        </w:rPr>
        <w:t xml:space="preserve"> Digital Flora of the Philippines</w:t>
      </w:r>
      <w:r w:rsidRPr="00E148FB">
        <w:rPr>
          <w:bCs/>
          <w:vertAlign w:val="superscript"/>
        </w:rPr>
        <w:t xml:space="preserve"> </w:t>
      </w:r>
      <w:r w:rsidR="00E8377C" w:rsidRPr="00E148FB">
        <w:rPr>
          <w:bCs/>
          <w:lang w:val="en-PH"/>
        </w:rPr>
        <w:t>[26]</w:t>
      </w:r>
      <w:r w:rsidRPr="00E148FB">
        <w:rPr>
          <w:bCs/>
        </w:rPr>
        <w:t>. The identified medicinal tree species were checked for their occurrence and distribution in the Philippines and other countries to determine their endemicity.</w:t>
      </w:r>
    </w:p>
    <w:p w:rsidR="00A41E1E" w:rsidRPr="00E148FB" w:rsidRDefault="00A41E1E" w:rsidP="005A08DF">
      <w:pPr>
        <w:tabs>
          <w:tab w:val="left" w:pos="450"/>
          <w:tab w:val="center" w:pos="4680"/>
        </w:tabs>
        <w:jc w:val="both"/>
        <w:rPr>
          <w:bCs/>
        </w:rPr>
      </w:pPr>
    </w:p>
    <w:p w:rsidR="00A41E1E" w:rsidRPr="00E148FB" w:rsidRDefault="00A41E1E" w:rsidP="005A08DF">
      <w:pPr>
        <w:ind w:right="780"/>
        <w:rPr>
          <w:b/>
          <w:bCs/>
        </w:rPr>
      </w:pPr>
      <w:r w:rsidRPr="00E148FB">
        <w:rPr>
          <w:b/>
          <w:bCs/>
        </w:rPr>
        <w:t>Results</w:t>
      </w:r>
    </w:p>
    <w:p w:rsidR="00A41E1E" w:rsidRPr="00E148FB" w:rsidRDefault="00A41E1E" w:rsidP="005A08DF">
      <w:pPr>
        <w:rPr>
          <w:b/>
          <w:i/>
          <w:iCs/>
        </w:rPr>
      </w:pPr>
      <w:r w:rsidRPr="00E148FB">
        <w:rPr>
          <w:b/>
          <w:i/>
          <w:iCs/>
        </w:rPr>
        <w:t>Family Importance Value</w:t>
      </w:r>
    </w:p>
    <w:p w:rsidR="00A41E1E" w:rsidRPr="00E148FB" w:rsidRDefault="00A41E1E" w:rsidP="005A08DF">
      <w:pPr>
        <w:ind w:left="18"/>
        <w:jc w:val="both"/>
        <w:rPr>
          <w:b/>
        </w:rPr>
      </w:pPr>
      <w:r w:rsidRPr="00E148FB">
        <w:rPr>
          <w:bCs/>
        </w:rPr>
        <w:t xml:space="preserve">Table 1 presents the census of medicinal trees with a total of </w:t>
      </w:r>
      <w:r w:rsidRPr="00E148FB">
        <w:t>43 species belonging to 36 genera and 22 families</w:t>
      </w:r>
      <w:r w:rsidRPr="00E148FB">
        <w:rPr>
          <w:bCs/>
        </w:rPr>
        <w:t>. Results showed that Moraceae had the highest FIV (99.33), followed by Lamiaceae (97.33), Rutaceae (96.00), Lauraceae (94.00), and Fabaceae (93.33) which are medicinally used for</w:t>
      </w:r>
      <w:r w:rsidRPr="00E148FB">
        <w:t xml:space="preserve"> fracture and dislocation, weakness and fatigue, </w:t>
      </w:r>
      <w:r w:rsidRPr="00E148FB">
        <w:lastRenderedPageBreak/>
        <w:t>snakebite, diarrhea, and postpartum care and recovery, respectively, based on the frequency of informant citation.</w:t>
      </w:r>
    </w:p>
    <w:p w:rsidR="00CB3A61" w:rsidRPr="00E148FB" w:rsidRDefault="00CB3A61" w:rsidP="005A08DF">
      <w:pPr>
        <w:pStyle w:val="ListParagraph"/>
        <w:spacing w:line="480" w:lineRule="auto"/>
        <w:ind w:left="0"/>
        <w:jc w:val="both"/>
        <w:rPr>
          <w:i/>
          <w:iCs/>
          <w:sz w:val="24"/>
          <w:szCs w:val="24"/>
        </w:rPr>
      </w:pPr>
    </w:p>
    <w:p w:rsidR="00A41E1E" w:rsidRPr="00E148FB" w:rsidRDefault="00A41E1E" w:rsidP="005A08DF">
      <w:pPr>
        <w:jc w:val="both"/>
        <w:rPr>
          <w:b/>
          <w:i/>
          <w:iCs/>
        </w:rPr>
      </w:pPr>
      <w:r w:rsidRPr="00E148FB">
        <w:rPr>
          <w:b/>
          <w:i/>
          <w:iCs/>
        </w:rPr>
        <w:t>Relative Frequency of Citation</w:t>
      </w:r>
    </w:p>
    <w:p w:rsidR="00A41E1E" w:rsidRPr="00E148FB" w:rsidRDefault="00A41E1E" w:rsidP="005A08DF">
      <w:pPr>
        <w:pStyle w:val="ListParagraph"/>
        <w:spacing w:line="480" w:lineRule="auto"/>
        <w:ind w:left="0"/>
        <w:jc w:val="both"/>
        <w:rPr>
          <w:bCs/>
          <w:sz w:val="24"/>
          <w:szCs w:val="24"/>
        </w:rPr>
      </w:pPr>
      <w:r w:rsidRPr="00E148FB">
        <w:rPr>
          <w:bCs/>
          <w:sz w:val="24"/>
          <w:szCs w:val="24"/>
        </w:rPr>
        <w:t xml:space="preserve">The highest RFC values were recorded for both </w:t>
      </w:r>
      <w:r w:rsidRPr="00E148FB">
        <w:rPr>
          <w:bCs/>
          <w:i/>
          <w:iCs/>
          <w:sz w:val="24"/>
          <w:szCs w:val="24"/>
        </w:rPr>
        <w:t>Cinnamomum mercadoi</w:t>
      </w:r>
      <w:r w:rsidRPr="00E148FB">
        <w:rPr>
          <w:bCs/>
          <w:sz w:val="24"/>
          <w:szCs w:val="24"/>
        </w:rPr>
        <w:t xml:space="preserve"> </w:t>
      </w:r>
      <w:proofErr w:type="gramStart"/>
      <w:r w:rsidRPr="00E148FB">
        <w:rPr>
          <w:bCs/>
          <w:sz w:val="24"/>
          <w:szCs w:val="24"/>
        </w:rPr>
        <w:t>S.Vidal</w:t>
      </w:r>
      <w:proofErr w:type="gramEnd"/>
      <w:r w:rsidRPr="00E148FB">
        <w:rPr>
          <w:bCs/>
          <w:sz w:val="24"/>
          <w:szCs w:val="24"/>
        </w:rPr>
        <w:t xml:space="preserve"> (1.00) and </w:t>
      </w:r>
      <w:r w:rsidRPr="00E148FB">
        <w:rPr>
          <w:bCs/>
          <w:i/>
          <w:iCs/>
          <w:sz w:val="24"/>
          <w:szCs w:val="24"/>
        </w:rPr>
        <w:t>Ficus concinna</w:t>
      </w:r>
      <w:r w:rsidRPr="00E148FB">
        <w:rPr>
          <w:bCs/>
          <w:sz w:val="24"/>
          <w:szCs w:val="24"/>
        </w:rPr>
        <w:t xml:space="preserve"> (Miq.) Miq. (1.00) as depicted in Fig</w:t>
      </w:r>
      <w:r w:rsidR="00113B9F" w:rsidRPr="00E148FB">
        <w:rPr>
          <w:bCs/>
          <w:sz w:val="24"/>
          <w:szCs w:val="24"/>
        </w:rPr>
        <w:t>ure</w:t>
      </w:r>
      <w:r w:rsidRPr="00E148FB">
        <w:rPr>
          <w:bCs/>
          <w:sz w:val="24"/>
          <w:szCs w:val="24"/>
        </w:rPr>
        <w:t xml:space="preserve"> 3, followed by </w:t>
      </w:r>
      <w:r w:rsidRPr="00E148FB">
        <w:rPr>
          <w:bCs/>
          <w:i/>
          <w:iCs/>
          <w:sz w:val="24"/>
          <w:szCs w:val="24"/>
        </w:rPr>
        <w:t>Micromelum minutum</w:t>
      </w:r>
      <w:r w:rsidRPr="00E148FB">
        <w:rPr>
          <w:bCs/>
          <w:sz w:val="24"/>
          <w:szCs w:val="24"/>
        </w:rPr>
        <w:t xml:space="preserve"> (</w:t>
      </w:r>
      <w:proofErr w:type="spellStart"/>
      <w:proofErr w:type="gramStart"/>
      <w:r w:rsidRPr="00E148FB">
        <w:rPr>
          <w:bCs/>
          <w:sz w:val="24"/>
          <w:szCs w:val="24"/>
        </w:rPr>
        <w:t>G.Forst</w:t>
      </w:r>
      <w:proofErr w:type="spellEnd"/>
      <w:proofErr w:type="gramEnd"/>
      <w:r w:rsidRPr="00E148FB">
        <w:rPr>
          <w:bCs/>
          <w:sz w:val="24"/>
          <w:szCs w:val="24"/>
        </w:rPr>
        <w:t xml:space="preserve">.) Wight &amp; </w:t>
      </w:r>
      <w:proofErr w:type="spellStart"/>
      <w:r w:rsidRPr="00E148FB">
        <w:rPr>
          <w:bCs/>
          <w:sz w:val="24"/>
          <w:szCs w:val="24"/>
        </w:rPr>
        <w:t>Arn</w:t>
      </w:r>
      <w:proofErr w:type="spellEnd"/>
      <w:r w:rsidRPr="00E148FB">
        <w:rPr>
          <w:bCs/>
          <w:sz w:val="24"/>
          <w:szCs w:val="24"/>
        </w:rPr>
        <w:t xml:space="preserve">. (0.99), and </w:t>
      </w:r>
      <w:r w:rsidRPr="00E148FB">
        <w:rPr>
          <w:bCs/>
          <w:i/>
          <w:iCs/>
          <w:sz w:val="24"/>
          <w:szCs w:val="24"/>
        </w:rPr>
        <w:t>Ficus septica</w:t>
      </w:r>
      <w:r w:rsidRPr="00E148FB">
        <w:rPr>
          <w:bCs/>
          <w:sz w:val="24"/>
          <w:szCs w:val="24"/>
        </w:rPr>
        <w:t xml:space="preserve"> </w:t>
      </w:r>
      <w:proofErr w:type="spellStart"/>
      <w:r w:rsidRPr="00E148FB">
        <w:rPr>
          <w:bCs/>
          <w:sz w:val="24"/>
          <w:szCs w:val="24"/>
        </w:rPr>
        <w:t>Burm.f</w:t>
      </w:r>
      <w:proofErr w:type="spellEnd"/>
      <w:r w:rsidRPr="00E148FB">
        <w:rPr>
          <w:bCs/>
          <w:sz w:val="24"/>
          <w:szCs w:val="24"/>
        </w:rPr>
        <w:t>. (0.97) as shown in Table 1.</w:t>
      </w:r>
    </w:p>
    <w:p w:rsidR="00A41E1E" w:rsidRPr="00E148FB" w:rsidRDefault="00A41E1E" w:rsidP="005A08DF">
      <w:pPr>
        <w:pStyle w:val="ListParagraph"/>
        <w:spacing w:line="480" w:lineRule="auto"/>
        <w:ind w:left="0"/>
        <w:jc w:val="both"/>
        <w:rPr>
          <w:bCs/>
          <w:sz w:val="24"/>
          <w:szCs w:val="24"/>
        </w:rPr>
      </w:pPr>
    </w:p>
    <w:p w:rsidR="00A41E1E" w:rsidRPr="00E148FB" w:rsidRDefault="00A41E1E" w:rsidP="005A08DF">
      <w:pPr>
        <w:jc w:val="both"/>
        <w:rPr>
          <w:b/>
          <w:i/>
          <w:iCs/>
        </w:rPr>
      </w:pPr>
      <w:r w:rsidRPr="00E148FB">
        <w:rPr>
          <w:b/>
          <w:i/>
          <w:iCs/>
        </w:rPr>
        <w:t>Conservation Status and Endemicity</w:t>
      </w:r>
    </w:p>
    <w:p w:rsidR="00A41E1E" w:rsidRPr="00E148FB" w:rsidRDefault="00A41E1E" w:rsidP="005A08DF">
      <w:pPr>
        <w:tabs>
          <w:tab w:val="left" w:pos="450"/>
          <w:tab w:val="center" w:pos="4680"/>
        </w:tabs>
        <w:jc w:val="both"/>
        <w:rPr>
          <w:bCs/>
          <w:lang w:val="en-PH"/>
        </w:rPr>
      </w:pPr>
      <w:r w:rsidRPr="00E148FB">
        <w:t xml:space="preserve">The 43 species of medicinal trees identified belong to different size classes. Most of the species are small-sized trees (58%), followed by small to medium-sized trees (19%), medium-sized trees (16%), and medium to large-sized trees (7%). Table </w:t>
      </w:r>
      <w:r w:rsidR="003E4E82" w:rsidRPr="00E148FB">
        <w:t>1</w:t>
      </w:r>
      <w:r w:rsidRPr="00E148FB">
        <w:t xml:space="preserve"> </w:t>
      </w:r>
      <w:r w:rsidR="003E4E82" w:rsidRPr="00E148FB">
        <w:t xml:space="preserve">and Figure 2 </w:t>
      </w:r>
      <w:r w:rsidRPr="00E148FB">
        <w:t>present the conservation status and endemicity of these medicinal trees. The conservation status of these plant resources showed that most of the medicinal trees were not assessed (47%)</w:t>
      </w:r>
      <w:r w:rsidR="003B044B" w:rsidRPr="00E148FB">
        <w:t xml:space="preserve"> based on the IUCN [29]</w:t>
      </w:r>
      <w:r w:rsidRPr="00E148FB">
        <w:t xml:space="preserve">. However, the combined data from DENR </w:t>
      </w:r>
      <w:r w:rsidR="007B1BB2" w:rsidRPr="00E148FB">
        <w:t>[30]</w:t>
      </w:r>
      <w:r w:rsidR="00AE4DC1" w:rsidRPr="00E148FB">
        <w:t xml:space="preserve"> </w:t>
      </w:r>
      <w:r w:rsidRPr="00E148FB">
        <w:t>and CDFP</w:t>
      </w:r>
      <w:r w:rsidR="00AE4DC1" w:rsidRPr="00E148FB">
        <w:t xml:space="preserve"> </w:t>
      </w:r>
      <w:r w:rsidR="007B1BB2" w:rsidRPr="00E148FB">
        <w:t xml:space="preserve">[26] </w:t>
      </w:r>
      <w:r w:rsidRPr="00E148FB">
        <w:t xml:space="preserve">conservation assessment showed that there were 15 species as Least Concern, two species as Vulnerable, two species as Other Threatened Species, two species as Data Deficient, and one species each of Endangered and Near Threatened, namely </w:t>
      </w:r>
      <w:proofErr w:type="spellStart"/>
      <w:r w:rsidRPr="00E148FB">
        <w:rPr>
          <w:i/>
          <w:iCs/>
        </w:rPr>
        <w:t>Swietenia</w:t>
      </w:r>
      <w:proofErr w:type="spellEnd"/>
      <w:r w:rsidRPr="00E148FB">
        <w:rPr>
          <w:i/>
          <w:iCs/>
        </w:rPr>
        <w:t xml:space="preserve"> </w:t>
      </w:r>
      <w:proofErr w:type="spellStart"/>
      <w:r w:rsidRPr="00E148FB">
        <w:rPr>
          <w:i/>
          <w:iCs/>
        </w:rPr>
        <w:t>mahagoni</w:t>
      </w:r>
      <w:proofErr w:type="spellEnd"/>
      <w:r w:rsidRPr="00E148FB">
        <w:t xml:space="preserve"> (L.) Jacq. and </w:t>
      </w:r>
      <w:r w:rsidRPr="00E148FB">
        <w:rPr>
          <w:i/>
          <w:iCs/>
        </w:rPr>
        <w:t xml:space="preserve">Calamus </w:t>
      </w:r>
      <w:proofErr w:type="spellStart"/>
      <w:r w:rsidRPr="00E148FB">
        <w:rPr>
          <w:i/>
          <w:iCs/>
        </w:rPr>
        <w:t>megaphyllus</w:t>
      </w:r>
      <w:proofErr w:type="spellEnd"/>
      <w:r w:rsidRPr="00E148FB">
        <w:t> </w:t>
      </w:r>
      <w:proofErr w:type="spellStart"/>
      <w:r w:rsidRPr="00E148FB">
        <w:t>Becc</w:t>
      </w:r>
      <w:proofErr w:type="spellEnd"/>
      <w:r w:rsidRPr="00E148FB">
        <w:t xml:space="preserve">., respectively. The distribution of species in terms of endemicity showed only </w:t>
      </w:r>
      <w:r w:rsidR="00A65CDD" w:rsidRPr="00E148FB">
        <w:t>seven</w:t>
      </w:r>
      <w:r w:rsidRPr="00E148FB">
        <w:t xml:space="preserve"> species (16%) are endemic in the Philippines</w:t>
      </w:r>
      <w:r w:rsidR="003644DB">
        <w:t>. In contrast,</w:t>
      </w:r>
      <w:r w:rsidRPr="00E148FB">
        <w:t xml:space="preserve"> most of the species are distributed in other countries (84%) and thought to be introduced or naturalized in the Philippines </w:t>
      </w:r>
      <w:r w:rsidR="00A65CDD" w:rsidRPr="00E148FB">
        <w:rPr>
          <w:bCs/>
          <w:lang w:val="en-PH"/>
        </w:rPr>
        <w:t>[26]</w:t>
      </w:r>
      <w:r w:rsidRPr="00E148FB">
        <w:rPr>
          <w:bCs/>
          <w:lang w:val="en-PH"/>
        </w:rPr>
        <w:t>.</w:t>
      </w:r>
    </w:p>
    <w:p w:rsidR="00A41E1E" w:rsidRPr="00E148FB" w:rsidRDefault="00A41E1E" w:rsidP="005A08DF">
      <w:pPr>
        <w:tabs>
          <w:tab w:val="left" w:pos="450"/>
          <w:tab w:val="center" w:pos="4680"/>
        </w:tabs>
        <w:jc w:val="both"/>
        <w:rPr>
          <w:bCs/>
        </w:rPr>
      </w:pPr>
    </w:p>
    <w:p w:rsidR="009D4FA0" w:rsidRPr="00E148FB" w:rsidRDefault="009D4FA0" w:rsidP="005A08DF">
      <w:pPr>
        <w:tabs>
          <w:tab w:val="left" w:pos="450"/>
          <w:tab w:val="center" w:pos="4680"/>
        </w:tabs>
        <w:jc w:val="both"/>
        <w:rPr>
          <w:bCs/>
        </w:rPr>
      </w:pPr>
    </w:p>
    <w:p w:rsidR="00A41E1E" w:rsidRPr="00E148FB" w:rsidRDefault="00A41E1E" w:rsidP="005A08DF">
      <w:pPr>
        <w:ind w:right="780"/>
        <w:rPr>
          <w:b/>
          <w:bCs/>
        </w:rPr>
      </w:pPr>
      <w:r w:rsidRPr="00E148FB">
        <w:rPr>
          <w:b/>
          <w:bCs/>
        </w:rPr>
        <w:lastRenderedPageBreak/>
        <w:t>Discussion</w:t>
      </w:r>
    </w:p>
    <w:p w:rsidR="00A41E1E" w:rsidRPr="00E148FB" w:rsidRDefault="00A41E1E" w:rsidP="005A08DF">
      <w:pPr>
        <w:jc w:val="both"/>
        <w:rPr>
          <w:bCs/>
        </w:rPr>
      </w:pPr>
      <w:r w:rsidRPr="00E148FB">
        <w:rPr>
          <w:lang w:eastAsia="en-IN"/>
        </w:rPr>
        <w:t>Scientific validation of some reported species under the same genus and family could suggest similar pharmacological properties in treatment for various illnesses and health conditions. This ethnomedicinal information could open avenues for future pharmacological investigations and clinical studies.</w:t>
      </w:r>
    </w:p>
    <w:p w:rsidR="00A41E1E" w:rsidRPr="00E148FB" w:rsidRDefault="00A41E1E" w:rsidP="005A08DF">
      <w:pPr>
        <w:pStyle w:val="ListParagraph"/>
        <w:spacing w:line="480" w:lineRule="auto"/>
        <w:ind w:left="0" w:firstLine="360"/>
        <w:jc w:val="both"/>
        <w:rPr>
          <w:sz w:val="24"/>
          <w:szCs w:val="24"/>
        </w:rPr>
      </w:pPr>
      <w:r w:rsidRPr="00E148FB">
        <w:rPr>
          <w:sz w:val="24"/>
          <w:szCs w:val="24"/>
          <w:lang w:val="en-PH"/>
        </w:rPr>
        <w:t xml:space="preserve">The Moraceae (fig family) have been proven for their potential biological and pharmacological activities. This family possesses a wide variety of bioactive compounds with biomedicinal properties as formerly investigated on </w:t>
      </w:r>
      <w:r w:rsidRPr="00E148FB">
        <w:rPr>
          <w:i/>
          <w:iCs/>
          <w:sz w:val="24"/>
          <w:szCs w:val="24"/>
          <w:lang w:val="en-PH"/>
        </w:rPr>
        <w:t xml:space="preserve">Ficus </w:t>
      </w:r>
      <w:proofErr w:type="spellStart"/>
      <w:r w:rsidRPr="00E148FB">
        <w:rPr>
          <w:i/>
          <w:iCs/>
          <w:sz w:val="24"/>
          <w:szCs w:val="24"/>
          <w:lang w:val="en-PH"/>
        </w:rPr>
        <w:t>racemosa</w:t>
      </w:r>
      <w:proofErr w:type="spellEnd"/>
      <w:r w:rsidRPr="00E148FB">
        <w:rPr>
          <w:i/>
          <w:iCs/>
          <w:sz w:val="24"/>
          <w:szCs w:val="24"/>
          <w:lang w:val="en-PH"/>
        </w:rPr>
        <w:t xml:space="preserve"> </w:t>
      </w:r>
      <w:r w:rsidRPr="00E148FB">
        <w:rPr>
          <w:sz w:val="24"/>
          <w:szCs w:val="24"/>
          <w:lang w:val="en-PH"/>
        </w:rPr>
        <w:t>L.</w:t>
      </w:r>
      <w:r w:rsidRPr="00E148FB">
        <w:rPr>
          <w:sz w:val="24"/>
          <w:szCs w:val="24"/>
          <w:vertAlign w:val="superscript"/>
          <w:lang w:val="en-PH"/>
        </w:rPr>
        <w:t xml:space="preserve"> </w:t>
      </w:r>
      <w:r w:rsidR="00FB047F" w:rsidRPr="00E148FB">
        <w:rPr>
          <w:sz w:val="24"/>
          <w:szCs w:val="24"/>
          <w:lang w:val="en-PH"/>
        </w:rPr>
        <w:t>[31]</w:t>
      </w:r>
      <w:r w:rsidRPr="00E148FB">
        <w:rPr>
          <w:sz w:val="24"/>
          <w:szCs w:val="24"/>
          <w:lang w:val="en-PH"/>
        </w:rPr>
        <w:t xml:space="preserve">, </w:t>
      </w:r>
      <w:r w:rsidRPr="00E148FB">
        <w:rPr>
          <w:i/>
          <w:iCs/>
          <w:sz w:val="24"/>
          <w:szCs w:val="24"/>
          <w:lang w:val="en-PH"/>
        </w:rPr>
        <w:t xml:space="preserve">Ficus </w:t>
      </w:r>
      <w:proofErr w:type="spellStart"/>
      <w:r w:rsidRPr="00E148FB">
        <w:rPr>
          <w:i/>
          <w:iCs/>
          <w:sz w:val="24"/>
          <w:szCs w:val="24"/>
          <w:lang w:val="en-PH"/>
        </w:rPr>
        <w:t>carica</w:t>
      </w:r>
      <w:proofErr w:type="spellEnd"/>
      <w:r w:rsidRPr="00E148FB">
        <w:rPr>
          <w:i/>
          <w:iCs/>
          <w:sz w:val="24"/>
          <w:szCs w:val="24"/>
          <w:lang w:val="en-PH"/>
        </w:rPr>
        <w:t xml:space="preserve"> </w:t>
      </w:r>
      <w:r w:rsidRPr="00E148FB">
        <w:rPr>
          <w:sz w:val="24"/>
          <w:szCs w:val="24"/>
          <w:lang w:val="en-PH"/>
        </w:rPr>
        <w:t xml:space="preserve">L. </w:t>
      </w:r>
      <w:r w:rsidR="00FB047F" w:rsidRPr="00E148FB">
        <w:rPr>
          <w:sz w:val="24"/>
          <w:szCs w:val="24"/>
          <w:lang w:val="en-PH"/>
        </w:rPr>
        <w:t>[32]</w:t>
      </w:r>
      <w:r w:rsidRPr="00E148FB">
        <w:rPr>
          <w:sz w:val="24"/>
          <w:szCs w:val="24"/>
          <w:lang w:val="en-PH"/>
        </w:rPr>
        <w:t xml:space="preserve">, and </w:t>
      </w:r>
      <w:r w:rsidRPr="00E148FB">
        <w:rPr>
          <w:i/>
          <w:iCs/>
          <w:sz w:val="24"/>
          <w:szCs w:val="24"/>
          <w:lang w:val="en-PH"/>
        </w:rPr>
        <w:t xml:space="preserve">Ficus </w:t>
      </w:r>
      <w:proofErr w:type="spellStart"/>
      <w:r w:rsidRPr="00E148FB">
        <w:rPr>
          <w:i/>
          <w:iCs/>
          <w:sz w:val="24"/>
          <w:szCs w:val="24"/>
          <w:lang w:val="en-PH"/>
        </w:rPr>
        <w:t>benjamina</w:t>
      </w:r>
      <w:proofErr w:type="spellEnd"/>
      <w:r w:rsidRPr="00E148FB">
        <w:rPr>
          <w:sz w:val="24"/>
          <w:szCs w:val="24"/>
          <w:lang w:val="en-PH"/>
        </w:rPr>
        <w:t xml:space="preserve"> L. </w:t>
      </w:r>
      <w:r w:rsidR="00FB047F" w:rsidRPr="00E148FB">
        <w:rPr>
          <w:sz w:val="24"/>
          <w:szCs w:val="24"/>
          <w:lang w:val="en-PH"/>
        </w:rPr>
        <w:t>[33]</w:t>
      </w:r>
      <w:r w:rsidRPr="00E148FB">
        <w:rPr>
          <w:sz w:val="24"/>
          <w:szCs w:val="24"/>
          <w:lang w:val="en-PH"/>
        </w:rPr>
        <w:t>. The Lamiaceae (mint family) have several bioactive compounds and essential oils that are used in traditional and modern medicine, food, cosmetics, and pharmaceutical industry</w:t>
      </w:r>
      <w:r w:rsidRPr="00E148FB">
        <w:rPr>
          <w:sz w:val="24"/>
          <w:szCs w:val="24"/>
          <w:vertAlign w:val="superscript"/>
          <w:lang w:val="en-PH"/>
        </w:rPr>
        <w:t xml:space="preserve"> </w:t>
      </w:r>
      <w:r w:rsidR="00FB047F" w:rsidRPr="00E148FB">
        <w:rPr>
          <w:sz w:val="24"/>
          <w:szCs w:val="24"/>
          <w:lang w:val="en-PH"/>
        </w:rPr>
        <w:t>[34]</w:t>
      </w:r>
      <w:r w:rsidRPr="00E148FB">
        <w:rPr>
          <w:sz w:val="24"/>
          <w:szCs w:val="24"/>
          <w:lang w:val="en-PH"/>
        </w:rPr>
        <w:t>. This family is aromatic with various medicinal properties aside from its ornamental</w:t>
      </w:r>
      <w:r w:rsidR="001943B8" w:rsidRPr="00E148FB">
        <w:rPr>
          <w:sz w:val="24"/>
          <w:szCs w:val="24"/>
          <w:lang w:val="en-PH"/>
        </w:rPr>
        <w:t xml:space="preserve"> uses</w:t>
      </w:r>
      <w:r w:rsidRPr="00E148FB">
        <w:rPr>
          <w:sz w:val="24"/>
          <w:szCs w:val="24"/>
          <w:lang w:val="en-PH"/>
        </w:rPr>
        <w:t>. It was proven for effective pain modulation as a source of analgesic, which can be found in aromatic spices like mint, oregano, basil, and rosemary</w:t>
      </w:r>
      <w:r w:rsidRPr="00E148FB">
        <w:rPr>
          <w:sz w:val="24"/>
          <w:szCs w:val="24"/>
          <w:vertAlign w:val="superscript"/>
          <w:lang w:val="en-PH"/>
        </w:rPr>
        <w:t xml:space="preserve"> </w:t>
      </w:r>
      <w:r w:rsidR="00C1792F" w:rsidRPr="00E148FB">
        <w:rPr>
          <w:sz w:val="24"/>
          <w:szCs w:val="24"/>
          <w:lang w:val="en-PH"/>
        </w:rPr>
        <w:t>[35]</w:t>
      </w:r>
      <w:r w:rsidRPr="00E148FB">
        <w:rPr>
          <w:sz w:val="24"/>
          <w:szCs w:val="24"/>
          <w:lang w:val="en-PH"/>
        </w:rPr>
        <w:t xml:space="preserve">. </w:t>
      </w:r>
      <w:r w:rsidRPr="00E148FB">
        <w:rPr>
          <w:sz w:val="24"/>
          <w:szCs w:val="24"/>
        </w:rPr>
        <w:t>Rutaceae (citrus family) are comprised of aromatic deciduous shrubs and trees that have been used in gastronomy and traditional medicine. This family also has significant economic importance because it contains several edible fruits and essential oils</w:t>
      </w:r>
      <w:r w:rsidRPr="00E148FB">
        <w:rPr>
          <w:sz w:val="24"/>
          <w:szCs w:val="24"/>
          <w:vertAlign w:val="superscript"/>
        </w:rPr>
        <w:t xml:space="preserve"> </w:t>
      </w:r>
      <w:r w:rsidR="00C1792F" w:rsidRPr="00E148FB">
        <w:rPr>
          <w:sz w:val="24"/>
          <w:szCs w:val="24"/>
        </w:rPr>
        <w:t>[36]</w:t>
      </w:r>
      <w:r w:rsidRPr="00E148FB">
        <w:rPr>
          <w:sz w:val="24"/>
          <w:szCs w:val="24"/>
        </w:rPr>
        <w:t xml:space="preserve">. For instance, secondary metabolites of </w:t>
      </w:r>
      <w:proofErr w:type="spellStart"/>
      <w:r w:rsidRPr="00E148FB">
        <w:rPr>
          <w:i/>
          <w:iCs/>
          <w:sz w:val="24"/>
          <w:szCs w:val="24"/>
        </w:rPr>
        <w:t>Zanthoxylum</w:t>
      </w:r>
      <w:proofErr w:type="spellEnd"/>
      <w:r w:rsidRPr="00E148FB">
        <w:rPr>
          <w:i/>
          <w:iCs/>
          <w:sz w:val="24"/>
          <w:szCs w:val="24"/>
        </w:rPr>
        <w:t xml:space="preserve"> </w:t>
      </w:r>
      <w:proofErr w:type="spellStart"/>
      <w:r w:rsidRPr="00E148FB">
        <w:rPr>
          <w:i/>
          <w:iCs/>
          <w:sz w:val="24"/>
          <w:szCs w:val="24"/>
        </w:rPr>
        <w:t>limonella</w:t>
      </w:r>
      <w:proofErr w:type="spellEnd"/>
      <w:r w:rsidRPr="00E148FB">
        <w:rPr>
          <w:sz w:val="24"/>
          <w:szCs w:val="24"/>
        </w:rPr>
        <w:t xml:space="preserve"> (</w:t>
      </w:r>
      <w:proofErr w:type="spellStart"/>
      <w:r w:rsidRPr="00E148FB">
        <w:rPr>
          <w:sz w:val="24"/>
          <w:szCs w:val="24"/>
        </w:rPr>
        <w:t>Dennst</w:t>
      </w:r>
      <w:proofErr w:type="spellEnd"/>
      <w:r w:rsidRPr="00E148FB">
        <w:rPr>
          <w:sz w:val="24"/>
          <w:szCs w:val="24"/>
        </w:rPr>
        <w:t>.) Alston were isolated from the stems, barks, and fruits, which were reported to cure several health problems like stomachache, diarrhea, dental caries</w:t>
      </w:r>
      <w:r w:rsidR="00B3795C">
        <w:rPr>
          <w:sz w:val="24"/>
          <w:szCs w:val="24"/>
        </w:rPr>
        <w:t>,</w:t>
      </w:r>
      <w:r w:rsidRPr="00E148FB">
        <w:rPr>
          <w:sz w:val="24"/>
          <w:szCs w:val="24"/>
        </w:rPr>
        <w:t xml:space="preserve"> and rheumatism</w:t>
      </w:r>
      <w:r w:rsidRPr="00E148FB">
        <w:rPr>
          <w:sz w:val="24"/>
          <w:szCs w:val="24"/>
          <w:vertAlign w:val="superscript"/>
        </w:rPr>
        <w:t xml:space="preserve"> </w:t>
      </w:r>
      <w:r w:rsidR="00C1792F" w:rsidRPr="00E148FB">
        <w:rPr>
          <w:sz w:val="24"/>
          <w:szCs w:val="24"/>
        </w:rPr>
        <w:t>[37]</w:t>
      </w:r>
      <w:r w:rsidRPr="00E148FB">
        <w:rPr>
          <w:sz w:val="24"/>
          <w:szCs w:val="24"/>
        </w:rPr>
        <w:t>. The phytochemical investigation by Salleh et al</w:t>
      </w:r>
      <w:r w:rsidR="00C1792F" w:rsidRPr="00E148FB">
        <w:rPr>
          <w:sz w:val="24"/>
          <w:szCs w:val="24"/>
        </w:rPr>
        <w:t>.</w:t>
      </w:r>
      <w:r w:rsidRPr="00E148FB">
        <w:rPr>
          <w:sz w:val="24"/>
          <w:szCs w:val="24"/>
          <w:vertAlign w:val="superscript"/>
        </w:rPr>
        <w:t xml:space="preserve"> </w:t>
      </w:r>
      <w:r w:rsidR="00C1792F" w:rsidRPr="00E148FB">
        <w:rPr>
          <w:sz w:val="24"/>
          <w:szCs w:val="24"/>
        </w:rPr>
        <w:t>[38]</w:t>
      </w:r>
      <w:r w:rsidRPr="00E148FB">
        <w:rPr>
          <w:sz w:val="24"/>
          <w:szCs w:val="24"/>
        </w:rPr>
        <w:t xml:space="preserve"> in the genus </w:t>
      </w:r>
      <w:proofErr w:type="spellStart"/>
      <w:r w:rsidRPr="00E148FB">
        <w:rPr>
          <w:i/>
          <w:iCs/>
          <w:sz w:val="24"/>
          <w:szCs w:val="24"/>
        </w:rPr>
        <w:t>Beilschmiedia</w:t>
      </w:r>
      <w:proofErr w:type="spellEnd"/>
      <w:r w:rsidRPr="00E148FB">
        <w:rPr>
          <w:sz w:val="24"/>
          <w:szCs w:val="24"/>
        </w:rPr>
        <w:t xml:space="preserve"> </w:t>
      </w:r>
      <w:proofErr w:type="spellStart"/>
      <w:r w:rsidRPr="00E148FB">
        <w:rPr>
          <w:sz w:val="24"/>
          <w:szCs w:val="24"/>
        </w:rPr>
        <w:t>Nees</w:t>
      </w:r>
      <w:proofErr w:type="spellEnd"/>
      <w:r w:rsidRPr="00E148FB">
        <w:rPr>
          <w:sz w:val="24"/>
          <w:szCs w:val="24"/>
        </w:rPr>
        <w:t xml:space="preserve"> revealed the presence of bioactive compounds like essential oils, amides/alkaloids, flavonoids and miscellaneous compounds with a broad spectrum of biological activities. Fabaceae (pea family) represent the third largest family, which also possess numerous secondary metabolites with potential pharmacological and toxicological properties</w:t>
      </w:r>
      <w:r w:rsidRPr="00E148FB">
        <w:rPr>
          <w:sz w:val="24"/>
          <w:szCs w:val="24"/>
          <w:vertAlign w:val="superscript"/>
        </w:rPr>
        <w:t xml:space="preserve"> </w:t>
      </w:r>
      <w:r w:rsidR="00E37B06" w:rsidRPr="00E148FB">
        <w:rPr>
          <w:sz w:val="24"/>
          <w:szCs w:val="24"/>
        </w:rPr>
        <w:t>[39]</w:t>
      </w:r>
      <w:r w:rsidRPr="00E148FB">
        <w:rPr>
          <w:sz w:val="24"/>
          <w:szCs w:val="24"/>
        </w:rPr>
        <w:t xml:space="preserve">. </w:t>
      </w:r>
      <w:proofErr w:type="spellStart"/>
      <w:r w:rsidRPr="00E148FB">
        <w:rPr>
          <w:i/>
          <w:iCs/>
          <w:sz w:val="24"/>
          <w:szCs w:val="24"/>
          <w:lang w:eastAsia="en-IN"/>
        </w:rPr>
        <w:t>Gliricidia</w:t>
      </w:r>
      <w:proofErr w:type="spellEnd"/>
      <w:r w:rsidRPr="00E148FB">
        <w:rPr>
          <w:i/>
          <w:iCs/>
          <w:sz w:val="24"/>
          <w:szCs w:val="24"/>
          <w:lang w:eastAsia="en-IN"/>
        </w:rPr>
        <w:t xml:space="preserve"> </w:t>
      </w:r>
      <w:proofErr w:type="spellStart"/>
      <w:r w:rsidRPr="00E148FB">
        <w:rPr>
          <w:i/>
          <w:iCs/>
          <w:sz w:val="24"/>
          <w:szCs w:val="24"/>
          <w:lang w:eastAsia="en-IN"/>
        </w:rPr>
        <w:t>sepium</w:t>
      </w:r>
      <w:proofErr w:type="spellEnd"/>
      <w:r w:rsidRPr="00E148FB">
        <w:rPr>
          <w:sz w:val="24"/>
          <w:szCs w:val="24"/>
          <w:lang w:eastAsia="en-IN"/>
        </w:rPr>
        <w:t xml:space="preserve"> (Jacq.) </w:t>
      </w:r>
      <w:proofErr w:type="spellStart"/>
      <w:r w:rsidRPr="00E148FB">
        <w:rPr>
          <w:sz w:val="24"/>
          <w:szCs w:val="24"/>
          <w:lang w:eastAsia="en-IN"/>
        </w:rPr>
        <w:t>Kunth</w:t>
      </w:r>
      <w:proofErr w:type="spellEnd"/>
      <w:r w:rsidRPr="00E148FB">
        <w:rPr>
          <w:sz w:val="24"/>
          <w:szCs w:val="24"/>
          <w:lang w:eastAsia="en-IN"/>
        </w:rPr>
        <w:t xml:space="preserve"> ex </w:t>
      </w:r>
      <w:proofErr w:type="spellStart"/>
      <w:r w:rsidRPr="00E148FB">
        <w:rPr>
          <w:sz w:val="24"/>
          <w:szCs w:val="24"/>
          <w:lang w:eastAsia="en-IN"/>
        </w:rPr>
        <w:t>Steud</w:t>
      </w:r>
      <w:proofErr w:type="spellEnd"/>
      <w:r w:rsidRPr="00E148FB">
        <w:rPr>
          <w:sz w:val="24"/>
          <w:szCs w:val="24"/>
          <w:lang w:eastAsia="en-IN"/>
        </w:rPr>
        <w:t>.</w:t>
      </w:r>
      <w:r w:rsidRPr="00E148FB">
        <w:rPr>
          <w:sz w:val="24"/>
          <w:szCs w:val="24"/>
          <w:lang w:val="en-PH"/>
        </w:rPr>
        <w:t xml:space="preserve"> is one</w:t>
      </w:r>
      <w:r w:rsidRPr="00E148FB">
        <w:rPr>
          <w:sz w:val="24"/>
          <w:szCs w:val="24"/>
        </w:rPr>
        <w:t xml:space="preserve"> notable </w:t>
      </w:r>
      <w:r w:rsidRPr="00E148FB">
        <w:rPr>
          <w:sz w:val="24"/>
          <w:szCs w:val="24"/>
        </w:rPr>
        <w:lastRenderedPageBreak/>
        <w:t xml:space="preserve">species included here under Fabaceae with reported biological and biochemical properties. </w:t>
      </w:r>
      <w:proofErr w:type="spellStart"/>
      <w:r w:rsidRPr="00E148FB">
        <w:rPr>
          <w:sz w:val="24"/>
          <w:szCs w:val="24"/>
        </w:rPr>
        <w:t>Abdulaziz</w:t>
      </w:r>
      <w:proofErr w:type="spellEnd"/>
      <w:r w:rsidRPr="00E148FB">
        <w:rPr>
          <w:sz w:val="24"/>
          <w:szCs w:val="24"/>
        </w:rPr>
        <w:t xml:space="preserve"> et al. </w:t>
      </w:r>
      <w:r w:rsidR="00E37B06" w:rsidRPr="00E148FB">
        <w:rPr>
          <w:sz w:val="24"/>
          <w:szCs w:val="24"/>
        </w:rPr>
        <w:t>[40]</w:t>
      </w:r>
      <w:r w:rsidRPr="00E148FB">
        <w:rPr>
          <w:i/>
          <w:iCs/>
          <w:sz w:val="24"/>
          <w:szCs w:val="24"/>
        </w:rPr>
        <w:t xml:space="preserve"> </w:t>
      </w:r>
      <w:r w:rsidRPr="00E148FB">
        <w:rPr>
          <w:sz w:val="24"/>
          <w:szCs w:val="24"/>
        </w:rPr>
        <w:t xml:space="preserve">recently investigated the antimicrobial, antioxidant, and the phytochemical components present in </w:t>
      </w:r>
      <w:r w:rsidRPr="00E148FB">
        <w:rPr>
          <w:i/>
          <w:iCs/>
          <w:sz w:val="24"/>
          <w:szCs w:val="24"/>
        </w:rPr>
        <w:t xml:space="preserve">G. </w:t>
      </w:r>
      <w:proofErr w:type="spellStart"/>
      <w:r w:rsidRPr="00E148FB">
        <w:rPr>
          <w:i/>
          <w:iCs/>
          <w:sz w:val="24"/>
          <w:szCs w:val="24"/>
        </w:rPr>
        <w:t>sepium</w:t>
      </w:r>
      <w:proofErr w:type="spellEnd"/>
      <w:r w:rsidRPr="00E148FB">
        <w:rPr>
          <w:sz w:val="24"/>
          <w:szCs w:val="24"/>
        </w:rPr>
        <w:t>, which has long been cultivated and introduced in the Philippines.</w:t>
      </w:r>
    </w:p>
    <w:p w:rsidR="00A41E1E" w:rsidRPr="00E148FB" w:rsidRDefault="00A41E1E" w:rsidP="005A08DF">
      <w:pPr>
        <w:ind w:firstLine="360"/>
        <w:jc w:val="both"/>
        <w:rPr>
          <w:lang w:eastAsia="en-IN"/>
        </w:rPr>
      </w:pPr>
      <w:r w:rsidRPr="00E148FB">
        <w:rPr>
          <w:bCs/>
        </w:rPr>
        <w:t xml:space="preserve">Some </w:t>
      </w:r>
      <w:r w:rsidRPr="00E148FB">
        <w:rPr>
          <w:bCs/>
          <w:i/>
          <w:iCs/>
        </w:rPr>
        <w:t>Cinnamomum</w:t>
      </w:r>
      <w:r w:rsidRPr="00E148FB">
        <w:rPr>
          <w:bCs/>
        </w:rPr>
        <w:t xml:space="preserve"> species like </w:t>
      </w:r>
      <w:r w:rsidRPr="00E148FB">
        <w:rPr>
          <w:bCs/>
          <w:i/>
          <w:iCs/>
        </w:rPr>
        <w:t xml:space="preserve">C. </w:t>
      </w:r>
      <w:proofErr w:type="spellStart"/>
      <w:r w:rsidRPr="00E148FB">
        <w:rPr>
          <w:bCs/>
          <w:i/>
          <w:iCs/>
        </w:rPr>
        <w:t>zeylanicum</w:t>
      </w:r>
      <w:proofErr w:type="spellEnd"/>
      <w:r w:rsidRPr="00E148FB">
        <w:rPr>
          <w:bCs/>
          <w:i/>
          <w:iCs/>
        </w:rPr>
        <w:t xml:space="preserve"> </w:t>
      </w:r>
      <w:proofErr w:type="spellStart"/>
      <w:r w:rsidRPr="00E148FB">
        <w:rPr>
          <w:bCs/>
        </w:rPr>
        <w:t>Breyne</w:t>
      </w:r>
      <w:proofErr w:type="spellEnd"/>
      <w:r w:rsidRPr="00E148FB">
        <w:rPr>
          <w:bCs/>
        </w:rPr>
        <w:t xml:space="preserve"> were reported with antimicrobial activity and </w:t>
      </w:r>
      <w:r w:rsidRPr="00E148FB">
        <w:rPr>
          <w:bCs/>
          <w:i/>
          <w:iCs/>
        </w:rPr>
        <w:t>C. cassia</w:t>
      </w:r>
      <w:r w:rsidRPr="00E148FB">
        <w:rPr>
          <w:bCs/>
        </w:rPr>
        <w:t xml:space="preserve"> (L.) </w:t>
      </w:r>
      <w:proofErr w:type="spellStart"/>
      <w:proofErr w:type="gramStart"/>
      <w:r w:rsidRPr="00E148FB">
        <w:rPr>
          <w:bCs/>
        </w:rPr>
        <w:t>J.Presl</w:t>
      </w:r>
      <w:proofErr w:type="spellEnd"/>
      <w:proofErr w:type="gramEnd"/>
      <w:r w:rsidRPr="00E148FB">
        <w:rPr>
          <w:bCs/>
        </w:rPr>
        <w:t xml:space="preserve"> with antitumor property possessing several essential oils</w:t>
      </w:r>
      <w:r w:rsidR="00E9551B" w:rsidRPr="00E148FB">
        <w:rPr>
          <w:bCs/>
          <w:vertAlign w:val="superscript"/>
        </w:rPr>
        <w:t xml:space="preserve"> </w:t>
      </w:r>
      <w:r w:rsidR="00E37B06" w:rsidRPr="00E148FB">
        <w:rPr>
          <w:bCs/>
        </w:rPr>
        <w:t>[41]</w:t>
      </w:r>
      <w:r w:rsidRPr="00E148FB">
        <w:rPr>
          <w:bCs/>
        </w:rPr>
        <w:t xml:space="preserve">. These findings supported some ethnomedicinal uses of </w:t>
      </w:r>
      <w:r w:rsidRPr="00E148FB">
        <w:rPr>
          <w:bCs/>
          <w:i/>
          <w:iCs/>
        </w:rPr>
        <w:t xml:space="preserve">C. mercadoi </w:t>
      </w:r>
      <w:r w:rsidRPr="00E148FB">
        <w:rPr>
          <w:lang w:eastAsia="en-IN"/>
        </w:rPr>
        <w:t xml:space="preserve">in this study </w:t>
      </w:r>
      <w:r w:rsidR="00212784" w:rsidRPr="00E148FB">
        <w:rPr>
          <w:lang w:eastAsia="en-IN"/>
        </w:rPr>
        <w:t>as</w:t>
      </w:r>
      <w:r w:rsidRPr="00E148FB">
        <w:rPr>
          <w:lang w:eastAsia="en-IN"/>
        </w:rPr>
        <w:t xml:space="preserve"> </w:t>
      </w:r>
      <w:r w:rsidR="00B3795C">
        <w:rPr>
          <w:lang w:eastAsia="en-IN"/>
        </w:rPr>
        <w:t xml:space="preserve">a </w:t>
      </w:r>
      <w:r w:rsidRPr="00E148FB">
        <w:rPr>
          <w:lang w:eastAsia="en-IN"/>
        </w:rPr>
        <w:t xml:space="preserve">treatment for cancer, diarrhea, and urinary tract infection. Previous investigations of </w:t>
      </w:r>
      <w:r w:rsidRPr="00E148FB">
        <w:rPr>
          <w:i/>
          <w:iCs/>
          <w:lang w:eastAsia="en-IN"/>
        </w:rPr>
        <w:t>Ficus</w:t>
      </w:r>
      <w:r w:rsidRPr="00E148FB">
        <w:rPr>
          <w:lang w:eastAsia="en-IN"/>
        </w:rPr>
        <w:t xml:space="preserve"> species revealed potency against malignant disease and inflammation. Lansky et al. </w:t>
      </w:r>
      <w:r w:rsidR="009F100D" w:rsidRPr="00E148FB">
        <w:rPr>
          <w:lang w:eastAsia="en-IN"/>
        </w:rPr>
        <w:t>[42]</w:t>
      </w:r>
      <w:r w:rsidRPr="00E148FB">
        <w:rPr>
          <w:vertAlign w:val="superscript"/>
          <w:lang w:eastAsia="en-IN"/>
        </w:rPr>
        <w:t xml:space="preserve"> </w:t>
      </w:r>
      <w:r w:rsidRPr="00E148FB">
        <w:rPr>
          <w:lang w:eastAsia="en-IN"/>
        </w:rPr>
        <w:t xml:space="preserve">reviewed ethnopharmacological uses of </w:t>
      </w:r>
      <w:r w:rsidRPr="00E148FB">
        <w:rPr>
          <w:i/>
          <w:iCs/>
          <w:lang w:eastAsia="en-IN"/>
        </w:rPr>
        <w:t>Ficus</w:t>
      </w:r>
      <w:r w:rsidRPr="00E148FB">
        <w:rPr>
          <w:lang w:eastAsia="en-IN"/>
        </w:rPr>
        <w:t xml:space="preserve"> species as anticancer and anti-inflammatory agents during medieval, ancient, and modern times. This ethnopharmacological review coincided with the medicinal </w:t>
      </w:r>
      <w:r w:rsidR="00B3795C">
        <w:rPr>
          <w:lang w:eastAsia="en-IN"/>
        </w:rPr>
        <w:t>purposes</w:t>
      </w:r>
      <w:r w:rsidRPr="00E148FB">
        <w:rPr>
          <w:lang w:eastAsia="en-IN"/>
        </w:rPr>
        <w:t xml:space="preserve"> of </w:t>
      </w:r>
      <w:r w:rsidRPr="00E148FB">
        <w:rPr>
          <w:bCs/>
          <w:i/>
          <w:iCs/>
        </w:rPr>
        <w:t>F. concinna</w:t>
      </w:r>
      <w:r w:rsidRPr="00E148FB">
        <w:rPr>
          <w:bCs/>
        </w:rPr>
        <w:t xml:space="preserve"> among the key informants</w:t>
      </w:r>
      <w:r w:rsidRPr="00E148FB">
        <w:rPr>
          <w:bCs/>
          <w:i/>
          <w:iCs/>
        </w:rPr>
        <w:t xml:space="preserve"> </w:t>
      </w:r>
      <w:r w:rsidRPr="00E148FB">
        <w:rPr>
          <w:bCs/>
        </w:rPr>
        <w:t xml:space="preserve">in treatment for </w:t>
      </w:r>
      <w:r w:rsidRPr="00E148FB">
        <w:rPr>
          <w:lang w:eastAsia="en-IN"/>
        </w:rPr>
        <w:t xml:space="preserve">arthritis, cancer, cuts and wounds, fracture, and dislocation. Identified chemical constituents for </w:t>
      </w:r>
      <w:r w:rsidRPr="00E148FB">
        <w:rPr>
          <w:bCs/>
          <w:i/>
          <w:iCs/>
        </w:rPr>
        <w:t xml:space="preserve">M. minutum </w:t>
      </w:r>
      <w:r w:rsidRPr="00E148FB">
        <w:rPr>
          <w:bCs/>
        </w:rPr>
        <w:t xml:space="preserve">also have potential biological property containing coumarins as </w:t>
      </w:r>
      <w:r w:rsidR="00B3795C">
        <w:rPr>
          <w:bCs/>
        </w:rPr>
        <w:t>potent</w:t>
      </w:r>
      <w:r w:rsidRPr="00E148FB">
        <w:rPr>
          <w:bCs/>
        </w:rPr>
        <w:t xml:space="preserve"> cytotoxic agents against </w:t>
      </w:r>
      <w:r w:rsidR="00B3795C">
        <w:rPr>
          <w:bCs/>
        </w:rPr>
        <w:t xml:space="preserve">the </w:t>
      </w:r>
      <w:r w:rsidRPr="00E148FB">
        <w:rPr>
          <w:bCs/>
        </w:rPr>
        <w:t xml:space="preserve">T-lymphoblastic leukemia cell line </w:t>
      </w:r>
      <w:r w:rsidR="009F100D" w:rsidRPr="00E148FB">
        <w:rPr>
          <w:bCs/>
        </w:rPr>
        <w:t>[43]</w:t>
      </w:r>
      <w:r w:rsidRPr="00E148FB">
        <w:rPr>
          <w:bCs/>
        </w:rPr>
        <w:t xml:space="preserve">. This result supports the medicinal uses of </w:t>
      </w:r>
      <w:r w:rsidRPr="00E148FB">
        <w:rPr>
          <w:bCs/>
          <w:i/>
          <w:iCs/>
        </w:rPr>
        <w:t xml:space="preserve">M. minutum </w:t>
      </w:r>
      <w:r w:rsidRPr="00E148FB">
        <w:rPr>
          <w:bCs/>
        </w:rPr>
        <w:t xml:space="preserve">in both indigenous communities as </w:t>
      </w:r>
      <w:r w:rsidR="00B3795C">
        <w:rPr>
          <w:bCs/>
        </w:rPr>
        <w:t xml:space="preserve">a </w:t>
      </w:r>
      <w:r w:rsidRPr="00E148FB">
        <w:rPr>
          <w:bCs/>
        </w:rPr>
        <w:t xml:space="preserve">treatment for </w:t>
      </w:r>
      <w:r w:rsidRPr="00E148FB">
        <w:rPr>
          <w:lang w:eastAsia="en-IN"/>
        </w:rPr>
        <w:t xml:space="preserve">cancer. </w:t>
      </w:r>
      <w:r w:rsidR="00B3795C">
        <w:rPr>
          <w:lang w:eastAsia="en-IN"/>
        </w:rPr>
        <w:t>The aboriginal</w:t>
      </w:r>
      <w:r w:rsidRPr="00E148FB">
        <w:rPr>
          <w:lang w:eastAsia="en-IN"/>
        </w:rPr>
        <w:t xml:space="preserve"> claim of </w:t>
      </w:r>
      <w:r w:rsidRPr="00E148FB">
        <w:rPr>
          <w:bCs/>
          <w:i/>
          <w:iCs/>
        </w:rPr>
        <w:t>F. septica</w:t>
      </w:r>
      <w:r w:rsidRPr="00E148FB">
        <w:rPr>
          <w:lang w:eastAsia="en-IN"/>
        </w:rPr>
        <w:t xml:space="preserve"> as </w:t>
      </w:r>
      <w:r w:rsidR="00B3795C">
        <w:rPr>
          <w:lang w:eastAsia="en-IN"/>
        </w:rPr>
        <w:t xml:space="preserve">a </w:t>
      </w:r>
      <w:r w:rsidRPr="00E148FB">
        <w:rPr>
          <w:lang w:eastAsia="en-IN"/>
        </w:rPr>
        <w:t>treatment for dengue fever has also been studied. Huang et al.</w:t>
      </w:r>
      <w:r w:rsidRPr="00E148FB">
        <w:rPr>
          <w:vertAlign w:val="superscript"/>
          <w:lang w:eastAsia="en-IN"/>
        </w:rPr>
        <w:t xml:space="preserve"> </w:t>
      </w:r>
      <w:r w:rsidR="009F100D" w:rsidRPr="00E148FB">
        <w:rPr>
          <w:lang w:eastAsia="en-IN"/>
        </w:rPr>
        <w:t>[44]</w:t>
      </w:r>
      <w:r w:rsidRPr="00E148FB">
        <w:rPr>
          <w:lang w:eastAsia="en-IN"/>
        </w:rPr>
        <w:t xml:space="preserve"> revealed that the methanol extracts of fruit, heartwood, leaves</w:t>
      </w:r>
      <w:r w:rsidR="00B3795C">
        <w:rPr>
          <w:lang w:eastAsia="en-IN"/>
        </w:rPr>
        <w:t>,</w:t>
      </w:r>
      <w:r w:rsidRPr="00E148FB">
        <w:rPr>
          <w:lang w:eastAsia="en-IN"/>
        </w:rPr>
        <w:t xml:space="preserve"> and stems from </w:t>
      </w:r>
      <w:r w:rsidRPr="00E148FB">
        <w:rPr>
          <w:i/>
          <w:iCs/>
          <w:lang w:eastAsia="en-IN"/>
        </w:rPr>
        <w:t>F. septica</w:t>
      </w:r>
      <w:r w:rsidRPr="00E148FB">
        <w:rPr>
          <w:lang w:eastAsia="en-IN"/>
        </w:rPr>
        <w:t xml:space="preserve"> had a promising anti-dengue virus activity against dengue virus types 1 and 2. </w:t>
      </w:r>
    </w:p>
    <w:p w:rsidR="0021295B" w:rsidRPr="00E148FB" w:rsidRDefault="00A41E1E" w:rsidP="005A08DF">
      <w:pPr>
        <w:tabs>
          <w:tab w:val="left" w:pos="450"/>
          <w:tab w:val="center" w:pos="4680"/>
        </w:tabs>
        <w:jc w:val="both"/>
        <w:rPr>
          <w:bCs/>
        </w:rPr>
      </w:pPr>
      <w:r w:rsidRPr="00E148FB">
        <w:rPr>
          <w:bCs/>
        </w:rPr>
        <w:tab/>
        <w:t xml:space="preserve">Conservation assessment findings of this study justify for future reinforcement </w:t>
      </w:r>
      <w:r w:rsidR="00D4495F" w:rsidRPr="00E148FB">
        <w:rPr>
          <w:bCs/>
        </w:rPr>
        <w:t>of</w:t>
      </w:r>
      <w:r w:rsidRPr="00E148FB">
        <w:rPr>
          <w:bCs/>
        </w:rPr>
        <w:t xml:space="preserve"> conservation strategies to sustain medicinally important tree species. These </w:t>
      </w:r>
      <w:r w:rsidR="00B3795C">
        <w:rPr>
          <w:bCs/>
        </w:rPr>
        <w:t>significant</w:t>
      </w:r>
      <w:r w:rsidRPr="00E148FB">
        <w:rPr>
          <w:bCs/>
        </w:rPr>
        <w:t xml:space="preserve"> genetic resources are assets that must be conserved and protected with strict implementation of national and local policies on their conservation and uses. Both </w:t>
      </w:r>
      <w:r w:rsidRPr="00E148FB">
        <w:rPr>
          <w:bCs/>
          <w:i/>
          <w:iCs/>
        </w:rPr>
        <w:t>Manobo</w:t>
      </w:r>
      <w:r w:rsidRPr="00E148FB">
        <w:rPr>
          <w:bCs/>
        </w:rPr>
        <w:t xml:space="preserve"> and </w:t>
      </w:r>
      <w:r w:rsidRPr="00E148FB">
        <w:rPr>
          <w:bCs/>
          <w:i/>
          <w:iCs/>
        </w:rPr>
        <w:t>Higaonon</w:t>
      </w:r>
      <w:r w:rsidRPr="00E148FB">
        <w:rPr>
          <w:bCs/>
        </w:rPr>
        <w:t xml:space="preserve"> indigenous communities value the conservation of their natural </w:t>
      </w:r>
      <w:r w:rsidRPr="00E148FB">
        <w:rPr>
          <w:bCs/>
        </w:rPr>
        <w:lastRenderedPageBreak/>
        <w:t xml:space="preserve">resources. Regardless of some differences in their cultural traditions and practices, they continually keep peace and practice sustainable use of their forest plant resources. They are recognized as bearers of ancestral knowledge and wisdom </w:t>
      </w:r>
      <w:r w:rsidR="0085395A">
        <w:rPr>
          <w:bCs/>
        </w:rPr>
        <w:t>concerning</w:t>
      </w:r>
      <w:r w:rsidRPr="00E148FB">
        <w:rPr>
          <w:bCs/>
        </w:rPr>
        <w:t xml:space="preserve"> biodiversity</w:t>
      </w:r>
      <w:r w:rsidR="004C6254" w:rsidRPr="00E148FB">
        <w:rPr>
          <w:bCs/>
        </w:rPr>
        <w:t xml:space="preserve">. </w:t>
      </w:r>
      <w:r w:rsidR="00CB10B9" w:rsidRPr="00E148FB">
        <w:rPr>
          <w:bCs/>
        </w:rPr>
        <w:t xml:space="preserve">Indigenous peoples of Agusan del Sur were </w:t>
      </w:r>
      <w:r w:rsidR="00B32B27">
        <w:rPr>
          <w:bCs/>
        </w:rPr>
        <w:t>previously surveyed</w:t>
      </w:r>
      <w:r w:rsidR="00CB10B9" w:rsidRPr="00E148FB">
        <w:rPr>
          <w:bCs/>
        </w:rPr>
        <w:t xml:space="preserve"> with rich medicinal plant knowledge and practices [</w:t>
      </w:r>
      <w:r w:rsidR="00D82E4A" w:rsidRPr="00E148FB">
        <w:rPr>
          <w:bCs/>
        </w:rPr>
        <w:t>4</w:t>
      </w:r>
      <w:r w:rsidR="00E84D68" w:rsidRPr="00E148FB">
        <w:rPr>
          <w:bCs/>
        </w:rPr>
        <w:t>5</w:t>
      </w:r>
      <w:r w:rsidR="00EA5255" w:rsidRPr="002F45E1">
        <w:t>–</w:t>
      </w:r>
      <w:r w:rsidR="00D82E4A" w:rsidRPr="00E148FB">
        <w:rPr>
          <w:bCs/>
        </w:rPr>
        <w:t>4</w:t>
      </w:r>
      <w:r w:rsidR="00E84D68" w:rsidRPr="00E148FB">
        <w:rPr>
          <w:bCs/>
        </w:rPr>
        <w:t>7</w:t>
      </w:r>
      <w:r w:rsidR="00D82E4A" w:rsidRPr="00E148FB">
        <w:rPr>
          <w:bCs/>
        </w:rPr>
        <w:t xml:space="preserve">] </w:t>
      </w:r>
      <w:r w:rsidR="00B32B27">
        <w:rPr>
          <w:bCs/>
        </w:rPr>
        <w:t>with</w:t>
      </w:r>
      <w:r w:rsidR="00D82E4A" w:rsidRPr="00E148FB">
        <w:rPr>
          <w:bCs/>
        </w:rPr>
        <w:t xml:space="preserve"> few species scientifically validated for its biochemical and biological </w:t>
      </w:r>
      <w:r w:rsidR="00EE72A7" w:rsidRPr="00E148FB">
        <w:rPr>
          <w:bCs/>
        </w:rPr>
        <w:t>activities [</w:t>
      </w:r>
      <w:r w:rsidR="00E84D68" w:rsidRPr="00E148FB">
        <w:rPr>
          <w:bCs/>
        </w:rPr>
        <w:t>48,49</w:t>
      </w:r>
      <w:r w:rsidR="00B32B27">
        <w:rPr>
          <w:bCs/>
        </w:rPr>
        <w:t>], but this is the first time to document on medicinal trees.</w:t>
      </w:r>
    </w:p>
    <w:p w:rsidR="00A41E1E" w:rsidRPr="00E148FB" w:rsidRDefault="00A41E1E" w:rsidP="005A08DF">
      <w:pPr>
        <w:tabs>
          <w:tab w:val="left" w:pos="450"/>
          <w:tab w:val="center" w:pos="4680"/>
        </w:tabs>
        <w:jc w:val="both"/>
        <w:rPr>
          <w:bCs/>
        </w:rPr>
      </w:pPr>
      <w:r w:rsidRPr="00E148FB">
        <w:rPr>
          <w:bCs/>
        </w:rPr>
        <w:t xml:space="preserve">Their active participation in programs and initiatives for biodiversity conservation for </w:t>
      </w:r>
      <w:r w:rsidR="0085395A">
        <w:rPr>
          <w:bCs/>
        </w:rPr>
        <w:t>adequate</w:t>
      </w:r>
      <w:r w:rsidRPr="00E148FB">
        <w:rPr>
          <w:bCs/>
        </w:rPr>
        <w:t xml:space="preserve"> protection and management of forest reserves would lead to a more comprehensive, robust, and cost-effective biodiversity conservation and management</w:t>
      </w:r>
      <w:r w:rsidRPr="00E148FB">
        <w:rPr>
          <w:bCs/>
          <w:vertAlign w:val="superscript"/>
        </w:rPr>
        <w:t xml:space="preserve"> </w:t>
      </w:r>
      <w:r w:rsidR="00663111" w:rsidRPr="00E148FB">
        <w:rPr>
          <w:bCs/>
        </w:rPr>
        <w:t>[</w:t>
      </w:r>
      <w:r w:rsidR="00E84D68" w:rsidRPr="00E148FB">
        <w:rPr>
          <w:bCs/>
        </w:rPr>
        <w:t>50</w:t>
      </w:r>
      <w:r w:rsidR="00663111" w:rsidRPr="00E148FB">
        <w:rPr>
          <w:bCs/>
        </w:rPr>
        <w:t>]</w:t>
      </w:r>
      <w:r w:rsidRPr="00E148FB">
        <w:rPr>
          <w:bCs/>
        </w:rPr>
        <w:t>.</w:t>
      </w:r>
    </w:p>
    <w:p w:rsidR="00A14768" w:rsidRPr="00E148FB" w:rsidRDefault="00A14768" w:rsidP="005A08DF">
      <w:pPr>
        <w:pStyle w:val="NormalWeb"/>
        <w:spacing w:line="480" w:lineRule="auto"/>
        <w:ind w:firstLine="360"/>
        <w:jc w:val="both"/>
      </w:pPr>
      <w:r w:rsidRPr="00E148FB">
        <w:t xml:space="preserve">Both </w:t>
      </w:r>
      <w:r w:rsidRPr="00E148FB">
        <w:rPr>
          <w:i/>
          <w:iCs/>
        </w:rPr>
        <w:t>Manobo</w:t>
      </w:r>
      <w:r w:rsidRPr="00E148FB">
        <w:t xml:space="preserve"> and </w:t>
      </w:r>
      <w:r w:rsidRPr="00E148FB">
        <w:rPr>
          <w:i/>
          <w:iCs/>
        </w:rPr>
        <w:t>Higaonon</w:t>
      </w:r>
      <w:r w:rsidRPr="00E148FB">
        <w:t xml:space="preserve"> tribal communities traditionally practice conservation of their natural resources through the years. However, their long traditions of managing their lands have no titles of their own, resulting </w:t>
      </w:r>
      <w:r w:rsidR="0085395A">
        <w:t>in</w:t>
      </w:r>
      <w:r w:rsidRPr="00E148FB">
        <w:t xml:space="preserve"> community-based use of </w:t>
      </w:r>
      <w:r w:rsidR="0085395A">
        <w:t>properties</w:t>
      </w:r>
      <w:r w:rsidRPr="00E148FB">
        <w:t xml:space="preserve"> and rights being passed on through inheritance.</w:t>
      </w:r>
      <w:r w:rsidR="00E41B37" w:rsidRPr="00E148FB">
        <w:t xml:space="preserve"> </w:t>
      </w:r>
      <w:r w:rsidRPr="00E148FB">
        <w:t>In 1995, the Community-Based Forest Management Program was implemented in the country based on the Integrated Social Forestry Program in 1976. This implementation issued</w:t>
      </w:r>
      <w:r w:rsidRPr="00E148FB">
        <w:rPr>
          <w:color w:val="808080" w:themeColor="background1" w:themeShade="80"/>
        </w:rPr>
        <w:t xml:space="preserve"> </w:t>
      </w:r>
      <w:r w:rsidRPr="00E148FB">
        <w:t xml:space="preserve">Certificates of Ancestral Domain Claim (CADC) to </w:t>
      </w:r>
      <w:r w:rsidRPr="00E148FB">
        <w:rPr>
          <w:bCs/>
        </w:rPr>
        <w:t xml:space="preserve">Indigenous Cultural Communities/Indigenous Peoples (ICCs/IPs) and provided security of tenure for 50 years. This issuance </w:t>
      </w:r>
      <w:r w:rsidRPr="00E148FB">
        <w:t xml:space="preserve">legitimized the presence of indigenous communities, like the </w:t>
      </w:r>
      <w:r w:rsidRPr="00E148FB">
        <w:rPr>
          <w:i/>
          <w:iCs/>
        </w:rPr>
        <w:t>Manobo</w:t>
      </w:r>
      <w:r w:rsidRPr="00E148FB">
        <w:t xml:space="preserve"> and </w:t>
      </w:r>
      <w:r w:rsidRPr="00E148FB">
        <w:rPr>
          <w:i/>
          <w:iCs/>
        </w:rPr>
        <w:t>Higaonon</w:t>
      </w:r>
      <w:r w:rsidRPr="00E148FB">
        <w:t xml:space="preserve"> tribes,</w:t>
      </w:r>
      <w:r w:rsidRPr="00E148FB">
        <w:rPr>
          <w:bCs/>
        </w:rPr>
        <w:t xml:space="preserve"> </w:t>
      </w:r>
      <w:r w:rsidRPr="00E148FB">
        <w:t xml:space="preserve">thus, giving them right over their ancestral domain for occupation, land management, and development. Subsequently, the Indigenous </w:t>
      </w:r>
      <w:r w:rsidR="00972FE6">
        <w:t>Peoples’</w:t>
      </w:r>
      <w:r w:rsidRPr="00E148FB">
        <w:t xml:space="preserve"> Rights Act was passed in 1997. This act put up an absolute Ancestral Domain Title among the ICCS/IPS promoting conservation practice of the </w:t>
      </w:r>
      <w:r w:rsidRPr="00E148FB">
        <w:rPr>
          <w:i/>
          <w:iCs/>
        </w:rPr>
        <w:t>Manobo</w:t>
      </w:r>
      <w:r w:rsidRPr="00E148FB">
        <w:t xml:space="preserve"> and </w:t>
      </w:r>
      <w:r w:rsidRPr="00E148FB">
        <w:rPr>
          <w:i/>
          <w:iCs/>
        </w:rPr>
        <w:t>Higaonon</w:t>
      </w:r>
      <w:r w:rsidRPr="00E148FB">
        <w:t xml:space="preserve"> cultural communities in their natural resources. They continually exercise their rights and practice their customs and traditions of land </w:t>
      </w:r>
      <w:r w:rsidRPr="00E148FB">
        <w:lastRenderedPageBreak/>
        <w:t xml:space="preserve">management and development. As a result, it strengthened their rightful ownership of their land for the future conservation of natural resources, particularly their medicinally </w:t>
      </w:r>
      <w:r w:rsidR="0085395A">
        <w:t>essential</w:t>
      </w:r>
      <w:r w:rsidRPr="00E148FB">
        <w:t xml:space="preserve"> plants. Besides, the issuance of Certificate of Ancestral Domain Title (CADT) conferred significant economic and cultural benefits for indigenous communities.</w:t>
      </w:r>
    </w:p>
    <w:p w:rsidR="00A14768" w:rsidRPr="00E148FB" w:rsidRDefault="00A14768" w:rsidP="005A08DF">
      <w:pPr>
        <w:pStyle w:val="NormalWeb"/>
        <w:spacing w:line="480" w:lineRule="auto"/>
        <w:ind w:firstLine="360"/>
        <w:jc w:val="both"/>
        <w:rPr>
          <w:color w:val="808080" w:themeColor="background1" w:themeShade="80"/>
          <w:sz w:val="28"/>
          <w:szCs w:val="28"/>
        </w:rPr>
      </w:pPr>
      <w:r w:rsidRPr="00E148FB">
        <w:t xml:space="preserve">Assessment of medicinally important and conservation status of their medicinal plants are very significant. For instance, tree species play a vital role in the balance of ecosystems aside from its </w:t>
      </w:r>
      <w:r w:rsidR="0085395A">
        <w:t>commercial</w:t>
      </w:r>
      <w:r w:rsidRPr="00E148FB">
        <w:t xml:space="preserve"> uses as a source of timber, food, and medicine. With the traditional ecological and medicinal knowledge of the </w:t>
      </w:r>
      <w:r w:rsidRPr="00E148FB">
        <w:rPr>
          <w:i/>
          <w:iCs/>
        </w:rPr>
        <w:t>Manobo</w:t>
      </w:r>
      <w:r w:rsidRPr="00E148FB">
        <w:t xml:space="preserve"> and </w:t>
      </w:r>
      <w:r w:rsidRPr="00E148FB">
        <w:rPr>
          <w:i/>
          <w:iCs/>
        </w:rPr>
        <w:t>Higaonon</w:t>
      </w:r>
      <w:r w:rsidRPr="00E148FB">
        <w:t xml:space="preserve"> tribes, their integral roles as guardians in their ancestral territories started within their cultural communities.</w:t>
      </w:r>
    </w:p>
    <w:p w:rsidR="00A14768" w:rsidRPr="00E148FB" w:rsidRDefault="00A14768" w:rsidP="005A08DF">
      <w:pPr>
        <w:pStyle w:val="NormalWeb"/>
        <w:spacing w:line="480" w:lineRule="auto"/>
        <w:ind w:firstLine="360"/>
        <w:jc w:val="both"/>
      </w:pPr>
      <w:r w:rsidRPr="00E148FB">
        <w:t>The assessment by the IUCN and DENR will take more years and meticulous processes, while some of these tree species are becoming extinct through time. Hence, environmental governance should reinforce collaborative initiatives in partnership with the tribal communities as a source of medicinal and ecological perspectives and knowledge of their indigenous trees to improve environmental conservation and management.</w:t>
      </w:r>
      <w:r w:rsidR="00B4233F" w:rsidRPr="00E148FB">
        <w:t xml:space="preserve"> These findings provided baseline information on medicinal trees as </w:t>
      </w:r>
      <w:r w:rsidR="0085395A">
        <w:t>critical</w:t>
      </w:r>
      <w:r w:rsidR="00B4233F" w:rsidRPr="00E148FB">
        <w:t xml:space="preserve"> genetic resources.  Local people and LGU intervention should actively participate in shared management responsibilities for viable conservation strategies and sustainable use of cultural community resources.</w:t>
      </w:r>
    </w:p>
    <w:p w:rsidR="007164F3" w:rsidRPr="00E148FB" w:rsidRDefault="00A14768" w:rsidP="005A08DF">
      <w:pPr>
        <w:pStyle w:val="NormalWeb"/>
        <w:spacing w:line="480" w:lineRule="auto"/>
        <w:ind w:firstLine="360"/>
        <w:jc w:val="both"/>
      </w:pPr>
      <w:r w:rsidRPr="00E148FB">
        <w:t xml:space="preserve">It is highly recommended </w:t>
      </w:r>
      <w:r w:rsidR="0085395A">
        <w:t>to investigate further</w:t>
      </w:r>
      <w:r w:rsidRPr="00E148FB">
        <w:t xml:space="preserve"> the </w:t>
      </w:r>
      <w:r w:rsidRPr="00E148FB">
        <w:rPr>
          <w:i/>
          <w:iCs/>
        </w:rPr>
        <w:t>Manobo</w:t>
      </w:r>
      <w:r w:rsidRPr="00E148FB">
        <w:t xml:space="preserve"> and </w:t>
      </w:r>
      <w:r w:rsidRPr="00E148FB">
        <w:rPr>
          <w:i/>
          <w:iCs/>
        </w:rPr>
        <w:t>Higaonon</w:t>
      </w:r>
      <w:r w:rsidRPr="00E148FB">
        <w:t xml:space="preserve"> ethnomedicinally important trees, which are now classified as vulnerable, threatened, and endangered medicinal tree species. The pharmacological aspect of medicinal tree species could intensify their sustainable conservation priorities.</w:t>
      </w:r>
    </w:p>
    <w:p w:rsidR="00762114" w:rsidRDefault="00762114" w:rsidP="005A08DF">
      <w:pPr>
        <w:pStyle w:val="NormalWeb"/>
        <w:spacing w:line="480" w:lineRule="auto"/>
        <w:jc w:val="both"/>
      </w:pPr>
    </w:p>
    <w:p w:rsidR="0085395A" w:rsidRPr="00E148FB" w:rsidRDefault="0085395A" w:rsidP="005A08DF">
      <w:pPr>
        <w:pStyle w:val="NormalWeb"/>
        <w:spacing w:line="480" w:lineRule="auto"/>
        <w:jc w:val="both"/>
      </w:pPr>
    </w:p>
    <w:p w:rsidR="007164F3" w:rsidRPr="00E148FB" w:rsidRDefault="007164F3" w:rsidP="005A08DF">
      <w:pPr>
        <w:pStyle w:val="NormalWeb"/>
        <w:spacing w:line="480" w:lineRule="auto"/>
        <w:jc w:val="both"/>
        <w:rPr>
          <w:b/>
          <w:bCs/>
        </w:rPr>
      </w:pPr>
      <w:r w:rsidRPr="00E148FB">
        <w:rPr>
          <w:b/>
          <w:bCs/>
        </w:rPr>
        <w:lastRenderedPageBreak/>
        <w:t>Conclusions</w:t>
      </w:r>
    </w:p>
    <w:p w:rsidR="009F3D1B" w:rsidRPr="00E148FB" w:rsidRDefault="009F3D1B" w:rsidP="009F3D1B">
      <w:pPr>
        <w:spacing w:line="200" w:lineRule="exact"/>
      </w:pPr>
    </w:p>
    <w:p w:rsidR="0092078D" w:rsidRPr="00E148FB" w:rsidRDefault="009F3D1B" w:rsidP="009F3D1B">
      <w:pPr>
        <w:pStyle w:val="NormalWeb"/>
        <w:spacing w:line="480" w:lineRule="auto"/>
        <w:jc w:val="both"/>
      </w:pPr>
      <w:r w:rsidRPr="00E148FB">
        <w:t xml:space="preserve">This study evaluated a total of 43 species belonging to 36 genera and 22 families recorded as ethnomedicinally important tree species among the </w:t>
      </w:r>
      <w:r w:rsidRPr="00E148FB">
        <w:rPr>
          <w:i/>
          <w:iCs/>
        </w:rPr>
        <w:t>Manobo</w:t>
      </w:r>
      <w:r w:rsidRPr="00E148FB">
        <w:t xml:space="preserve"> and </w:t>
      </w:r>
      <w:r w:rsidRPr="00E148FB">
        <w:rPr>
          <w:i/>
          <w:iCs/>
        </w:rPr>
        <w:t>Higaonon</w:t>
      </w:r>
      <w:r w:rsidRPr="00E148FB">
        <w:t xml:space="preserve"> indigenous communities in Esperanza, Philippines. </w:t>
      </w:r>
      <w:r w:rsidR="006A7E0B" w:rsidRPr="00E148FB">
        <w:rPr>
          <w:bCs/>
        </w:rPr>
        <w:t xml:space="preserve">Results showed that Moraceae had the highest FIV (99.33), and both </w:t>
      </w:r>
      <w:r w:rsidR="006A7E0B" w:rsidRPr="00E148FB">
        <w:rPr>
          <w:bCs/>
          <w:i/>
          <w:iCs/>
        </w:rPr>
        <w:t>Cinnamomum mercadoi</w:t>
      </w:r>
      <w:r w:rsidR="006A7E0B" w:rsidRPr="00E148FB">
        <w:rPr>
          <w:bCs/>
        </w:rPr>
        <w:t xml:space="preserve"> (Lauraceae) and </w:t>
      </w:r>
      <w:r w:rsidR="006A7E0B" w:rsidRPr="00E148FB">
        <w:rPr>
          <w:bCs/>
          <w:i/>
          <w:iCs/>
        </w:rPr>
        <w:t>Ficus concinna</w:t>
      </w:r>
      <w:r w:rsidR="006A7E0B" w:rsidRPr="00E148FB">
        <w:rPr>
          <w:bCs/>
        </w:rPr>
        <w:t xml:space="preserve"> (Moraceae) had the </w:t>
      </w:r>
      <w:r w:rsidRPr="00E148FB">
        <w:rPr>
          <w:bCs/>
        </w:rPr>
        <w:t>highest relative frequency of citation (1.00)</w:t>
      </w:r>
      <w:r w:rsidR="006A7E0B" w:rsidRPr="00E148FB">
        <w:rPr>
          <w:bCs/>
        </w:rPr>
        <w:t xml:space="preserve">. </w:t>
      </w:r>
      <w:r w:rsidRPr="00E148FB">
        <w:t xml:space="preserve">Results showed that </w:t>
      </w:r>
      <w:r w:rsidRPr="00E148FB">
        <w:rPr>
          <w:i/>
          <w:iCs/>
        </w:rPr>
        <w:t>Manobo</w:t>
      </w:r>
      <w:r w:rsidRPr="00E148FB">
        <w:t xml:space="preserve"> and </w:t>
      </w:r>
      <w:r w:rsidRPr="00E148FB">
        <w:rPr>
          <w:i/>
          <w:iCs/>
        </w:rPr>
        <w:t>Higaonon</w:t>
      </w:r>
      <w:r w:rsidRPr="00E148FB">
        <w:t xml:space="preserve"> indigenous communities of Esperanza, Agusan del Sur is a habitat of endemic, endangered, vulnerable and threatened tree species. These findings provided baseline information on medicinal trees as </w:t>
      </w:r>
      <w:r w:rsidR="0085395A">
        <w:t>critical</w:t>
      </w:r>
      <w:r w:rsidRPr="00E148FB">
        <w:t xml:space="preserve"> genetic resources.  Local people and LGU intervention should actively participate in shared management responsibilities for viable conservation strategies and sustainable use of the cultural community resources.</w:t>
      </w:r>
    </w:p>
    <w:p w:rsidR="0092078D" w:rsidRPr="00E148FB" w:rsidRDefault="0092078D" w:rsidP="0092078D">
      <w:pPr>
        <w:spacing w:before="100" w:beforeAutospacing="1" w:after="100" w:afterAutospacing="1"/>
        <w:rPr>
          <w:b/>
          <w:bCs/>
        </w:rPr>
      </w:pPr>
      <w:r w:rsidRPr="00E148FB">
        <w:rPr>
          <w:b/>
          <w:bCs/>
        </w:rPr>
        <w:t>Ethics approval</w:t>
      </w:r>
    </w:p>
    <w:p w:rsidR="009D4FA0" w:rsidRDefault="0092078D" w:rsidP="0092078D">
      <w:pPr>
        <w:ind w:right="58"/>
        <w:jc w:val="both"/>
      </w:pPr>
      <w:r w:rsidRPr="00E148FB">
        <w:t xml:space="preserve">All necessary approval, free prior informed consent, permit, and certification </w:t>
      </w:r>
      <w:r w:rsidR="0085395A">
        <w:t>was</w:t>
      </w:r>
      <w:r w:rsidRPr="00E148FB">
        <w:t xml:space="preserve"> secured from the local government unit</w:t>
      </w:r>
      <w:r w:rsidR="005F722E" w:rsidRPr="00E148FB">
        <w:t>s,</w:t>
      </w:r>
      <w:r w:rsidRPr="00E148FB">
        <w:t xml:space="preserve"> provincial government administration</w:t>
      </w:r>
      <w:r w:rsidR="005F722E" w:rsidRPr="00E148FB">
        <w:t xml:space="preserve"> </w:t>
      </w:r>
      <w:r w:rsidRPr="00E148FB">
        <w:t>of Agusan del Sur, and regional agencies of CARAGA administrative region (Region XIII)</w:t>
      </w:r>
      <w:r w:rsidR="005F722E" w:rsidRPr="00E148FB">
        <w:t>.</w:t>
      </w:r>
      <w:r w:rsidRPr="00E148FB">
        <w:t xml:space="preserve"> </w:t>
      </w:r>
      <w:r w:rsidR="005F722E" w:rsidRPr="00E148FB">
        <w:t xml:space="preserve">DENR-CARAGA </w:t>
      </w:r>
      <w:r w:rsidRPr="00E148FB">
        <w:t>wildlife gratuitous permit (no. R13-2019-12)</w:t>
      </w:r>
      <w:r w:rsidR="006A2925">
        <w:t xml:space="preserve"> and </w:t>
      </w:r>
      <w:r w:rsidRPr="00E148FB">
        <w:t>NCIP-CARAGA certification (no. R13-2019-01)</w:t>
      </w:r>
      <w:r w:rsidR="006A2925">
        <w:t xml:space="preserve"> </w:t>
      </w:r>
      <w:r w:rsidR="005F722E" w:rsidRPr="00E148FB">
        <w:t xml:space="preserve">were obtained </w:t>
      </w:r>
      <w:r w:rsidR="006A2925">
        <w:t>before</w:t>
      </w:r>
      <w:r w:rsidR="005F722E" w:rsidRPr="00E148FB">
        <w:t xml:space="preserve"> the conduct of the study</w:t>
      </w:r>
      <w:r w:rsidRPr="00E148FB">
        <w:t xml:space="preserve">. </w:t>
      </w:r>
      <w:r w:rsidR="005F722E" w:rsidRPr="00E148FB">
        <w:t>An</w:t>
      </w:r>
      <w:r w:rsidRPr="00E148FB">
        <w:t xml:space="preserve"> ethics approval from USTGS-ERC (protocol no. GS-2019-PN007)</w:t>
      </w:r>
      <w:r w:rsidR="005F722E" w:rsidRPr="00E148FB">
        <w:t xml:space="preserve"> was secured</w:t>
      </w:r>
      <w:r w:rsidRPr="00E148FB">
        <w:t xml:space="preserve">. The purpose of the study was discussed </w:t>
      </w:r>
      <w:r w:rsidR="005F722E" w:rsidRPr="00E148FB">
        <w:t>to indigenous</w:t>
      </w:r>
      <w:r w:rsidRPr="00E148FB">
        <w:t xml:space="preserve"> communities </w:t>
      </w:r>
      <w:r w:rsidR="005F722E" w:rsidRPr="00E148FB">
        <w:t xml:space="preserve">of </w:t>
      </w:r>
      <w:r w:rsidR="005F722E" w:rsidRPr="00E148FB">
        <w:rPr>
          <w:i/>
          <w:iCs/>
        </w:rPr>
        <w:t>Manobo</w:t>
      </w:r>
      <w:r w:rsidR="005F722E" w:rsidRPr="00E148FB">
        <w:t xml:space="preserve"> and </w:t>
      </w:r>
      <w:r w:rsidR="005F722E" w:rsidRPr="00E148FB">
        <w:rPr>
          <w:i/>
          <w:iCs/>
        </w:rPr>
        <w:t>Higaonon</w:t>
      </w:r>
      <w:r w:rsidR="005F722E" w:rsidRPr="00E148FB">
        <w:t xml:space="preserve"> in Esperanza, Agusan del Sur </w:t>
      </w:r>
      <w:r w:rsidR="00E67125" w:rsidRPr="00E148FB">
        <w:t>governed</w:t>
      </w:r>
      <w:r w:rsidRPr="00E148FB">
        <w:t xml:space="preserve"> by the</w:t>
      </w:r>
      <w:r w:rsidR="00E67125" w:rsidRPr="00E148FB">
        <w:t>ir</w:t>
      </w:r>
      <w:r w:rsidRPr="00E148FB">
        <w:t xml:space="preserve"> respective tribal chieftains, following ritual observation as part of cultural immersion.</w:t>
      </w:r>
    </w:p>
    <w:p w:rsidR="00A93696" w:rsidRDefault="00A93696" w:rsidP="0092078D">
      <w:pPr>
        <w:ind w:right="58"/>
        <w:jc w:val="both"/>
      </w:pPr>
    </w:p>
    <w:p w:rsidR="00C97DDA" w:rsidRPr="00E148FB" w:rsidRDefault="00C97DDA" w:rsidP="0092078D">
      <w:pPr>
        <w:ind w:right="58"/>
        <w:jc w:val="both"/>
      </w:pPr>
    </w:p>
    <w:p w:rsidR="005A08DF" w:rsidRPr="00E148FB" w:rsidRDefault="006A2925" w:rsidP="005A08DF">
      <w:pPr>
        <w:spacing w:before="100" w:beforeAutospacing="1" w:after="100" w:afterAutospacing="1"/>
        <w:rPr>
          <w:b/>
          <w:bCs/>
        </w:rPr>
      </w:pPr>
      <w:r>
        <w:rPr>
          <w:b/>
          <w:bCs/>
        </w:rPr>
        <w:lastRenderedPageBreak/>
        <w:t>Acknowledgments</w:t>
      </w:r>
    </w:p>
    <w:p w:rsidR="005F722E" w:rsidRPr="00E148FB" w:rsidRDefault="009D4FA0" w:rsidP="009D4FA0">
      <w:pPr>
        <w:spacing w:before="100" w:beforeAutospacing="1" w:after="100" w:afterAutospacing="1"/>
        <w:jc w:val="both"/>
        <w:rPr>
          <w:lang w:val="en-PH"/>
        </w:rPr>
      </w:pPr>
      <w:r w:rsidRPr="00E148FB">
        <w:rPr>
          <w:bCs/>
          <w:spacing w:val="2"/>
          <w:kern w:val="36"/>
        </w:rPr>
        <w:t xml:space="preserve">We are very grateful to the indigenous communities of </w:t>
      </w:r>
      <w:r w:rsidRPr="00E148FB">
        <w:rPr>
          <w:bCs/>
          <w:i/>
          <w:iCs/>
          <w:spacing w:val="2"/>
          <w:kern w:val="36"/>
        </w:rPr>
        <w:t>Manobo</w:t>
      </w:r>
      <w:r w:rsidRPr="00E148FB">
        <w:rPr>
          <w:bCs/>
          <w:spacing w:val="2"/>
          <w:kern w:val="36"/>
        </w:rPr>
        <w:t xml:space="preserve"> and </w:t>
      </w:r>
      <w:r w:rsidRPr="00E148FB">
        <w:rPr>
          <w:bCs/>
          <w:i/>
          <w:iCs/>
          <w:spacing w:val="2"/>
          <w:kern w:val="36"/>
        </w:rPr>
        <w:t>Higaonon</w:t>
      </w:r>
      <w:r w:rsidRPr="00E148FB">
        <w:rPr>
          <w:bCs/>
          <w:spacing w:val="2"/>
          <w:kern w:val="36"/>
        </w:rPr>
        <w:t xml:space="preserve">, who participated in our documentation. </w:t>
      </w:r>
      <w:r w:rsidR="005F722E" w:rsidRPr="00E148FB">
        <w:rPr>
          <w:lang w:val="en-PH"/>
        </w:rPr>
        <w:t>MLGD</w:t>
      </w:r>
      <w:r w:rsidRPr="00E148FB">
        <w:rPr>
          <w:lang w:val="en-PH"/>
        </w:rPr>
        <w:t xml:space="preserve"> would like to thank for his scholarship grant from the Department of Science and Technology - Accelerated Science and Technology Human Resource Development Program - National Science Consortium (DOST-ASTHRDP-NSC) and Alexander von Humboldt Foundation as a Junior Researcher. </w:t>
      </w:r>
      <w:r w:rsidR="005F722E" w:rsidRPr="00E148FB">
        <w:rPr>
          <w:lang w:val="en-PH"/>
        </w:rPr>
        <w:t>GJDA</w:t>
      </w:r>
      <w:r w:rsidR="00D04D91" w:rsidRPr="00E148FB">
        <w:rPr>
          <w:lang w:val="en-PH"/>
        </w:rPr>
        <w:t xml:space="preserve"> </w:t>
      </w:r>
      <w:r w:rsidRPr="00E148FB">
        <w:rPr>
          <w:lang w:val="en-PH"/>
        </w:rPr>
        <w:t xml:space="preserve">thanks the Department of Health - Philippine Institute </w:t>
      </w:r>
      <w:r w:rsidR="005F722E" w:rsidRPr="00E148FB">
        <w:rPr>
          <w:lang w:val="en-PH"/>
        </w:rPr>
        <w:t>of</w:t>
      </w:r>
      <w:r w:rsidRPr="00E148FB">
        <w:rPr>
          <w:lang w:val="en-PH"/>
        </w:rPr>
        <w:t xml:space="preserve"> Traditional and Alternative Health Care (DOH-PITAHC) for the funding, and Alexander von Humboldt Foundation for a renewed research stay at the University of Bayreuth (Germany) in 2019.</w:t>
      </w:r>
    </w:p>
    <w:p w:rsidR="0092078D" w:rsidRPr="00E148FB" w:rsidRDefault="0092078D" w:rsidP="0092078D">
      <w:pPr>
        <w:spacing w:before="100" w:beforeAutospacing="1" w:after="100" w:afterAutospacing="1"/>
        <w:rPr>
          <w:b/>
          <w:bCs/>
          <w:color w:val="000000" w:themeColor="text1"/>
        </w:rPr>
      </w:pPr>
      <w:r w:rsidRPr="00E148FB">
        <w:rPr>
          <w:b/>
          <w:bCs/>
          <w:color w:val="000000" w:themeColor="text1"/>
        </w:rPr>
        <w:t>Funding</w:t>
      </w:r>
    </w:p>
    <w:p w:rsidR="0092078D" w:rsidRPr="00E148FB" w:rsidRDefault="0092078D" w:rsidP="0092078D">
      <w:pPr>
        <w:ind w:right="58"/>
        <w:jc w:val="both"/>
        <w:rPr>
          <w:color w:val="000000" w:themeColor="text1"/>
        </w:rPr>
      </w:pPr>
      <w:r w:rsidRPr="00E148FB">
        <w:rPr>
          <w:color w:val="000000" w:themeColor="text1"/>
          <w:lang w:val="en-US"/>
        </w:rPr>
        <w:t>This work was supported by the Department of Health - Philippine Institute of Traditional and Alternative Health Care (DOH-PITAHC).</w:t>
      </w:r>
    </w:p>
    <w:p w:rsidR="0092078D" w:rsidRPr="00E148FB" w:rsidRDefault="0092078D" w:rsidP="0092078D">
      <w:pPr>
        <w:spacing w:before="100" w:beforeAutospacing="1" w:after="100" w:afterAutospacing="1"/>
        <w:rPr>
          <w:b/>
          <w:bCs/>
          <w:color w:val="000000" w:themeColor="text1"/>
        </w:rPr>
      </w:pPr>
      <w:r w:rsidRPr="00E148FB">
        <w:rPr>
          <w:b/>
          <w:bCs/>
          <w:color w:val="000000" w:themeColor="text1"/>
        </w:rPr>
        <w:t>Conflict of Interest</w:t>
      </w:r>
    </w:p>
    <w:p w:rsidR="006233A4" w:rsidRPr="00E148FB" w:rsidRDefault="0092078D" w:rsidP="0092078D">
      <w:pPr>
        <w:ind w:right="58"/>
        <w:jc w:val="both"/>
        <w:rPr>
          <w:color w:val="000000" w:themeColor="text1"/>
          <w:lang w:val="en-US"/>
        </w:rPr>
      </w:pPr>
      <w:r w:rsidRPr="00E148FB">
        <w:rPr>
          <w:color w:val="000000" w:themeColor="text1"/>
          <w:lang w:val="en-US"/>
        </w:rPr>
        <w:t>The authors declare that they have no competing interest.</w:t>
      </w:r>
    </w:p>
    <w:p w:rsidR="0092078D" w:rsidRPr="00E148FB" w:rsidRDefault="0092078D" w:rsidP="0092078D">
      <w:pPr>
        <w:ind w:right="58"/>
        <w:jc w:val="both"/>
        <w:rPr>
          <w:color w:val="000000" w:themeColor="text1"/>
          <w:lang w:val="en-US"/>
        </w:rPr>
      </w:pPr>
    </w:p>
    <w:p w:rsidR="00B4233F" w:rsidRPr="00E148FB" w:rsidRDefault="00B4233F" w:rsidP="005A08DF">
      <w:pPr>
        <w:pStyle w:val="NormalWeb"/>
        <w:spacing w:line="480" w:lineRule="auto"/>
        <w:jc w:val="both"/>
        <w:rPr>
          <w:b/>
          <w:bCs/>
        </w:rPr>
      </w:pPr>
      <w:r w:rsidRPr="00E148FB">
        <w:rPr>
          <w:b/>
          <w:bCs/>
        </w:rPr>
        <w:t>References</w:t>
      </w:r>
    </w:p>
    <w:p w:rsidR="00BA1CA6" w:rsidRPr="00C87C8D" w:rsidRDefault="00BA1CA6" w:rsidP="00BA1CA6">
      <w:pPr>
        <w:pStyle w:val="ListParagraph"/>
        <w:numPr>
          <w:ilvl w:val="0"/>
          <w:numId w:val="32"/>
        </w:numPr>
        <w:tabs>
          <w:tab w:val="left" w:pos="270"/>
        </w:tabs>
        <w:spacing w:line="480" w:lineRule="auto"/>
        <w:ind w:left="540" w:hanging="540"/>
        <w:rPr>
          <w:bCs/>
          <w:sz w:val="24"/>
          <w:szCs w:val="24"/>
        </w:rPr>
      </w:pPr>
      <w:r w:rsidRPr="00C87C8D">
        <w:rPr>
          <w:bCs/>
          <w:sz w:val="24"/>
          <w:szCs w:val="24"/>
        </w:rPr>
        <w:t xml:space="preserve">IPBES. (2019). </w:t>
      </w:r>
      <w:r w:rsidRPr="00C87C8D">
        <w:rPr>
          <w:bCs/>
          <w:i/>
          <w:iCs/>
          <w:sz w:val="24"/>
          <w:szCs w:val="24"/>
        </w:rPr>
        <w:t>Summary for policymakers of the global assessment report on biodiversity and ecosystem services of the Intergovernmental Science-Policy Platform on Biodiversity and Ecosystem Services</w:t>
      </w:r>
      <w:r w:rsidRPr="00C87C8D">
        <w:rPr>
          <w:bCs/>
          <w:sz w:val="24"/>
          <w:szCs w:val="24"/>
        </w:rPr>
        <w:t>. https://www.ipbes.net/sites/default/files/downloads/spm_unedited_advance_for_posting_htn.pdf.</w:t>
      </w:r>
    </w:p>
    <w:p w:rsidR="00BA1CA6"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WRI. (2005). World Resources Institute (WRI) in collaboration with United Nations Development Programme, United Nations Environment Programme, and </w:t>
      </w:r>
      <w:r w:rsidRPr="00C87C8D">
        <w:rPr>
          <w:bCs/>
          <w:sz w:val="24"/>
          <w:szCs w:val="24"/>
        </w:rPr>
        <w:lastRenderedPageBreak/>
        <w:t>World Bank. 2005. Securing Property and Resource Rights through Tenure Reform, pp.83–87 in World Resources Report 2005: The Wealth of the Poor – Managing Ecosystems to Fight Poverty.</w:t>
      </w:r>
    </w:p>
    <w:p w:rsidR="00BA1CA6" w:rsidRPr="00107F68"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lang w:val="de-DE"/>
        </w:rPr>
        <w:t xml:space="preserve">Rahman, H., Rahman, M., Islam, M., &amp; Reza, S. (2011). </w:t>
      </w:r>
      <w:r w:rsidRPr="00C87C8D">
        <w:rPr>
          <w:bCs/>
          <w:sz w:val="24"/>
          <w:szCs w:val="24"/>
        </w:rPr>
        <w:t xml:space="preserve">The importance of forests to protect medicinal plants: a case study of </w:t>
      </w:r>
      <w:proofErr w:type="spellStart"/>
      <w:r w:rsidRPr="00C87C8D">
        <w:rPr>
          <w:bCs/>
          <w:sz w:val="24"/>
          <w:szCs w:val="24"/>
        </w:rPr>
        <w:t>Khadimnagar</w:t>
      </w:r>
      <w:proofErr w:type="spellEnd"/>
      <w:r w:rsidRPr="00C87C8D">
        <w:rPr>
          <w:bCs/>
          <w:sz w:val="24"/>
          <w:szCs w:val="24"/>
        </w:rPr>
        <w:t xml:space="preserve"> National Park, Bangladesh. </w:t>
      </w:r>
      <w:r w:rsidRPr="00C87C8D">
        <w:rPr>
          <w:bCs/>
          <w:i/>
          <w:iCs/>
          <w:sz w:val="24"/>
          <w:szCs w:val="24"/>
        </w:rPr>
        <w:t>International Journal of Biodiversity Science, Ecosystem Services &amp; Management, 7,</w:t>
      </w:r>
      <w:r w:rsidRPr="00C87C8D">
        <w:rPr>
          <w:bCs/>
          <w:sz w:val="24"/>
          <w:szCs w:val="24"/>
        </w:rPr>
        <w:t xml:space="preserve"> 283–294.</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Bhagwat, S., Willis, K. J., Birks, H. J. B., &amp; Whittaker, R. J. (2008). Agroforestry: a refuge for tropical biodiversity? </w:t>
      </w:r>
      <w:r w:rsidRPr="00C87C8D">
        <w:rPr>
          <w:bCs/>
          <w:i/>
          <w:iCs/>
          <w:sz w:val="24"/>
          <w:szCs w:val="24"/>
          <w:lang w:val="en-US"/>
        </w:rPr>
        <w:t>Trends in Ecology and Evolution, 23,</w:t>
      </w:r>
      <w:r w:rsidRPr="00C87C8D">
        <w:rPr>
          <w:bCs/>
          <w:sz w:val="24"/>
          <w:szCs w:val="24"/>
          <w:lang w:val="en-US"/>
        </w:rPr>
        <w:t xml:space="preserve"> 261–267.</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rPr>
        <w:t>Kuyah</w:t>
      </w:r>
      <w:proofErr w:type="spellEnd"/>
      <w:r w:rsidRPr="00C87C8D">
        <w:rPr>
          <w:bCs/>
          <w:sz w:val="24"/>
          <w:szCs w:val="24"/>
        </w:rPr>
        <w:t xml:space="preserve">, S., </w:t>
      </w:r>
      <w:proofErr w:type="spellStart"/>
      <w:r w:rsidRPr="00C87C8D">
        <w:rPr>
          <w:bCs/>
          <w:sz w:val="24"/>
          <w:szCs w:val="24"/>
        </w:rPr>
        <w:t>Oborn</w:t>
      </w:r>
      <w:proofErr w:type="spellEnd"/>
      <w:r w:rsidRPr="00C87C8D">
        <w:rPr>
          <w:bCs/>
          <w:sz w:val="24"/>
          <w:szCs w:val="24"/>
        </w:rPr>
        <w:t xml:space="preserve">, I., Jonsson, M., Dahlin, A. S., Barrios, E., </w:t>
      </w:r>
      <w:proofErr w:type="spellStart"/>
      <w:r w:rsidRPr="00C87C8D">
        <w:rPr>
          <w:bCs/>
          <w:sz w:val="24"/>
          <w:szCs w:val="24"/>
        </w:rPr>
        <w:t>Muthuri</w:t>
      </w:r>
      <w:proofErr w:type="spellEnd"/>
      <w:r w:rsidRPr="00C87C8D">
        <w:rPr>
          <w:bCs/>
          <w:sz w:val="24"/>
          <w:szCs w:val="24"/>
        </w:rPr>
        <w:t xml:space="preserve">, C., et al. (2016). Trees in agricultural landscapes enhance provision of ecosystem services in Sub-Saharan Africa. </w:t>
      </w:r>
      <w:r w:rsidRPr="00C87C8D">
        <w:rPr>
          <w:bCs/>
          <w:i/>
          <w:iCs/>
          <w:sz w:val="24"/>
          <w:szCs w:val="24"/>
        </w:rPr>
        <w:t xml:space="preserve">International Journal of Biodiversity Science, Ecosystem Services &amp; Management, 12, </w:t>
      </w:r>
      <w:r w:rsidRPr="00C87C8D">
        <w:rPr>
          <w:bCs/>
          <w:sz w:val="24"/>
          <w:szCs w:val="24"/>
        </w:rPr>
        <w:t>255–273.</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lang w:val="de-DE"/>
        </w:rPr>
        <w:t>Tscharntke</w:t>
      </w:r>
      <w:proofErr w:type="spellEnd"/>
      <w:r w:rsidRPr="00C87C8D">
        <w:rPr>
          <w:bCs/>
          <w:sz w:val="24"/>
          <w:szCs w:val="24"/>
          <w:lang w:val="de-DE"/>
        </w:rPr>
        <w:t xml:space="preserve">, T., Clough, Y., </w:t>
      </w:r>
      <w:proofErr w:type="spellStart"/>
      <w:r w:rsidRPr="00C87C8D">
        <w:rPr>
          <w:bCs/>
          <w:sz w:val="24"/>
          <w:szCs w:val="24"/>
          <w:lang w:val="de-DE"/>
        </w:rPr>
        <w:t>Bhagwat</w:t>
      </w:r>
      <w:proofErr w:type="spellEnd"/>
      <w:r w:rsidRPr="00C87C8D">
        <w:rPr>
          <w:bCs/>
          <w:sz w:val="24"/>
          <w:szCs w:val="24"/>
          <w:lang w:val="de-DE"/>
        </w:rPr>
        <w:t xml:space="preserve">, S. A., </w:t>
      </w:r>
      <w:proofErr w:type="spellStart"/>
      <w:r w:rsidRPr="00C87C8D">
        <w:rPr>
          <w:bCs/>
          <w:sz w:val="24"/>
          <w:szCs w:val="24"/>
          <w:lang w:val="de-DE"/>
        </w:rPr>
        <w:t>Buchori</w:t>
      </w:r>
      <w:proofErr w:type="spellEnd"/>
      <w:r w:rsidRPr="00C87C8D">
        <w:rPr>
          <w:bCs/>
          <w:sz w:val="24"/>
          <w:szCs w:val="24"/>
          <w:lang w:val="de-DE"/>
        </w:rPr>
        <w:t xml:space="preserve">, D., Faust, H., Hertel, D., et al. </w:t>
      </w:r>
      <w:r w:rsidRPr="00C87C8D">
        <w:rPr>
          <w:bCs/>
          <w:sz w:val="24"/>
          <w:szCs w:val="24"/>
          <w:lang w:val="en-US"/>
        </w:rPr>
        <w:t xml:space="preserve">(2011). </w:t>
      </w:r>
      <w:r w:rsidRPr="00C87C8D">
        <w:rPr>
          <w:bCs/>
          <w:sz w:val="24"/>
          <w:szCs w:val="24"/>
        </w:rPr>
        <w:t xml:space="preserve">Multifunctional shade-tree management in tropical agroforestry landscapes - a review. </w:t>
      </w:r>
      <w:r w:rsidRPr="00C87C8D">
        <w:rPr>
          <w:bCs/>
          <w:i/>
          <w:iCs/>
          <w:sz w:val="24"/>
          <w:szCs w:val="24"/>
        </w:rPr>
        <w:t>Journal of Applied Ecology, 48,</w:t>
      </w:r>
      <w:r w:rsidRPr="00C87C8D">
        <w:rPr>
          <w:bCs/>
          <w:sz w:val="24"/>
          <w:szCs w:val="24"/>
        </w:rPr>
        <w:t xml:space="preserve"> 619–629.</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Camacho, L. D., </w:t>
      </w:r>
      <w:proofErr w:type="spellStart"/>
      <w:r w:rsidRPr="00C87C8D">
        <w:rPr>
          <w:bCs/>
          <w:sz w:val="24"/>
          <w:szCs w:val="24"/>
        </w:rPr>
        <w:t>Gevaña</w:t>
      </w:r>
      <w:proofErr w:type="spellEnd"/>
      <w:r w:rsidRPr="00C87C8D">
        <w:rPr>
          <w:bCs/>
          <w:sz w:val="24"/>
          <w:szCs w:val="24"/>
        </w:rPr>
        <w:t xml:space="preserve">, D. T., </w:t>
      </w:r>
      <w:proofErr w:type="spellStart"/>
      <w:r w:rsidRPr="00C87C8D">
        <w:rPr>
          <w:bCs/>
          <w:sz w:val="24"/>
          <w:szCs w:val="24"/>
        </w:rPr>
        <w:t>Carandang</w:t>
      </w:r>
      <w:proofErr w:type="spellEnd"/>
      <w:r w:rsidRPr="00C87C8D">
        <w:rPr>
          <w:bCs/>
          <w:sz w:val="24"/>
          <w:szCs w:val="24"/>
        </w:rPr>
        <w:t xml:space="preserve">, A. P., &amp; Camacho, S. C. (2015). Indigenous knowledge and practices for the sustainable management of Ifugao forests in Cordillera, Philippines. </w:t>
      </w:r>
      <w:r w:rsidRPr="00C87C8D">
        <w:rPr>
          <w:bCs/>
          <w:i/>
          <w:iCs/>
          <w:sz w:val="24"/>
          <w:szCs w:val="24"/>
        </w:rPr>
        <w:t xml:space="preserve">International Journal of Biodiversity Science, Ecosystem Services &amp; Management, 12, </w:t>
      </w:r>
      <w:r w:rsidRPr="00C87C8D">
        <w:rPr>
          <w:bCs/>
          <w:sz w:val="24"/>
          <w:szCs w:val="24"/>
        </w:rPr>
        <w:t>1–2, 5–13.</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lang w:val="en-US"/>
        </w:rPr>
        <w:t xml:space="preserve">Carpenter, K. E., &amp; Springer, V. G. (2005). </w:t>
      </w:r>
      <w:r w:rsidRPr="00C87C8D">
        <w:rPr>
          <w:bCs/>
          <w:sz w:val="24"/>
          <w:szCs w:val="24"/>
        </w:rPr>
        <w:t xml:space="preserve">The center of the center of marine shore fish biodiversity: the Philippine Islands. </w:t>
      </w:r>
      <w:r w:rsidRPr="00C87C8D">
        <w:rPr>
          <w:bCs/>
          <w:i/>
          <w:iCs/>
          <w:sz w:val="24"/>
          <w:szCs w:val="24"/>
        </w:rPr>
        <w:t>Environmental Biology of Fishes, 72</w:t>
      </w:r>
      <w:r w:rsidRPr="00C87C8D">
        <w:rPr>
          <w:bCs/>
          <w:sz w:val="24"/>
          <w:szCs w:val="24"/>
        </w:rPr>
        <w:t>, 467–480.</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lang w:val="de-DE"/>
        </w:rPr>
        <w:t xml:space="preserve">Myers, N., Mittermeier, R. A., Mittermeier, C. G., da Fonseca, G. A. B., &amp; Kent, J. (2000). </w:t>
      </w:r>
      <w:r w:rsidRPr="00C87C8D">
        <w:rPr>
          <w:bCs/>
          <w:sz w:val="24"/>
          <w:szCs w:val="24"/>
        </w:rPr>
        <w:t xml:space="preserve">Biodiversity hotspots for conservation priorities. </w:t>
      </w:r>
      <w:r w:rsidRPr="00C87C8D">
        <w:rPr>
          <w:bCs/>
          <w:i/>
          <w:iCs/>
          <w:sz w:val="24"/>
          <w:szCs w:val="24"/>
        </w:rPr>
        <w:t>Nature, 403,</w:t>
      </w:r>
      <w:r w:rsidRPr="00C87C8D">
        <w:rPr>
          <w:bCs/>
          <w:sz w:val="24"/>
          <w:szCs w:val="24"/>
        </w:rPr>
        <w:t xml:space="preserve"> 853–858.</w:t>
      </w:r>
    </w:p>
    <w:p w:rsidR="00BA1CA6"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rPr>
        <w:lastRenderedPageBreak/>
        <w:t>Posa</w:t>
      </w:r>
      <w:proofErr w:type="spellEnd"/>
      <w:r w:rsidRPr="00C87C8D">
        <w:rPr>
          <w:bCs/>
          <w:sz w:val="24"/>
          <w:szCs w:val="24"/>
        </w:rPr>
        <w:t xml:space="preserve">, M. R. C., </w:t>
      </w:r>
      <w:proofErr w:type="spellStart"/>
      <w:r w:rsidRPr="00C87C8D">
        <w:rPr>
          <w:bCs/>
          <w:sz w:val="24"/>
          <w:szCs w:val="24"/>
        </w:rPr>
        <w:t>Diesmos</w:t>
      </w:r>
      <w:proofErr w:type="spellEnd"/>
      <w:r w:rsidRPr="00C87C8D">
        <w:rPr>
          <w:bCs/>
          <w:sz w:val="24"/>
          <w:szCs w:val="24"/>
        </w:rPr>
        <w:t xml:space="preserve">, A. C., Sodhi, N. S., &amp; Brooks, T. M. (2008). Hope for threatened tropical biodiversity: lessons from the Philippines. </w:t>
      </w:r>
      <w:proofErr w:type="spellStart"/>
      <w:r w:rsidRPr="00C87C8D">
        <w:rPr>
          <w:bCs/>
          <w:i/>
          <w:iCs/>
          <w:sz w:val="24"/>
          <w:szCs w:val="24"/>
        </w:rPr>
        <w:t>BioScience</w:t>
      </w:r>
      <w:proofErr w:type="spellEnd"/>
      <w:r w:rsidRPr="00C87C8D">
        <w:rPr>
          <w:bCs/>
          <w:i/>
          <w:iCs/>
          <w:sz w:val="24"/>
          <w:szCs w:val="24"/>
        </w:rPr>
        <w:t>, 58,</w:t>
      </w:r>
      <w:r w:rsidRPr="00C87C8D">
        <w:rPr>
          <w:bCs/>
          <w:sz w:val="24"/>
          <w:szCs w:val="24"/>
        </w:rPr>
        <w:t xml:space="preserve"> 231–240.</w:t>
      </w:r>
    </w:p>
    <w:p w:rsidR="00BA1CA6" w:rsidRPr="00CF4CFF" w:rsidRDefault="00BA1CA6" w:rsidP="00BA1CA6">
      <w:pPr>
        <w:pStyle w:val="ListParagraph"/>
        <w:numPr>
          <w:ilvl w:val="0"/>
          <w:numId w:val="32"/>
        </w:numPr>
        <w:tabs>
          <w:tab w:val="left" w:pos="270"/>
        </w:tabs>
        <w:spacing w:line="480" w:lineRule="auto"/>
        <w:ind w:left="540" w:hanging="540"/>
        <w:rPr>
          <w:bCs/>
          <w:sz w:val="24"/>
          <w:szCs w:val="24"/>
        </w:rPr>
      </w:pPr>
      <w:r w:rsidRPr="00C87C8D">
        <w:rPr>
          <w:bCs/>
          <w:sz w:val="24"/>
          <w:szCs w:val="24"/>
        </w:rPr>
        <w:t xml:space="preserve">Conservation International. (2012). </w:t>
      </w:r>
      <w:r w:rsidRPr="00C87C8D">
        <w:rPr>
          <w:bCs/>
          <w:i/>
          <w:iCs/>
          <w:sz w:val="24"/>
          <w:szCs w:val="24"/>
        </w:rPr>
        <w:t>Biodiversity hotspots: Philippines</w:t>
      </w:r>
      <w:r w:rsidRPr="00C87C8D">
        <w:rPr>
          <w:bCs/>
          <w:sz w:val="24"/>
          <w:szCs w:val="24"/>
        </w:rPr>
        <w:t>. http:// www.biodiversityhotspots.org/xp/hotspots/philippines/ pages/impacts.aspx.</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ILO. (2014). </w:t>
      </w:r>
      <w:r w:rsidRPr="00C87C8D">
        <w:rPr>
          <w:bCs/>
          <w:i/>
          <w:iCs/>
          <w:sz w:val="24"/>
          <w:szCs w:val="24"/>
        </w:rPr>
        <w:t>Indigenous Peoples Development Programme (IPDP)</w:t>
      </w:r>
      <w:r w:rsidRPr="00C87C8D">
        <w:rPr>
          <w:bCs/>
          <w:sz w:val="24"/>
          <w:szCs w:val="24"/>
        </w:rPr>
        <w:t>. International Labour Organization</w:t>
      </w:r>
      <w:r>
        <w:rPr>
          <w:bCs/>
          <w:sz w:val="24"/>
          <w:szCs w:val="24"/>
        </w:rPr>
        <w:t>.</w:t>
      </w:r>
      <w:r w:rsidRPr="00C87C8D">
        <w:rPr>
          <w:bCs/>
          <w:sz w:val="24"/>
          <w:szCs w:val="24"/>
        </w:rPr>
        <w:t xml:space="preserve"> https://www.ilo.org/wcmsp5/groups/public/---asia/---ro-bangkok/---</w:t>
      </w:r>
      <w:proofErr w:type="spellStart"/>
      <w:r w:rsidRPr="00C87C8D">
        <w:rPr>
          <w:bCs/>
          <w:sz w:val="24"/>
          <w:szCs w:val="24"/>
        </w:rPr>
        <w:t>ilomanila</w:t>
      </w:r>
      <w:proofErr w:type="spellEnd"/>
      <w:r w:rsidRPr="00C87C8D">
        <w:rPr>
          <w:bCs/>
          <w:sz w:val="24"/>
          <w:szCs w:val="24"/>
        </w:rPr>
        <w:t xml:space="preserve">/documents/publication/ </w:t>
      </w:r>
      <w:proofErr w:type="spellStart"/>
      <w:r w:rsidRPr="00C87C8D">
        <w:rPr>
          <w:bCs/>
          <w:sz w:val="24"/>
          <w:szCs w:val="24"/>
        </w:rPr>
        <w:t>wcms</w:t>
      </w:r>
      <w:proofErr w:type="spellEnd"/>
      <w:r w:rsidRPr="00C87C8D">
        <w:rPr>
          <w:bCs/>
          <w:sz w:val="24"/>
          <w:szCs w:val="24"/>
        </w:rPr>
        <w:t xml:space="preserve"> _245610.pdf.</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rFonts w:eastAsia="MS Mincho"/>
          <w:bCs/>
          <w:sz w:val="24"/>
          <w:szCs w:val="24"/>
          <w:lang w:val="en-PH"/>
        </w:rPr>
        <w:t xml:space="preserve">PSA. (2016). </w:t>
      </w:r>
      <w:r w:rsidRPr="00C87C8D">
        <w:rPr>
          <w:rFonts w:eastAsia="MS Mincho"/>
          <w:bCs/>
          <w:i/>
          <w:iCs/>
          <w:sz w:val="24"/>
          <w:szCs w:val="24"/>
          <w:lang w:val="en-PH"/>
        </w:rPr>
        <w:t>2010 census of population and housing: definition of terms and concepts</w:t>
      </w:r>
      <w:r w:rsidRPr="00C87C8D">
        <w:rPr>
          <w:rFonts w:eastAsia="MS Mincho"/>
          <w:bCs/>
          <w:sz w:val="24"/>
          <w:szCs w:val="24"/>
          <w:lang w:val="en-PH"/>
        </w:rPr>
        <w:t>. Quezon City, Philippines: Philippine Statistics Authority.</w:t>
      </w:r>
    </w:p>
    <w:p w:rsidR="00BA1CA6" w:rsidRPr="00CF4CFF"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rFonts w:eastAsia="MS Mincho"/>
          <w:bCs/>
          <w:sz w:val="24"/>
          <w:szCs w:val="24"/>
          <w:lang w:val="en-PH"/>
        </w:rPr>
        <w:t xml:space="preserve">NCIP. (2010). </w:t>
      </w:r>
      <w:r w:rsidRPr="00C87C8D">
        <w:rPr>
          <w:rFonts w:eastAsia="MS Mincho"/>
          <w:bCs/>
          <w:i/>
          <w:iCs/>
          <w:sz w:val="24"/>
          <w:szCs w:val="24"/>
          <w:lang w:val="en-PH"/>
        </w:rPr>
        <w:t>Primer on census for indigenous peoples</w:t>
      </w:r>
      <w:r w:rsidRPr="00C87C8D">
        <w:rPr>
          <w:rFonts w:eastAsia="MS Mincho"/>
          <w:bCs/>
          <w:sz w:val="24"/>
          <w:szCs w:val="24"/>
          <w:lang w:val="en-PH"/>
        </w:rPr>
        <w:t>. Quezon City, Philippines: National Commission on Indigenous Peoples.</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UNDP. (2010). </w:t>
      </w:r>
      <w:r w:rsidRPr="00C87C8D">
        <w:rPr>
          <w:bCs/>
          <w:i/>
          <w:iCs/>
          <w:sz w:val="24"/>
          <w:szCs w:val="24"/>
        </w:rPr>
        <w:t>Indigenous peoples in the Philippines</w:t>
      </w:r>
      <w:r w:rsidRPr="00C87C8D">
        <w:rPr>
          <w:bCs/>
          <w:sz w:val="24"/>
          <w:szCs w:val="24"/>
        </w:rPr>
        <w:t>. http://www.ph.undp.org/ content/philippines/en/home/library/democratic_governance/FastFacts-IPs.html.</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NCCA. (2015). </w:t>
      </w:r>
      <w:r w:rsidRPr="00C87C8D">
        <w:rPr>
          <w:bCs/>
          <w:i/>
          <w:iCs/>
          <w:sz w:val="24"/>
          <w:szCs w:val="24"/>
        </w:rPr>
        <w:t>Manobo</w:t>
      </w:r>
      <w:r w:rsidRPr="00C87C8D">
        <w:rPr>
          <w:bCs/>
          <w:sz w:val="24"/>
          <w:szCs w:val="24"/>
        </w:rPr>
        <w:t>. http://ncca.gov.ph/about-culture-and-arts/culture-profile/manobo/.</w:t>
      </w:r>
    </w:p>
    <w:p w:rsidR="00BA1CA6" w:rsidRPr="002F45E1"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Reyes, C. M., Mina, C. D., &amp; </w:t>
      </w:r>
      <w:proofErr w:type="spellStart"/>
      <w:r w:rsidRPr="00C87C8D">
        <w:rPr>
          <w:bCs/>
          <w:sz w:val="24"/>
          <w:szCs w:val="24"/>
        </w:rPr>
        <w:t>Asis</w:t>
      </w:r>
      <w:proofErr w:type="spellEnd"/>
      <w:r w:rsidRPr="00C87C8D">
        <w:rPr>
          <w:bCs/>
          <w:sz w:val="24"/>
          <w:szCs w:val="24"/>
        </w:rPr>
        <w:t xml:space="preserve">, R. D. (2017). Inequality of opportunities among ethnic groups in the Philippines. United Nations University World Institute for Development </w:t>
      </w:r>
      <w:r w:rsidRPr="002F45E1">
        <w:rPr>
          <w:bCs/>
          <w:sz w:val="24"/>
          <w:szCs w:val="24"/>
        </w:rPr>
        <w:t xml:space="preserve">Economic Research. </w:t>
      </w:r>
      <w:r w:rsidRPr="002F45E1">
        <w:rPr>
          <w:bCs/>
          <w:i/>
          <w:iCs/>
          <w:sz w:val="24"/>
          <w:szCs w:val="24"/>
        </w:rPr>
        <w:t>WIDER Working Paper.</w:t>
      </w:r>
      <w:r w:rsidRPr="002F45E1">
        <w:rPr>
          <w:bCs/>
          <w:sz w:val="24"/>
          <w:szCs w:val="24"/>
        </w:rPr>
        <w:t xml:space="preserve"> 154: 20p.</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Yan, X. (2003). Ecological protection of medicinal woody plants. </w:t>
      </w:r>
      <w:r w:rsidRPr="00C87C8D">
        <w:rPr>
          <w:bCs/>
          <w:i/>
          <w:iCs/>
          <w:sz w:val="24"/>
          <w:szCs w:val="24"/>
        </w:rPr>
        <w:t>Journal of Applied Ecology, 14,</w:t>
      </w:r>
      <w:r w:rsidRPr="00C87C8D">
        <w:rPr>
          <w:bCs/>
          <w:sz w:val="24"/>
          <w:szCs w:val="24"/>
        </w:rPr>
        <w:t xml:space="preserve"> 1561</w:t>
      </w:r>
      <w:r w:rsidRPr="00C87C8D">
        <w:rPr>
          <w:sz w:val="24"/>
          <w:szCs w:val="24"/>
        </w:rPr>
        <w:t>–</w:t>
      </w:r>
      <w:r w:rsidRPr="00C87C8D">
        <w:rPr>
          <w:bCs/>
          <w:sz w:val="24"/>
          <w:szCs w:val="24"/>
        </w:rPr>
        <w:t>1564.</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Alcorn, J. (2010). Indigenous peoples and conservation. MacArthur Foundation Conservation. </w:t>
      </w:r>
      <w:r w:rsidRPr="00C87C8D">
        <w:rPr>
          <w:bCs/>
          <w:i/>
          <w:iCs/>
          <w:sz w:val="24"/>
          <w:szCs w:val="24"/>
        </w:rPr>
        <w:t>White Paper Series</w:t>
      </w:r>
      <w:r w:rsidRPr="00C87C8D">
        <w:rPr>
          <w:bCs/>
          <w:sz w:val="24"/>
          <w:szCs w:val="24"/>
        </w:rPr>
        <w:t>. 1p.</w:t>
      </w:r>
    </w:p>
    <w:p w:rsidR="00BA1CA6" w:rsidRPr="00C87C8D" w:rsidRDefault="00BA1CA6" w:rsidP="00BA1CA6">
      <w:pPr>
        <w:pStyle w:val="ListParagraph"/>
        <w:numPr>
          <w:ilvl w:val="0"/>
          <w:numId w:val="32"/>
        </w:numPr>
        <w:tabs>
          <w:tab w:val="left" w:pos="270"/>
        </w:tabs>
        <w:spacing w:line="480" w:lineRule="auto"/>
        <w:ind w:left="540" w:hanging="540"/>
        <w:rPr>
          <w:rStyle w:val="Hyperlink"/>
          <w:bCs/>
          <w:color w:val="auto"/>
          <w:sz w:val="24"/>
          <w:szCs w:val="24"/>
          <w:u w:val="none"/>
        </w:rPr>
      </w:pPr>
      <w:r w:rsidRPr="00C87C8D">
        <w:rPr>
          <w:bCs/>
          <w:sz w:val="24"/>
          <w:szCs w:val="24"/>
          <w:lang w:val="en-PH"/>
        </w:rPr>
        <w:t xml:space="preserve">PENRO. (2018). </w:t>
      </w:r>
      <w:r w:rsidRPr="00C87C8D">
        <w:rPr>
          <w:bCs/>
          <w:i/>
          <w:iCs/>
          <w:sz w:val="24"/>
          <w:szCs w:val="24"/>
          <w:lang w:val="en-PH"/>
        </w:rPr>
        <w:t>Provincial environment and natural resources office of Agusan del Sur.</w:t>
      </w:r>
      <w:r w:rsidRPr="00C87C8D">
        <w:rPr>
          <w:bCs/>
          <w:sz w:val="24"/>
          <w:szCs w:val="24"/>
          <w:lang w:val="en-PH"/>
        </w:rPr>
        <w:t xml:space="preserve"> http://www.denrpenroads.com/index.php/about/background.</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rFonts w:eastAsia="Times New Roman"/>
          <w:bCs/>
          <w:spacing w:val="2"/>
          <w:kern w:val="36"/>
          <w:sz w:val="24"/>
          <w:szCs w:val="24"/>
          <w:lang w:val="en-PH"/>
        </w:rPr>
        <w:lastRenderedPageBreak/>
        <w:t xml:space="preserve">Madulid, D. A. (2001). </w:t>
      </w:r>
      <w:r w:rsidRPr="00C87C8D">
        <w:rPr>
          <w:rFonts w:eastAsia="Times New Roman"/>
          <w:bCs/>
          <w:i/>
          <w:iCs/>
          <w:spacing w:val="2"/>
          <w:kern w:val="36"/>
          <w:sz w:val="24"/>
          <w:szCs w:val="24"/>
          <w:lang w:val="en-PH"/>
        </w:rPr>
        <w:t>A dictionary of Philippines plant names</w:t>
      </w:r>
      <w:r w:rsidRPr="00C87C8D">
        <w:rPr>
          <w:rFonts w:eastAsia="Times New Roman"/>
          <w:bCs/>
          <w:spacing w:val="2"/>
          <w:kern w:val="36"/>
          <w:sz w:val="24"/>
          <w:szCs w:val="24"/>
          <w:lang w:val="en-PH"/>
        </w:rPr>
        <w:t>. Vol. I: local name-scientific name. Vol. II: scientific name-local name. Makati City, Bookmark.</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The Plant List. (2013). </w:t>
      </w:r>
      <w:r w:rsidRPr="00C87C8D">
        <w:rPr>
          <w:bCs/>
          <w:i/>
          <w:iCs/>
          <w:sz w:val="24"/>
          <w:szCs w:val="24"/>
        </w:rPr>
        <w:t>Version 1.1.</w:t>
      </w:r>
      <w:r w:rsidRPr="00C87C8D">
        <w:rPr>
          <w:bCs/>
          <w:sz w:val="24"/>
          <w:szCs w:val="24"/>
        </w:rPr>
        <w:t xml:space="preserve"> http://www.theplantlist.org/.</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WFO. (2019). </w:t>
      </w:r>
      <w:r w:rsidRPr="00C87C8D">
        <w:rPr>
          <w:bCs/>
          <w:i/>
          <w:iCs/>
          <w:sz w:val="24"/>
          <w:szCs w:val="24"/>
        </w:rPr>
        <w:t>World Flora Online</w:t>
      </w:r>
      <w:r w:rsidRPr="00C87C8D">
        <w:rPr>
          <w:bCs/>
          <w:sz w:val="24"/>
          <w:szCs w:val="24"/>
        </w:rPr>
        <w:t>. http://www.worldfloraonline.org.</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sz w:val="24"/>
          <w:szCs w:val="24"/>
          <w:lang w:val="en-PH"/>
        </w:rPr>
        <w:t xml:space="preserve">IPNI. (2019). </w:t>
      </w:r>
      <w:r w:rsidRPr="00C87C8D">
        <w:rPr>
          <w:i/>
          <w:iCs/>
          <w:sz w:val="24"/>
          <w:szCs w:val="24"/>
          <w:lang w:val="en-PH"/>
        </w:rPr>
        <w:t>The international plant names index</w:t>
      </w:r>
      <w:r w:rsidRPr="00C87C8D">
        <w:rPr>
          <w:sz w:val="24"/>
          <w:szCs w:val="24"/>
          <w:lang w:val="en-PH"/>
        </w:rPr>
        <w:t>. https://www.ipni.org.</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Tropicos. (2019). </w:t>
      </w:r>
      <w:r w:rsidRPr="00C87C8D">
        <w:rPr>
          <w:bCs/>
          <w:i/>
          <w:iCs/>
          <w:sz w:val="24"/>
          <w:szCs w:val="24"/>
        </w:rPr>
        <w:t>Missouri Botanical Garden</w:t>
      </w:r>
      <w:r w:rsidRPr="00C87C8D">
        <w:rPr>
          <w:bCs/>
          <w:sz w:val="24"/>
          <w:szCs w:val="24"/>
        </w:rPr>
        <w:t>. http://www.tropicos.org.</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rFonts w:eastAsia="MS Mincho"/>
          <w:bCs/>
          <w:sz w:val="24"/>
          <w:szCs w:val="24"/>
          <w:lang w:val="en-PH"/>
        </w:rPr>
        <w:t xml:space="preserve">CDFP; </w:t>
      </w:r>
      <w:proofErr w:type="spellStart"/>
      <w:r w:rsidRPr="00C87C8D">
        <w:rPr>
          <w:rFonts w:eastAsia="MS Mincho"/>
          <w:bCs/>
          <w:sz w:val="24"/>
          <w:szCs w:val="24"/>
          <w:lang w:val="en-PH"/>
        </w:rPr>
        <w:t>Pelser</w:t>
      </w:r>
      <w:proofErr w:type="spellEnd"/>
      <w:r w:rsidRPr="00C87C8D">
        <w:rPr>
          <w:rFonts w:eastAsia="MS Mincho"/>
          <w:bCs/>
          <w:sz w:val="24"/>
          <w:szCs w:val="24"/>
          <w:lang w:val="en-PH"/>
        </w:rPr>
        <w:t xml:space="preserve">, P. B., Barcelona, J. F., &amp; </w:t>
      </w:r>
      <w:proofErr w:type="spellStart"/>
      <w:r w:rsidRPr="00C87C8D">
        <w:rPr>
          <w:rFonts w:eastAsia="MS Mincho"/>
          <w:bCs/>
          <w:sz w:val="24"/>
          <w:szCs w:val="24"/>
          <w:lang w:val="en-PH"/>
        </w:rPr>
        <w:t>Nickrent</w:t>
      </w:r>
      <w:proofErr w:type="spellEnd"/>
      <w:r w:rsidRPr="00C87C8D">
        <w:rPr>
          <w:rFonts w:eastAsia="MS Mincho"/>
          <w:bCs/>
          <w:sz w:val="24"/>
          <w:szCs w:val="24"/>
          <w:lang w:val="en-PH"/>
        </w:rPr>
        <w:t xml:space="preserve">, D. L. (2011 onwards). </w:t>
      </w:r>
      <w:r w:rsidR="00972FE6">
        <w:rPr>
          <w:rFonts w:eastAsia="MS Mincho"/>
          <w:bCs/>
          <w:i/>
          <w:iCs/>
          <w:sz w:val="24"/>
          <w:szCs w:val="24"/>
          <w:lang w:val="en-PH"/>
        </w:rPr>
        <w:t>Co’s</w:t>
      </w:r>
      <w:r w:rsidRPr="00C87C8D">
        <w:rPr>
          <w:rFonts w:eastAsia="MS Mincho"/>
          <w:bCs/>
          <w:i/>
          <w:iCs/>
          <w:sz w:val="24"/>
          <w:szCs w:val="24"/>
          <w:lang w:val="en-PH"/>
        </w:rPr>
        <w:t xml:space="preserve"> Digital Flora of the Philippines</w:t>
      </w:r>
      <w:r w:rsidRPr="00C87C8D">
        <w:rPr>
          <w:rFonts w:eastAsia="MS Mincho"/>
          <w:bCs/>
          <w:sz w:val="24"/>
          <w:szCs w:val="24"/>
          <w:lang w:val="en-PH"/>
        </w:rPr>
        <w:t>. www.philippineplants.org.</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rFonts w:eastAsia="Times New Roman"/>
          <w:iCs/>
          <w:spacing w:val="2"/>
          <w:kern w:val="36"/>
          <w:sz w:val="24"/>
          <w:szCs w:val="24"/>
        </w:rPr>
        <w:t xml:space="preserve">Ali, A., Badshah, L., &amp; Hussain, F. (2018). Ethnobotanical appraisal and conservation status of medicinal plants in Hindukush Range, District Swat, Pakistan. </w:t>
      </w:r>
      <w:r w:rsidRPr="00C87C8D">
        <w:rPr>
          <w:rFonts w:eastAsia="Times New Roman"/>
          <w:i/>
          <w:spacing w:val="2"/>
          <w:kern w:val="36"/>
          <w:sz w:val="24"/>
          <w:szCs w:val="24"/>
        </w:rPr>
        <w:t>Journal of Herbs, Spices &amp; Medicinal Plants, 24,</w:t>
      </w:r>
      <w:r w:rsidRPr="00C87C8D">
        <w:rPr>
          <w:rFonts w:eastAsia="Times New Roman"/>
          <w:iCs/>
          <w:spacing w:val="2"/>
          <w:kern w:val="36"/>
          <w:sz w:val="24"/>
          <w:szCs w:val="24"/>
        </w:rPr>
        <w:t xml:space="preserve"> 332</w:t>
      </w:r>
      <w:r w:rsidRPr="00C87C8D">
        <w:rPr>
          <w:bCs/>
          <w:sz w:val="24"/>
          <w:szCs w:val="24"/>
        </w:rPr>
        <w:t>–</w:t>
      </w:r>
      <w:r w:rsidRPr="00C87C8D">
        <w:rPr>
          <w:rFonts w:eastAsia="Times New Roman"/>
          <w:iCs/>
          <w:spacing w:val="2"/>
          <w:kern w:val="36"/>
          <w:sz w:val="24"/>
          <w:szCs w:val="24"/>
        </w:rPr>
        <w:t>355.</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rPr>
        <w:t>Ugulu</w:t>
      </w:r>
      <w:proofErr w:type="spellEnd"/>
      <w:r w:rsidRPr="00C87C8D">
        <w:rPr>
          <w:bCs/>
          <w:sz w:val="24"/>
          <w:szCs w:val="24"/>
        </w:rPr>
        <w:t xml:space="preserve">, I., </w:t>
      </w:r>
      <w:proofErr w:type="spellStart"/>
      <w:r w:rsidRPr="00C87C8D">
        <w:rPr>
          <w:bCs/>
          <w:sz w:val="24"/>
          <w:szCs w:val="24"/>
        </w:rPr>
        <w:t>Baslar</w:t>
      </w:r>
      <w:proofErr w:type="spellEnd"/>
      <w:r w:rsidRPr="00C87C8D">
        <w:rPr>
          <w:bCs/>
          <w:sz w:val="24"/>
          <w:szCs w:val="24"/>
        </w:rPr>
        <w:t xml:space="preserve">, S., </w:t>
      </w:r>
      <w:proofErr w:type="spellStart"/>
      <w:r w:rsidRPr="00C87C8D">
        <w:rPr>
          <w:bCs/>
          <w:sz w:val="24"/>
          <w:szCs w:val="24"/>
        </w:rPr>
        <w:t>Yorek</w:t>
      </w:r>
      <w:proofErr w:type="spellEnd"/>
      <w:r w:rsidRPr="00C87C8D">
        <w:rPr>
          <w:bCs/>
          <w:sz w:val="24"/>
          <w:szCs w:val="24"/>
        </w:rPr>
        <w:t xml:space="preserve">, N, &amp; Dogan, Y. (2009). The investigation and quantitative ethnobotanical evaluation of medicinal plants used around Izmir Province, Turkey. </w:t>
      </w:r>
      <w:r w:rsidRPr="00C87C8D">
        <w:rPr>
          <w:bCs/>
          <w:i/>
          <w:iCs/>
          <w:sz w:val="24"/>
          <w:szCs w:val="24"/>
        </w:rPr>
        <w:t>Journal of Medicinal Plants Research, 3,</w:t>
      </w:r>
      <w:r w:rsidRPr="00C87C8D">
        <w:rPr>
          <w:bCs/>
          <w:sz w:val="24"/>
          <w:szCs w:val="24"/>
        </w:rPr>
        <w:t xml:space="preserve"> 345–367.</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IUCN. (2018). </w:t>
      </w:r>
      <w:r w:rsidRPr="00C87C8D">
        <w:rPr>
          <w:bCs/>
          <w:i/>
          <w:iCs/>
          <w:sz w:val="24"/>
          <w:szCs w:val="24"/>
        </w:rPr>
        <w:t xml:space="preserve">The international union for conservation of </w:t>
      </w:r>
      <w:r w:rsidR="00972FE6">
        <w:rPr>
          <w:bCs/>
          <w:i/>
          <w:iCs/>
          <w:sz w:val="24"/>
          <w:szCs w:val="24"/>
        </w:rPr>
        <w:t>nature’s</w:t>
      </w:r>
      <w:r w:rsidRPr="00C87C8D">
        <w:rPr>
          <w:bCs/>
          <w:i/>
          <w:iCs/>
          <w:sz w:val="24"/>
          <w:szCs w:val="24"/>
        </w:rPr>
        <w:t xml:space="preserve"> red list of threatened species</w:t>
      </w:r>
      <w:r w:rsidRPr="00C87C8D">
        <w:rPr>
          <w:bCs/>
          <w:sz w:val="24"/>
          <w:szCs w:val="24"/>
        </w:rPr>
        <w:t>. www.iucnredlist.org</w:t>
      </w:r>
    </w:p>
    <w:p w:rsidR="00BA1CA6" w:rsidRPr="00C87C8D" w:rsidRDefault="00BA1CA6" w:rsidP="00BA1CA6">
      <w:pPr>
        <w:pStyle w:val="ListParagraph"/>
        <w:numPr>
          <w:ilvl w:val="0"/>
          <w:numId w:val="32"/>
        </w:numPr>
        <w:tabs>
          <w:tab w:val="left" w:pos="270"/>
        </w:tabs>
        <w:spacing w:line="480" w:lineRule="auto"/>
        <w:ind w:left="540" w:hanging="540"/>
        <w:rPr>
          <w:bCs/>
          <w:sz w:val="24"/>
          <w:szCs w:val="24"/>
        </w:rPr>
      </w:pPr>
      <w:r w:rsidRPr="00C87C8D">
        <w:rPr>
          <w:rFonts w:eastAsia="Calibri"/>
          <w:bCs/>
          <w:sz w:val="24"/>
          <w:szCs w:val="24"/>
        </w:rPr>
        <w:t xml:space="preserve">DENR Administrative Order. (2017). </w:t>
      </w:r>
      <w:r w:rsidRPr="00C87C8D">
        <w:rPr>
          <w:rFonts w:eastAsia="Calibri"/>
          <w:bCs/>
          <w:i/>
          <w:iCs/>
          <w:sz w:val="24"/>
          <w:szCs w:val="24"/>
        </w:rPr>
        <w:t>Updated national list of threatened Philippine plants and their categories (DAO 2017-11)</w:t>
      </w:r>
      <w:r w:rsidRPr="00C87C8D">
        <w:rPr>
          <w:rFonts w:eastAsia="Calibri"/>
          <w:bCs/>
          <w:sz w:val="24"/>
          <w:szCs w:val="24"/>
        </w:rPr>
        <w:t>. https://server2.denr.gov.ph/uploads/rmdd/dao-2017-11.pdf.</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bCs/>
          <w:sz w:val="24"/>
          <w:szCs w:val="24"/>
        </w:rPr>
        <w:t xml:space="preserve">Ahmed, F., &amp; Urooj, A. (2010). Traditional uses, medicinal properties, and phytopharmacology of </w:t>
      </w:r>
      <w:r w:rsidRPr="00C87C8D">
        <w:rPr>
          <w:bCs/>
          <w:i/>
          <w:iCs/>
          <w:sz w:val="24"/>
          <w:szCs w:val="24"/>
        </w:rPr>
        <w:t xml:space="preserve">Ficus </w:t>
      </w:r>
      <w:proofErr w:type="spellStart"/>
      <w:r w:rsidRPr="00C87C8D">
        <w:rPr>
          <w:bCs/>
          <w:i/>
          <w:iCs/>
          <w:sz w:val="24"/>
          <w:szCs w:val="24"/>
        </w:rPr>
        <w:t>racemosa</w:t>
      </w:r>
      <w:proofErr w:type="spellEnd"/>
      <w:r w:rsidRPr="00C87C8D">
        <w:rPr>
          <w:bCs/>
          <w:sz w:val="24"/>
          <w:szCs w:val="24"/>
        </w:rPr>
        <w:t xml:space="preserve">: a review. </w:t>
      </w:r>
      <w:r w:rsidRPr="00C87C8D">
        <w:rPr>
          <w:bCs/>
          <w:i/>
          <w:iCs/>
          <w:sz w:val="24"/>
          <w:szCs w:val="24"/>
        </w:rPr>
        <w:t>Pharmaceutical Biology, 48,</w:t>
      </w:r>
      <w:r w:rsidRPr="00C87C8D">
        <w:rPr>
          <w:bCs/>
          <w:sz w:val="24"/>
          <w:szCs w:val="24"/>
        </w:rPr>
        <w:t xml:space="preserve"> 672–681.</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rPr>
        <w:t>Mawa</w:t>
      </w:r>
      <w:proofErr w:type="spellEnd"/>
      <w:r w:rsidRPr="00C87C8D">
        <w:rPr>
          <w:bCs/>
          <w:sz w:val="24"/>
          <w:szCs w:val="24"/>
        </w:rPr>
        <w:t xml:space="preserve">, S., Husain, K., &amp; </w:t>
      </w:r>
      <w:proofErr w:type="spellStart"/>
      <w:r w:rsidRPr="00C87C8D">
        <w:rPr>
          <w:bCs/>
          <w:sz w:val="24"/>
          <w:szCs w:val="24"/>
        </w:rPr>
        <w:t>Jantan</w:t>
      </w:r>
      <w:proofErr w:type="spellEnd"/>
      <w:r w:rsidRPr="00C87C8D">
        <w:rPr>
          <w:bCs/>
          <w:sz w:val="24"/>
          <w:szCs w:val="24"/>
        </w:rPr>
        <w:t xml:space="preserve">, I. (2013). </w:t>
      </w:r>
      <w:r w:rsidRPr="00C87C8D">
        <w:rPr>
          <w:bCs/>
          <w:i/>
          <w:iCs/>
          <w:sz w:val="24"/>
          <w:szCs w:val="24"/>
        </w:rPr>
        <w:t xml:space="preserve">Ficus </w:t>
      </w:r>
      <w:proofErr w:type="spellStart"/>
      <w:r w:rsidRPr="00C87C8D">
        <w:rPr>
          <w:bCs/>
          <w:i/>
          <w:iCs/>
          <w:sz w:val="24"/>
          <w:szCs w:val="24"/>
        </w:rPr>
        <w:t>carica</w:t>
      </w:r>
      <w:proofErr w:type="spellEnd"/>
      <w:r w:rsidRPr="00C87C8D">
        <w:rPr>
          <w:bCs/>
          <w:sz w:val="24"/>
          <w:szCs w:val="24"/>
        </w:rPr>
        <w:t xml:space="preserve"> L. (Moraceae): phytochemistry, traditional uses and biological activities. </w:t>
      </w:r>
      <w:r w:rsidRPr="00C87C8D">
        <w:rPr>
          <w:i/>
          <w:iCs/>
          <w:sz w:val="24"/>
          <w:szCs w:val="24"/>
        </w:rPr>
        <w:t xml:space="preserve">Evidence-Based </w:t>
      </w:r>
      <w:r w:rsidRPr="00C87C8D">
        <w:rPr>
          <w:i/>
          <w:iCs/>
          <w:sz w:val="24"/>
          <w:szCs w:val="24"/>
        </w:rPr>
        <w:lastRenderedPageBreak/>
        <w:t>Complementary and Alternative Medicine,</w:t>
      </w:r>
      <w:r w:rsidRPr="00C87C8D">
        <w:rPr>
          <w:sz w:val="24"/>
          <w:szCs w:val="24"/>
        </w:rPr>
        <w:t xml:space="preserve"> </w:t>
      </w:r>
      <w:r w:rsidRPr="00C87C8D">
        <w:rPr>
          <w:i/>
          <w:iCs/>
          <w:sz w:val="24"/>
          <w:szCs w:val="24"/>
        </w:rPr>
        <w:t>Article ID: 974256.</w:t>
      </w:r>
      <w:r w:rsidRPr="00C87C8D">
        <w:rPr>
          <w:sz w:val="24"/>
          <w:szCs w:val="24"/>
        </w:rPr>
        <w:t xml:space="preserve"> </w:t>
      </w:r>
      <w:r w:rsidRPr="00C87C8D">
        <w:rPr>
          <w:bCs/>
          <w:sz w:val="24"/>
          <w:szCs w:val="24"/>
        </w:rPr>
        <w:t>http://dx.doi.org/10.1155/2013/974256.</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sz w:val="24"/>
          <w:szCs w:val="24"/>
        </w:rPr>
        <w:t>Imran, M., Rasool, N., Rizwan, K., Zubair, M., Riaz, M., Zia-Ul-</w:t>
      </w:r>
      <w:proofErr w:type="spellStart"/>
      <w:r w:rsidRPr="00C87C8D">
        <w:rPr>
          <w:sz w:val="24"/>
          <w:szCs w:val="24"/>
        </w:rPr>
        <w:t>Haq</w:t>
      </w:r>
      <w:proofErr w:type="spellEnd"/>
      <w:r w:rsidRPr="00C87C8D">
        <w:rPr>
          <w:sz w:val="24"/>
          <w:szCs w:val="24"/>
        </w:rPr>
        <w:t xml:space="preserve">, M., et al. (2014). </w:t>
      </w:r>
      <w:r w:rsidRPr="00C87C8D">
        <w:rPr>
          <w:sz w:val="24"/>
          <w:szCs w:val="24"/>
          <w:lang w:val="en-PH"/>
        </w:rPr>
        <w:t xml:space="preserve">Chemical composition and biological studies of </w:t>
      </w:r>
      <w:r w:rsidRPr="00C87C8D">
        <w:rPr>
          <w:i/>
          <w:iCs/>
          <w:sz w:val="24"/>
          <w:szCs w:val="24"/>
          <w:lang w:val="en-PH"/>
        </w:rPr>
        <w:t xml:space="preserve">Ficus </w:t>
      </w:r>
      <w:proofErr w:type="spellStart"/>
      <w:r w:rsidRPr="00C87C8D">
        <w:rPr>
          <w:i/>
          <w:iCs/>
          <w:sz w:val="24"/>
          <w:szCs w:val="24"/>
          <w:lang w:val="en-PH"/>
        </w:rPr>
        <w:t>benjamina</w:t>
      </w:r>
      <w:proofErr w:type="spellEnd"/>
      <w:r w:rsidRPr="00C87C8D">
        <w:rPr>
          <w:sz w:val="24"/>
          <w:szCs w:val="24"/>
          <w:lang w:val="en-PH"/>
        </w:rPr>
        <w:t xml:space="preserve">. </w:t>
      </w:r>
      <w:r w:rsidRPr="00C87C8D">
        <w:rPr>
          <w:i/>
          <w:iCs/>
          <w:sz w:val="24"/>
          <w:szCs w:val="24"/>
          <w:lang w:val="en-PH"/>
        </w:rPr>
        <w:t>Chemistry Central Journal, 8</w:t>
      </w:r>
      <w:r w:rsidRPr="00C87C8D">
        <w:rPr>
          <w:sz w:val="24"/>
          <w:szCs w:val="24"/>
          <w:lang w:val="en-PH"/>
        </w:rPr>
        <w:t>, 12.</w:t>
      </w:r>
    </w:p>
    <w:p w:rsidR="00BA1CA6" w:rsidRPr="00C87C8D" w:rsidRDefault="00BA1CA6" w:rsidP="00BA1CA6">
      <w:pPr>
        <w:pStyle w:val="ListParagraph"/>
        <w:numPr>
          <w:ilvl w:val="0"/>
          <w:numId w:val="32"/>
        </w:numPr>
        <w:tabs>
          <w:tab w:val="left" w:pos="270"/>
        </w:tabs>
        <w:spacing w:line="480" w:lineRule="auto"/>
        <w:ind w:left="540" w:hanging="540"/>
        <w:rPr>
          <w:bCs/>
          <w:sz w:val="24"/>
          <w:szCs w:val="24"/>
        </w:rPr>
      </w:pPr>
      <w:proofErr w:type="spellStart"/>
      <w:r w:rsidRPr="00C87C8D">
        <w:rPr>
          <w:sz w:val="24"/>
          <w:szCs w:val="24"/>
          <w:lang w:val="en-PH"/>
        </w:rPr>
        <w:t>Mamadalieva</w:t>
      </w:r>
      <w:proofErr w:type="spellEnd"/>
      <w:r w:rsidRPr="00C87C8D">
        <w:rPr>
          <w:sz w:val="24"/>
          <w:szCs w:val="24"/>
          <w:lang w:val="en-PH"/>
        </w:rPr>
        <w:t xml:space="preserve">, N. Z., </w:t>
      </w:r>
      <w:proofErr w:type="spellStart"/>
      <w:r w:rsidRPr="00C87C8D">
        <w:rPr>
          <w:sz w:val="24"/>
          <w:szCs w:val="24"/>
          <w:lang w:val="en-PH"/>
        </w:rPr>
        <w:t>Akramov</w:t>
      </w:r>
      <w:proofErr w:type="spellEnd"/>
      <w:r w:rsidRPr="00C87C8D">
        <w:rPr>
          <w:sz w:val="24"/>
          <w:szCs w:val="24"/>
          <w:lang w:val="en-PH"/>
        </w:rPr>
        <w:t xml:space="preserve">, D. K., </w:t>
      </w:r>
      <w:proofErr w:type="spellStart"/>
      <w:r w:rsidRPr="00C87C8D">
        <w:rPr>
          <w:sz w:val="24"/>
          <w:szCs w:val="24"/>
          <w:lang w:val="en-PH"/>
        </w:rPr>
        <w:t>Ovidi</w:t>
      </w:r>
      <w:proofErr w:type="spellEnd"/>
      <w:r w:rsidRPr="00C87C8D">
        <w:rPr>
          <w:sz w:val="24"/>
          <w:szCs w:val="24"/>
          <w:lang w:val="en-PH"/>
        </w:rPr>
        <w:t xml:space="preserve">, E., </w:t>
      </w:r>
      <w:proofErr w:type="spellStart"/>
      <w:r w:rsidRPr="00C87C8D">
        <w:rPr>
          <w:sz w:val="24"/>
          <w:szCs w:val="24"/>
          <w:lang w:val="en-PH"/>
        </w:rPr>
        <w:t>Tiezzi</w:t>
      </w:r>
      <w:proofErr w:type="spellEnd"/>
      <w:r w:rsidRPr="00C87C8D">
        <w:rPr>
          <w:sz w:val="24"/>
          <w:szCs w:val="24"/>
          <w:lang w:val="en-PH"/>
        </w:rPr>
        <w:t xml:space="preserve">, A., Nahar, L., </w:t>
      </w:r>
      <w:proofErr w:type="spellStart"/>
      <w:r w:rsidRPr="00C87C8D">
        <w:rPr>
          <w:sz w:val="24"/>
          <w:szCs w:val="24"/>
          <w:lang w:val="en-PH"/>
        </w:rPr>
        <w:t>Azimova</w:t>
      </w:r>
      <w:proofErr w:type="spellEnd"/>
      <w:r w:rsidRPr="00C87C8D">
        <w:rPr>
          <w:sz w:val="24"/>
          <w:szCs w:val="24"/>
          <w:lang w:val="en-PH"/>
        </w:rPr>
        <w:t xml:space="preserve">, S. S., et al. (2017). Aromatic medicinal plants of the Lamiaceae Family from Uzbekistan: ethnopharmacology, essential oils composition, and biological activities. medicines. </w:t>
      </w:r>
      <w:r w:rsidRPr="00C87C8D">
        <w:rPr>
          <w:i/>
          <w:iCs/>
          <w:sz w:val="24"/>
          <w:szCs w:val="24"/>
          <w:lang w:val="en-PH"/>
        </w:rPr>
        <w:t>Medicines (Basel), 4.</w:t>
      </w:r>
      <w:r w:rsidRPr="00C87C8D">
        <w:rPr>
          <w:sz w:val="24"/>
          <w:szCs w:val="24"/>
          <w:lang w:val="en-PH"/>
        </w:rPr>
        <w:t xml:space="preserve"> </w:t>
      </w:r>
      <w:r w:rsidRPr="00C87C8D">
        <w:rPr>
          <w:bCs/>
          <w:sz w:val="24"/>
          <w:szCs w:val="24"/>
        </w:rPr>
        <w:t>http://dx.doi.org/</w:t>
      </w:r>
      <w:r w:rsidRPr="00C87C8D">
        <w:rPr>
          <w:sz w:val="24"/>
          <w:szCs w:val="24"/>
          <w:lang w:val="en-PH"/>
        </w:rPr>
        <w:t>10.3390/medicines4010008.</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sz w:val="24"/>
          <w:szCs w:val="24"/>
          <w:lang w:val="en-PH"/>
        </w:rPr>
        <w:t>Uritu</w:t>
      </w:r>
      <w:proofErr w:type="spellEnd"/>
      <w:r w:rsidRPr="00C87C8D">
        <w:rPr>
          <w:sz w:val="24"/>
          <w:szCs w:val="24"/>
          <w:lang w:val="en-PH"/>
        </w:rPr>
        <w:t xml:space="preserve">, C. M., Mihai, C. T., </w:t>
      </w:r>
      <w:proofErr w:type="spellStart"/>
      <w:r w:rsidRPr="00C87C8D">
        <w:rPr>
          <w:sz w:val="24"/>
          <w:szCs w:val="24"/>
          <w:lang w:val="en-PH"/>
        </w:rPr>
        <w:t>Stanciu</w:t>
      </w:r>
      <w:proofErr w:type="spellEnd"/>
      <w:r w:rsidRPr="00C87C8D">
        <w:rPr>
          <w:sz w:val="24"/>
          <w:szCs w:val="24"/>
          <w:lang w:val="en-PH"/>
        </w:rPr>
        <w:t>, G. D., Dodi, G., Alexa-</w:t>
      </w:r>
      <w:proofErr w:type="spellStart"/>
      <w:r w:rsidRPr="00C87C8D">
        <w:rPr>
          <w:sz w:val="24"/>
          <w:szCs w:val="24"/>
          <w:lang w:val="en-PH"/>
        </w:rPr>
        <w:t>Stratulat</w:t>
      </w:r>
      <w:proofErr w:type="spellEnd"/>
      <w:r w:rsidRPr="00C87C8D">
        <w:rPr>
          <w:sz w:val="24"/>
          <w:szCs w:val="24"/>
          <w:lang w:val="en-PH"/>
        </w:rPr>
        <w:t xml:space="preserve">, T., Luca, A., et al. (2018). Medicinal plants of the family Lamiaceae in pain therapy: a review. </w:t>
      </w:r>
      <w:r w:rsidRPr="00C87C8D">
        <w:rPr>
          <w:i/>
          <w:iCs/>
          <w:sz w:val="24"/>
          <w:szCs w:val="24"/>
          <w:lang w:val="en-PH"/>
        </w:rPr>
        <w:t>Pain Research &amp; Management.</w:t>
      </w:r>
      <w:r w:rsidRPr="00C87C8D">
        <w:rPr>
          <w:sz w:val="24"/>
          <w:szCs w:val="24"/>
          <w:lang w:val="en-PH"/>
        </w:rPr>
        <w:t xml:space="preserve"> https://doi.org/10.1155/2018/7801543.</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sz w:val="24"/>
          <w:szCs w:val="24"/>
        </w:rPr>
        <w:t xml:space="preserve">Liaqat, I., Riaz, N., Saleem, Q., Tahir, H. M., Arshad, M., &amp; Arshad, N. (2018). Toxicological evaluation of essential oils from some plants of Rutaceae family. </w:t>
      </w:r>
      <w:r w:rsidRPr="00C87C8D">
        <w:rPr>
          <w:i/>
          <w:iCs/>
          <w:sz w:val="24"/>
          <w:szCs w:val="24"/>
        </w:rPr>
        <w:t xml:space="preserve">Evidence-Based Complementary and Alternative Medicine, Article ID: 4394687. </w:t>
      </w:r>
      <w:r w:rsidRPr="00C87C8D">
        <w:rPr>
          <w:sz w:val="24"/>
          <w:szCs w:val="24"/>
        </w:rPr>
        <w:t>https://doi.org/10.1155/2018/4394687.</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sz w:val="24"/>
          <w:szCs w:val="24"/>
        </w:rPr>
        <w:t>Supabphol</w:t>
      </w:r>
      <w:proofErr w:type="spellEnd"/>
      <w:r w:rsidRPr="00C87C8D">
        <w:rPr>
          <w:sz w:val="24"/>
          <w:szCs w:val="24"/>
        </w:rPr>
        <w:t xml:space="preserve">, R., &amp; </w:t>
      </w:r>
      <w:proofErr w:type="spellStart"/>
      <w:r w:rsidRPr="00C87C8D">
        <w:rPr>
          <w:sz w:val="24"/>
          <w:szCs w:val="24"/>
        </w:rPr>
        <w:t>Tangjitjareonkun</w:t>
      </w:r>
      <w:proofErr w:type="spellEnd"/>
      <w:r w:rsidRPr="00C87C8D">
        <w:rPr>
          <w:sz w:val="24"/>
          <w:szCs w:val="24"/>
        </w:rPr>
        <w:t xml:space="preserve">, J. (2014). Chemical constituents and biological activities of </w:t>
      </w:r>
      <w:proofErr w:type="spellStart"/>
      <w:r w:rsidRPr="00C87C8D">
        <w:rPr>
          <w:i/>
          <w:iCs/>
          <w:sz w:val="24"/>
          <w:szCs w:val="24"/>
        </w:rPr>
        <w:t>Zanthoxylum</w:t>
      </w:r>
      <w:proofErr w:type="spellEnd"/>
      <w:r w:rsidRPr="00C87C8D">
        <w:rPr>
          <w:i/>
          <w:iCs/>
          <w:sz w:val="24"/>
          <w:szCs w:val="24"/>
        </w:rPr>
        <w:t xml:space="preserve"> </w:t>
      </w:r>
      <w:proofErr w:type="spellStart"/>
      <w:r w:rsidRPr="00C87C8D">
        <w:rPr>
          <w:i/>
          <w:iCs/>
          <w:sz w:val="24"/>
          <w:szCs w:val="24"/>
        </w:rPr>
        <w:t>limonella</w:t>
      </w:r>
      <w:proofErr w:type="spellEnd"/>
      <w:r w:rsidRPr="00C87C8D">
        <w:rPr>
          <w:sz w:val="24"/>
          <w:szCs w:val="24"/>
        </w:rPr>
        <w:t xml:space="preserve"> (Rutaceae): a review. </w:t>
      </w:r>
      <w:r w:rsidRPr="00C87C8D">
        <w:rPr>
          <w:i/>
          <w:iCs/>
          <w:sz w:val="24"/>
          <w:szCs w:val="24"/>
        </w:rPr>
        <w:t>Tropical Journal of Pharmaceutical Research, 13,</w:t>
      </w:r>
      <w:r w:rsidRPr="00C87C8D">
        <w:rPr>
          <w:sz w:val="24"/>
          <w:szCs w:val="24"/>
        </w:rPr>
        <w:t xml:space="preserve"> 2119</w:t>
      </w:r>
      <w:r w:rsidRPr="00C87C8D">
        <w:rPr>
          <w:bCs/>
          <w:sz w:val="24"/>
          <w:szCs w:val="24"/>
        </w:rPr>
        <w:t>–</w:t>
      </w:r>
      <w:r w:rsidRPr="00C87C8D">
        <w:rPr>
          <w:sz w:val="24"/>
          <w:szCs w:val="24"/>
        </w:rPr>
        <w:t>2130.</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sz w:val="24"/>
          <w:szCs w:val="24"/>
          <w:lang w:val="de-DE"/>
        </w:rPr>
        <w:t>Salleh</w:t>
      </w:r>
      <w:proofErr w:type="spellEnd"/>
      <w:r w:rsidRPr="00C87C8D">
        <w:rPr>
          <w:sz w:val="24"/>
          <w:szCs w:val="24"/>
          <w:lang w:val="de-DE"/>
        </w:rPr>
        <w:t xml:space="preserve">, W. M. N. H. W., Ahmad, F., Yen, K. H., &amp; </w:t>
      </w:r>
      <w:proofErr w:type="spellStart"/>
      <w:r w:rsidRPr="00C87C8D">
        <w:rPr>
          <w:sz w:val="24"/>
          <w:szCs w:val="24"/>
          <w:lang w:val="de-DE"/>
        </w:rPr>
        <w:t>Zulkifli</w:t>
      </w:r>
      <w:proofErr w:type="spellEnd"/>
      <w:r w:rsidRPr="00C87C8D">
        <w:rPr>
          <w:sz w:val="24"/>
          <w:szCs w:val="24"/>
          <w:lang w:val="de-DE"/>
        </w:rPr>
        <w:t xml:space="preserve">, R. M. (2015). </w:t>
      </w:r>
      <w:r w:rsidRPr="00C87C8D">
        <w:rPr>
          <w:sz w:val="24"/>
          <w:szCs w:val="24"/>
        </w:rPr>
        <w:t xml:space="preserve">A review on chemical constituents and biological activities of the genus </w:t>
      </w:r>
      <w:proofErr w:type="spellStart"/>
      <w:r w:rsidRPr="00C87C8D">
        <w:rPr>
          <w:i/>
          <w:iCs/>
          <w:sz w:val="24"/>
          <w:szCs w:val="24"/>
        </w:rPr>
        <w:t>Beilschmiedia</w:t>
      </w:r>
      <w:proofErr w:type="spellEnd"/>
      <w:r w:rsidRPr="00C87C8D">
        <w:rPr>
          <w:sz w:val="24"/>
          <w:szCs w:val="24"/>
        </w:rPr>
        <w:t xml:space="preserve"> (Lauraceae). </w:t>
      </w:r>
      <w:r w:rsidRPr="00C87C8D">
        <w:rPr>
          <w:i/>
          <w:iCs/>
          <w:sz w:val="24"/>
          <w:szCs w:val="24"/>
        </w:rPr>
        <w:t>Tropical Journal of Pharmaceutical Research, 14</w:t>
      </w:r>
      <w:r w:rsidRPr="00C87C8D">
        <w:rPr>
          <w:sz w:val="24"/>
          <w:szCs w:val="24"/>
        </w:rPr>
        <w:t>, 2139</w:t>
      </w:r>
      <w:r w:rsidRPr="00C87C8D">
        <w:rPr>
          <w:bCs/>
          <w:sz w:val="24"/>
          <w:szCs w:val="24"/>
        </w:rPr>
        <w:t>–</w:t>
      </w:r>
      <w:r w:rsidRPr="00C87C8D">
        <w:rPr>
          <w:sz w:val="24"/>
          <w:szCs w:val="24"/>
        </w:rPr>
        <w:t>2150.</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sz w:val="24"/>
          <w:szCs w:val="24"/>
        </w:rPr>
        <w:t xml:space="preserve">Wink, M. (2013). Evolution of secondary metabolites in legumes (Fabaceae). </w:t>
      </w:r>
      <w:r w:rsidRPr="00C87C8D">
        <w:rPr>
          <w:i/>
          <w:iCs/>
          <w:sz w:val="24"/>
          <w:szCs w:val="24"/>
        </w:rPr>
        <w:t>South African Journal of Botany, 89,</w:t>
      </w:r>
      <w:r w:rsidRPr="00C87C8D">
        <w:rPr>
          <w:sz w:val="24"/>
          <w:szCs w:val="24"/>
        </w:rPr>
        <w:t xml:space="preserve"> 164–175.</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rPr>
        <w:lastRenderedPageBreak/>
        <w:t>Abdulaziz</w:t>
      </w:r>
      <w:proofErr w:type="spellEnd"/>
      <w:r w:rsidRPr="00C87C8D">
        <w:rPr>
          <w:bCs/>
          <w:sz w:val="24"/>
          <w:szCs w:val="24"/>
        </w:rPr>
        <w:t xml:space="preserve">, A. A., Dapar, M. L. G., </w:t>
      </w:r>
      <w:proofErr w:type="spellStart"/>
      <w:r w:rsidRPr="00C87C8D">
        <w:rPr>
          <w:bCs/>
          <w:sz w:val="24"/>
          <w:szCs w:val="24"/>
        </w:rPr>
        <w:t>Manting</w:t>
      </w:r>
      <w:proofErr w:type="spellEnd"/>
      <w:r w:rsidRPr="00C87C8D">
        <w:rPr>
          <w:bCs/>
          <w:sz w:val="24"/>
          <w:szCs w:val="24"/>
        </w:rPr>
        <w:t xml:space="preserve">, M. M. E., Torres, A. J., </w:t>
      </w:r>
      <w:proofErr w:type="spellStart"/>
      <w:r w:rsidRPr="00C87C8D">
        <w:rPr>
          <w:bCs/>
          <w:sz w:val="24"/>
          <w:szCs w:val="24"/>
        </w:rPr>
        <w:t>Aranas</w:t>
      </w:r>
      <w:proofErr w:type="spellEnd"/>
      <w:r w:rsidRPr="00C87C8D">
        <w:rPr>
          <w:bCs/>
          <w:sz w:val="24"/>
          <w:szCs w:val="24"/>
        </w:rPr>
        <w:t xml:space="preserve">, A. T., </w:t>
      </w:r>
      <w:proofErr w:type="spellStart"/>
      <w:r w:rsidRPr="00C87C8D">
        <w:rPr>
          <w:bCs/>
          <w:sz w:val="24"/>
          <w:szCs w:val="24"/>
        </w:rPr>
        <w:t>Mindo</w:t>
      </w:r>
      <w:proofErr w:type="spellEnd"/>
      <w:r w:rsidRPr="00C87C8D">
        <w:rPr>
          <w:bCs/>
          <w:sz w:val="24"/>
          <w:szCs w:val="24"/>
        </w:rPr>
        <w:t xml:space="preserve">, R. A. R., et al. (2019). Qualitative evaluation of the antimicrobial, antioxidant, and medicinally important phytochemical constituents of the ethanolic extracts of the leaves of </w:t>
      </w:r>
      <w:proofErr w:type="spellStart"/>
      <w:r w:rsidRPr="00C87C8D">
        <w:rPr>
          <w:bCs/>
          <w:i/>
          <w:iCs/>
          <w:sz w:val="24"/>
          <w:szCs w:val="24"/>
        </w:rPr>
        <w:t>Gliricidia</w:t>
      </w:r>
      <w:proofErr w:type="spellEnd"/>
      <w:r w:rsidRPr="00C87C8D">
        <w:rPr>
          <w:bCs/>
          <w:i/>
          <w:iCs/>
          <w:sz w:val="24"/>
          <w:szCs w:val="24"/>
        </w:rPr>
        <w:t xml:space="preserve"> </w:t>
      </w:r>
      <w:proofErr w:type="spellStart"/>
      <w:r w:rsidRPr="00C87C8D">
        <w:rPr>
          <w:bCs/>
          <w:i/>
          <w:iCs/>
          <w:sz w:val="24"/>
          <w:szCs w:val="24"/>
        </w:rPr>
        <w:t>sepium</w:t>
      </w:r>
      <w:proofErr w:type="spellEnd"/>
      <w:r w:rsidRPr="00C87C8D">
        <w:rPr>
          <w:bCs/>
          <w:sz w:val="24"/>
          <w:szCs w:val="24"/>
        </w:rPr>
        <w:t xml:space="preserve"> (Jacq.) </w:t>
      </w:r>
      <w:proofErr w:type="spellStart"/>
      <w:r w:rsidRPr="00C87C8D">
        <w:rPr>
          <w:bCs/>
          <w:sz w:val="24"/>
          <w:szCs w:val="24"/>
        </w:rPr>
        <w:t>Walp</w:t>
      </w:r>
      <w:proofErr w:type="spellEnd"/>
      <w:r w:rsidRPr="00C87C8D">
        <w:rPr>
          <w:bCs/>
          <w:sz w:val="24"/>
          <w:szCs w:val="24"/>
        </w:rPr>
        <w:t xml:space="preserve">. </w:t>
      </w:r>
      <w:r w:rsidRPr="00C87C8D">
        <w:rPr>
          <w:bCs/>
          <w:i/>
          <w:iCs/>
          <w:sz w:val="24"/>
          <w:szCs w:val="24"/>
        </w:rPr>
        <w:t>Pharmacophore, 10,</w:t>
      </w:r>
      <w:r w:rsidRPr="00C87C8D">
        <w:rPr>
          <w:bCs/>
          <w:sz w:val="24"/>
          <w:szCs w:val="24"/>
        </w:rPr>
        <w:t xml:space="preserve"> 72–83.</w:t>
      </w:r>
    </w:p>
    <w:p w:rsidR="00BA1CA6" w:rsidRPr="00C87C8D" w:rsidRDefault="00BA1CA6" w:rsidP="00BA1CA6">
      <w:pPr>
        <w:pStyle w:val="ListParagraph"/>
        <w:numPr>
          <w:ilvl w:val="0"/>
          <w:numId w:val="32"/>
        </w:numPr>
        <w:tabs>
          <w:tab w:val="left" w:pos="270"/>
        </w:tabs>
        <w:spacing w:line="480" w:lineRule="auto"/>
        <w:ind w:left="540" w:hanging="540"/>
        <w:rPr>
          <w:bCs/>
          <w:sz w:val="24"/>
          <w:szCs w:val="24"/>
        </w:rPr>
      </w:pPr>
      <w:r w:rsidRPr="00C87C8D">
        <w:rPr>
          <w:bCs/>
          <w:sz w:val="24"/>
          <w:szCs w:val="24"/>
        </w:rPr>
        <w:t xml:space="preserve">Sharifi-Rad, J., </w:t>
      </w:r>
      <w:proofErr w:type="spellStart"/>
      <w:r w:rsidRPr="00C87C8D">
        <w:rPr>
          <w:bCs/>
          <w:sz w:val="24"/>
          <w:szCs w:val="24"/>
        </w:rPr>
        <w:t>Sureda</w:t>
      </w:r>
      <w:proofErr w:type="spellEnd"/>
      <w:r w:rsidRPr="00C87C8D">
        <w:rPr>
          <w:bCs/>
          <w:sz w:val="24"/>
          <w:szCs w:val="24"/>
        </w:rPr>
        <w:t xml:space="preserve">, A., </w:t>
      </w:r>
      <w:proofErr w:type="spellStart"/>
      <w:r w:rsidRPr="00C87C8D">
        <w:rPr>
          <w:bCs/>
          <w:sz w:val="24"/>
          <w:szCs w:val="24"/>
        </w:rPr>
        <w:t>Tenore</w:t>
      </w:r>
      <w:proofErr w:type="spellEnd"/>
      <w:r w:rsidRPr="00C87C8D">
        <w:rPr>
          <w:bCs/>
          <w:sz w:val="24"/>
          <w:szCs w:val="24"/>
        </w:rPr>
        <w:t xml:space="preserve">, G. C., </w:t>
      </w:r>
      <w:proofErr w:type="spellStart"/>
      <w:r w:rsidRPr="00C87C8D">
        <w:rPr>
          <w:bCs/>
          <w:sz w:val="24"/>
          <w:szCs w:val="24"/>
        </w:rPr>
        <w:t>Daglia</w:t>
      </w:r>
      <w:proofErr w:type="spellEnd"/>
      <w:r w:rsidRPr="00C87C8D">
        <w:rPr>
          <w:bCs/>
          <w:sz w:val="24"/>
          <w:szCs w:val="24"/>
        </w:rPr>
        <w:t xml:space="preserve">, M., Sharifi-Rad, M., </w:t>
      </w:r>
      <w:proofErr w:type="spellStart"/>
      <w:r w:rsidRPr="00C87C8D">
        <w:rPr>
          <w:bCs/>
          <w:sz w:val="24"/>
          <w:szCs w:val="24"/>
        </w:rPr>
        <w:t>Valussi</w:t>
      </w:r>
      <w:proofErr w:type="spellEnd"/>
      <w:r w:rsidRPr="00C87C8D">
        <w:rPr>
          <w:bCs/>
          <w:sz w:val="24"/>
          <w:szCs w:val="24"/>
        </w:rPr>
        <w:t xml:space="preserve">, M., et al. (2017). Biological activities of essential oils: from plant </w:t>
      </w:r>
      <w:proofErr w:type="spellStart"/>
      <w:r w:rsidRPr="00C87C8D">
        <w:rPr>
          <w:bCs/>
          <w:sz w:val="24"/>
          <w:szCs w:val="24"/>
        </w:rPr>
        <w:t>chemoecology</w:t>
      </w:r>
      <w:proofErr w:type="spellEnd"/>
      <w:r w:rsidRPr="00C87C8D">
        <w:rPr>
          <w:bCs/>
          <w:sz w:val="24"/>
          <w:szCs w:val="24"/>
        </w:rPr>
        <w:t xml:space="preserve"> to traditional healing systems. </w:t>
      </w:r>
      <w:r w:rsidRPr="00C87C8D">
        <w:rPr>
          <w:bCs/>
          <w:i/>
          <w:iCs/>
          <w:sz w:val="24"/>
          <w:szCs w:val="24"/>
        </w:rPr>
        <w:t xml:space="preserve">Molecules, 22. </w:t>
      </w:r>
      <w:r w:rsidRPr="00C87C8D">
        <w:rPr>
          <w:sz w:val="24"/>
          <w:szCs w:val="24"/>
        </w:rPr>
        <w:t>https://doi.org/</w:t>
      </w:r>
      <w:r w:rsidRPr="00C87C8D">
        <w:rPr>
          <w:bCs/>
          <w:sz w:val="24"/>
          <w:szCs w:val="24"/>
        </w:rPr>
        <w:t>10.3390/molecules22010070.</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sz w:val="24"/>
          <w:szCs w:val="24"/>
          <w:lang w:eastAsia="en-IN"/>
        </w:rPr>
        <w:t xml:space="preserve">Lansky, E. P., </w:t>
      </w:r>
      <w:proofErr w:type="spellStart"/>
      <w:r w:rsidRPr="00C87C8D">
        <w:rPr>
          <w:sz w:val="24"/>
          <w:szCs w:val="24"/>
          <w:lang w:eastAsia="en-IN"/>
        </w:rPr>
        <w:t>Paavilainen</w:t>
      </w:r>
      <w:proofErr w:type="spellEnd"/>
      <w:r w:rsidRPr="00C87C8D">
        <w:rPr>
          <w:sz w:val="24"/>
          <w:szCs w:val="24"/>
          <w:lang w:eastAsia="en-IN"/>
        </w:rPr>
        <w:t xml:space="preserve">, H. M., </w:t>
      </w:r>
      <w:proofErr w:type="spellStart"/>
      <w:r w:rsidRPr="00C87C8D">
        <w:rPr>
          <w:sz w:val="24"/>
          <w:szCs w:val="24"/>
          <w:lang w:eastAsia="en-IN"/>
        </w:rPr>
        <w:t>Pawlus</w:t>
      </w:r>
      <w:proofErr w:type="spellEnd"/>
      <w:r w:rsidRPr="00C87C8D">
        <w:rPr>
          <w:sz w:val="24"/>
          <w:szCs w:val="24"/>
          <w:lang w:eastAsia="en-IN"/>
        </w:rPr>
        <w:t xml:space="preserve">, A. D., &amp; Newman, R. A. (2008). </w:t>
      </w:r>
      <w:r w:rsidRPr="00C87C8D">
        <w:rPr>
          <w:i/>
          <w:iCs/>
          <w:sz w:val="24"/>
          <w:szCs w:val="24"/>
          <w:lang w:eastAsia="en-IN"/>
        </w:rPr>
        <w:t>Ficus</w:t>
      </w:r>
      <w:r w:rsidRPr="00C87C8D">
        <w:rPr>
          <w:sz w:val="24"/>
          <w:szCs w:val="24"/>
          <w:lang w:eastAsia="en-IN"/>
        </w:rPr>
        <w:t xml:space="preserve"> spp. (fig): ethnobotany and potential as anticancer and anti-inflammatory agents. </w:t>
      </w:r>
      <w:r w:rsidRPr="00C87C8D">
        <w:rPr>
          <w:i/>
          <w:iCs/>
          <w:sz w:val="24"/>
          <w:szCs w:val="24"/>
          <w:lang w:eastAsia="en-IN"/>
        </w:rPr>
        <w:t>Journal of Ethnopharmacology, 119,</w:t>
      </w:r>
      <w:r w:rsidRPr="00C87C8D">
        <w:rPr>
          <w:sz w:val="24"/>
          <w:szCs w:val="24"/>
          <w:lang w:eastAsia="en-IN"/>
        </w:rPr>
        <w:t xml:space="preserve"> 195–213.</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proofErr w:type="spellStart"/>
      <w:r w:rsidRPr="00C87C8D">
        <w:rPr>
          <w:bCs/>
          <w:sz w:val="24"/>
          <w:szCs w:val="24"/>
          <w:lang w:val="de-DE"/>
        </w:rPr>
        <w:t>Susidarti</w:t>
      </w:r>
      <w:proofErr w:type="spellEnd"/>
      <w:r w:rsidRPr="00C87C8D">
        <w:rPr>
          <w:bCs/>
          <w:sz w:val="24"/>
          <w:szCs w:val="24"/>
          <w:lang w:val="de-DE"/>
        </w:rPr>
        <w:t xml:space="preserve">, R. A., Rahmani, M., Ismail, H. B. M., </w:t>
      </w:r>
      <w:proofErr w:type="spellStart"/>
      <w:r w:rsidRPr="00C87C8D">
        <w:rPr>
          <w:bCs/>
          <w:sz w:val="24"/>
          <w:szCs w:val="24"/>
          <w:lang w:val="de-DE"/>
        </w:rPr>
        <w:t>Sukari</w:t>
      </w:r>
      <w:proofErr w:type="spellEnd"/>
      <w:r w:rsidRPr="00C87C8D">
        <w:rPr>
          <w:bCs/>
          <w:sz w:val="24"/>
          <w:szCs w:val="24"/>
          <w:lang w:val="de-DE"/>
        </w:rPr>
        <w:t xml:space="preserve">, M. A., Hin, T. Y. Y., </w:t>
      </w:r>
      <w:proofErr w:type="spellStart"/>
      <w:r w:rsidRPr="00C87C8D">
        <w:rPr>
          <w:bCs/>
          <w:sz w:val="24"/>
          <w:szCs w:val="24"/>
          <w:lang w:val="de-DE"/>
        </w:rPr>
        <w:t>Lian</w:t>
      </w:r>
      <w:proofErr w:type="spellEnd"/>
      <w:r w:rsidRPr="00C87C8D">
        <w:rPr>
          <w:bCs/>
          <w:sz w:val="24"/>
          <w:szCs w:val="24"/>
          <w:lang w:val="de-DE"/>
        </w:rPr>
        <w:t xml:space="preserve">, G. E. C. et al. (2009). </w:t>
      </w:r>
      <w:r w:rsidRPr="00C87C8D">
        <w:rPr>
          <w:bCs/>
          <w:sz w:val="24"/>
          <w:szCs w:val="24"/>
        </w:rPr>
        <w:t xml:space="preserve">Cytotoxic activity of coumarins from </w:t>
      </w:r>
      <w:r w:rsidRPr="00C87C8D">
        <w:rPr>
          <w:bCs/>
          <w:i/>
          <w:iCs/>
          <w:sz w:val="24"/>
          <w:szCs w:val="24"/>
        </w:rPr>
        <w:t>Micromelum minutum</w:t>
      </w:r>
      <w:r w:rsidRPr="00C87C8D">
        <w:rPr>
          <w:bCs/>
          <w:sz w:val="24"/>
          <w:szCs w:val="24"/>
        </w:rPr>
        <w:t xml:space="preserve">. </w:t>
      </w:r>
      <w:r w:rsidRPr="00C87C8D">
        <w:rPr>
          <w:bCs/>
          <w:i/>
          <w:iCs/>
          <w:sz w:val="24"/>
          <w:szCs w:val="24"/>
        </w:rPr>
        <w:t>Pharmaceutical Biology, 47,</w:t>
      </w:r>
      <w:r w:rsidRPr="00C87C8D">
        <w:rPr>
          <w:bCs/>
          <w:sz w:val="24"/>
          <w:szCs w:val="24"/>
        </w:rPr>
        <w:t xml:space="preserve"> 182–185.</w:t>
      </w:r>
    </w:p>
    <w:p w:rsidR="00BA1CA6" w:rsidRPr="00C87C8D" w:rsidRDefault="00BA1CA6" w:rsidP="00BA1CA6">
      <w:pPr>
        <w:pStyle w:val="ListParagraph"/>
        <w:numPr>
          <w:ilvl w:val="0"/>
          <w:numId w:val="32"/>
        </w:numPr>
        <w:tabs>
          <w:tab w:val="left" w:pos="270"/>
        </w:tabs>
        <w:spacing w:line="480" w:lineRule="auto"/>
        <w:ind w:left="540" w:hanging="540"/>
        <w:jc w:val="both"/>
        <w:rPr>
          <w:bCs/>
          <w:sz w:val="24"/>
          <w:szCs w:val="24"/>
        </w:rPr>
      </w:pPr>
      <w:r w:rsidRPr="00C87C8D">
        <w:rPr>
          <w:sz w:val="24"/>
          <w:szCs w:val="24"/>
          <w:lang w:val="de-DE" w:eastAsia="en-IN"/>
        </w:rPr>
        <w:t xml:space="preserve">Huang, N. C., Hung, W. T., </w:t>
      </w:r>
      <w:proofErr w:type="spellStart"/>
      <w:r w:rsidRPr="00C87C8D">
        <w:rPr>
          <w:sz w:val="24"/>
          <w:szCs w:val="24"/>
          <w:lang w:val="de-DE" w:eastAsia="en-IN"/>
        </w:rPr>
        <w:t>Tsai</w:t>
      </w:r>
      <w:proofErr w:type="spellEnd"/>
      <w:r w:rsidRPr="00C87C8D">
        <w:rPr>
          <w:sz w:val="24"/>
          <w:szCs w:val="24"/>
          <w:lang w:val="de-DE" w:eastAsia="en-IN"/>
        </w:rPr>
        <w:t xml:space="preserve">, W. L., Lai, F. Y., Lin, Y. S., Huang, M. S., et al. </w:t>
      </w:r>
      <w:r w:rsidRPr="00C87C8D">
        <w:rPr>
          <w:sz w:val="24"/>
          <w:szCs w:val="24"/>
          <w:lang w:eastAsia="en-IN"/>
        </w:rPr>
        <w:t>(2017).</w:t>
      </w:r>
      <w:r w:rsidRPr="00C87C8D">
        <w:rPr>
          <w:sz w:val="24"/>
          <w:szCs w:val="24"/>
        </w:rPr>
        <w:t xml:space="preserve"> </w:t>
      </w:r>
      <w:r w:rsidRPr="00C87C8D">
        <w:rPr>
          <w:i/>
          <w:iCs/>
          <w:sz w:val="24"/>
          <w:szCs w:val="24"/>
          <w:lang w:eastAsia="en-IN"/>
        </w:rPr>
        <w:t>Ficus septica</w:t>
      </w:r>
      <w:r w:rsidRPr="00C87C8D">
        <w:rPr>
          <w:sz w:val="24"/>
          <w:szCs w:val="24"/>
          <w:lang w:eastAsia="en-IN"/>
        </w:rPr>
        <w:t xml:space="preserve"> plant extracts for treating Dengue virus </w:t>
      </w:r>
      <w:r w:rsidRPr="00C87C8D">
        <w:rPr>
          <w:i/>
          <w:iCs/>
          <w:sz w:val="24"/>
          <w:szCs w:val="24"/>
          <w:lang w:eastAsia="en-IN"/>
        </w:rPr>
        <w:t xml:space="preserve">in vitro. </w:t>
      </w:r>
      <w:proofErr w:type="spellStart"/>
      <w:r w:rsidRPr="00C87C8D">
        <w:rPr>
          <w:i/>
          <w:iCs/>
          <w:sz w:val="24"/>
          <w:szCs w:val="24"/>
          <w:lang w:eastAsia="en-IN"/>
        </w:rPr>
        <w:t>PeerJ</w:t>
      </w:r>
      <w:proofErr w:type="spellEnd"/>
      <w:r w:rsidRPr="00C87C8D">
        <w:rPr>
          <w:i/>
          <w:iCs/>
          <w:sz w:val="24"/>
          <w:szCs w:val="24"/>
          <w:lang w:eastAsia="en-IN"/>
        </w:rPr>
        <w:t xml:space="preserve"> Life &amp; Environment, PubMed: 28607841.</w:t>
      </w:r>
      <w:r w:rsidRPr="00C87C8D">
        <w:rPr>
          <w:sz w:val="24"/>
          <w:szCs w:val="24"/>
          <w:lang w:eastAsia="en-IN"/>
        </w:rPr>
        <w:t xml:space="preserve"> https://doi.org/10.7717/peerj.3448.</w:t>
      </w:r>
    </w:p>
    <w:p w:rsidR="00BA1CA6" w:rsidRPr="00F07AD9" w:rsidRDefault="00BA1CA6" w:rsidP="00BA1CA6">
      <w:pPr>
        <w:pStyle w:val="ListParagraph"/>
        <w:numPr>
          <w:ilvl w:val="0"/>
          <w:numId w:val="32"/>
        </w:numPr>
        <w:tabs>
          <w:tab w:val="left" w:pos="270"/>
        </w:tabs>
        <w:spacing w:line="480" w:lineRule="auto"/>
        <w:ind w:left="540" w:hanging="540"/>
        <w:jc w:val="both"/>
        <w:rPr>
          <w:bCs/>
          <w:sz w:val="24"/>
          <w:szCs w:val="24"/>
        </w:rPr>
      </w:pPr>
      <w:r w:rsidRPr="00BA1CA6">
        <w:rPr>
          <w:sz w:val="24"/>
          <w:szCs w:val="24"/>
          <w:lang w:val="en-US"/>
        </w:rPr>
        <w:t xml:space="preserve">Dapar, M. L. G., Alejandro, G. J. D., Meve, U., &amp; Liede-Schuman, S. (2020a). </w:t>
      </w:r>
      <w:r w:rsidRPr="00F07AD9">
        <w:rPr>
          <w:sz w:val="24"/>
          <w:szCs w:val="24"/>
        </w:rPr>
        <w:t xml:space="preserve">Quantitative ethnopharmacological documentation and molecular confirmation of medicinal plants used by the </w:t>
      </w:r>
      <w:r w:rsidRPr="00F07AD9">
        <w:rPr>
          <w:i/>
          <w:iCs/>
          <w:sz w:val="24"/>
          <w:szCs w:val="24"/>
        </w:rPr>
        <w:t>Manobo</w:t>
      </w:r>
      <w:r w:rsidRPr="00F07AD9">
        <w:rPr>
          <w:sz w:val="24"/>
          <w:szCs w:val="24"/>
        </w:rPr>
        <w:t xml:space="preserve"> tribe of Agusan del Sur, Philippines. </w:t>
      </w:r>
      <w:r w:rsidRPr="00F07AD9">
        <w:rPr>
          <w:i/>
          <w:iCs/>
          <w:sz w:val="24"/>
          <w:szCs w:val="24"/>
        </w:rPr>
        <w:t>J</w:t>
      </w:r>
      <w:r>
        <w:rPr>
          <w:i/>
          <w:iCs/>
          <w:sz w:val="24"/>
          <w:szCs w:val="24"/>
        </w:rPr>
        <w:t>ournal of</w:t>
      </w:r>
      <w:r w:rsidRPr="00F07AD9">
        <w:rPr>
          <w:i/>
          <w:iCs/>
          <w:sz w:val="24"/>
          <w:szCs w:val="24"/>
        </w:rPr>
        <w:t xml:space="preserve"> Ethnobiol</w:t>
      </w:r>
      <w:r>
        <w:rPr>
          <w:i/>
          <w:iCs/>
          <w:sz w:val="24"/>
          <w:szCs w:val="24"/>
        </w:rPr>
        <w:t>ogy and</w:t>
      </w:r>
      <w:r w:rsidRPr="00F07AD9">
        <w:rPr>
          <w:i/>
          <w:iCs/>
          <w:sz w:val="24"/>
          <w:szCs w:val="24"/>
        </w:rPr>
        <w:t xml:space="preserve"> Ethnomedicine, 16,</w:t>
      </w:r>
      <w:r w:rsidRPr="00F07AD9">
        <w:rPr>
          <w:sz w:val="24"/>
          <w:szCs w:val="24"/>
        </w:rPr>
        <w:t xml:space="preserve"> 1–60. https://doi.org/10.1186/s13002-020-00363-7.</w:t>
      </w:r>
    </w:p>
    <w:p w:rsidR="00BA1CA6" w:rsidRPr="00186721" w:rsidRDefault="00BA1CA6" w:rsidP="00BA1CA6">
      <w:pPr>
        <w:pStyle w:val="ListParagraph"/>
        <w:numPr>
          <w:ilvl w:val="0"/>
          <w:numId w:val="32"/>
        </w:numPr>
        <w:tabs>
          <w:tab w:val="left" w:pos="270"/>
        </w:tabs>
        <w:spacing w:line="480" w:lineRule="auto"/>
        <w:ind w:left="540" w:hanging="540"/>
        <w:jc w:val="both"/>
        <w:rPr>
          <w:bCs/>
          <w:sz w:val="24"/>
          <w:szCs w:val="24"/>
        </w:rPr>
      </w:pPr>
      <w:r w:rsidRPr="00F07AD9">
        <w:rPr>
          <w:sz w:val="24"/>
          <w:szCs w:val="24"/>
        </w:rPr>
        <w:t>Dapar</w:t>
      </w:r>
      <w:r>
        <w:rPr>
          <w:sz w:val="24"/>
          <w:szCs w:val="24"/>
        </w:rPr>
        <w:t>,</w:t>
      </w:r>
      <w:r w:rsidRPr="00F07AD9">
        <w:rPr>
          <w:sz w:val="24"/>
          <w:szCs w:val="24"/>
        </w:rPr>
        <w:t xml:space="preserve"> M</w:t>
      </w:r>
      <w:r>
        <w:rPr>
          <w:sz w:val="24"/>
          <w:szCs w:val="24"/>
        </w:rPr>
        <w:t xml:space="preserve">. </w:t>
      </w:r>
      <w:r w:rsidRPr="00F07AD9">
        <w:rPr>
          <w:sz w:val="24"/>
          <w:szCs w:val="24"/>
        </w:rPr>
        <w:t>L</w:t>
      </w:r>
      <w:r>
        <w:rPr>
          <w:sz w:val="24"/>
          <w:szCs w:val="24"/>
        </w:rPr>
        <w:t xml:space="preserve">. </w:t>
      </w:r>
      <w:r w:rsidRPr="00F07AD9">
        <w:rPr>
          <w:sz w:val="24"/>
          <w:szCs w:val="24"/>
        </w:rPr>
        <w:t>G</w:t>
      </w:r>
      <w:r>
        <w:rPr>
          <w:sz w:val="24"/>
          <w:szCs w:val="24"/>
        </w:rPr>
        <w:t>.</w:t>
      </w:r>
      <w:r w:rsidRPr="00F07AD9">
        <w:rPr>
          <w:sz w:val="24"/>
          <w:szCs w:val="24"/>
        </w:rPr>
        <w:t>, Demayo</w:t>
      </w:r>
      <w:r>
        <w:rPr>
          <w:sz w:val="24"/>
          <w:szCs w:val="24"/>
        </w:rPr>
        <w:t>,</w:t>
      </w:r>
      <w:r w:rsidRPr="00F07AD9">
        <w:rPr>
          <w:sz w:val="24"/>
          <w:szCs w:val="24"/>
        </w:rPr>
        <w:t xml:space="preserve"> C</w:t>
      </w:r>
      <w:r>
        <w:rPr>
          <w:sz w:val="24"/>
          <w:szCs w:val="24"/>
        </w:rPr>
        <w:t xml:space="preserve">. </w:t>
      </w:r>
      <w:r w:rsidRPr="00F07AD9">
        <w:rPr>
          <w:sz w:val="24"/>
          <w:szCs w:val="24"/>
        </w:rPr>
        <w:t>G</w:t>
      </w:r>
      <w:r>
        <w:rPr>
          <w:sz w:val="24"/>
          <w:szCs w:val="24"/>
        </w:rPr>
        <w:t>.</w:t>
      </w:r>
      <w:r w:rsidRPr="00F07AD9">
        <w:rPr>
          <w:sz w:val="24"/>
          <w:szCs w:val="24"/>
        </w:rPr>
        <w:t>, Meve</w:t>
      </w:r>
      <w:r>
        <w:rPr>
          <w:sz w:val="24"/>
          <w:szCs w:val="24"/>
        </w:rPr>
        <w:t>,</w:t>
      </w:r>
      <w:r w:rsidRPr="00F07AD9">
        <w:rPr>
          <w:sz w:val="24"/>
          <w:szCs w:val="24"/>
        </w:rPr>
        <w:t xml:space="preserve"> U</w:t>
      </w:r>
      <w:r>
        <w:rPr>
          <w:sz w:val="24"/>
          <w:szCs w:val="24"/>
        </w:rPr>
        <w:t>.</w:t>
      </w:r>
      <w:r w:rsidRPr="00F07AD9">
        <w:rPr>
          <w:sz w:val="24"/>
          <w:szCs w:val="24"/>
        </w:rPr>
        <w:t>, Liede-Schuman</w:t>
      </w:r>
      <w:r>
        <w:rPr>
          <w:sz w:val="24"/>
          <w:szCs w:val="24"/>
        </w:rPr>
        <w:t>,</w:t>
      </w:r>
      <w:r w:rsidRPr="00F07AD9">
        <w:rPr>
          <w:sz w:val="24"/>
          <w:szCs w:val="24"/>
        </w:rPr>
        <w:t xml:space="preserve"> S</w:t>
      </w:r>
      <w:r>
        <w:rPr>
          <w:sz w:val="24"/>
          <w:szCs w:val="24"/>
        </w:rPr>
        <w:t>.</w:t>
      </w:r>
      <w:r w:rsidRPr="00F07AD9">
        <w:rPr>
          <w:sz w:val="24"/>
          <w:szCs w:val="24"/>
        </w:rPr>
        <w:t xml:space="preserve">, </w:t>
      </w:r>
      <w:r>
        <w:rPr>
          <w:sz w:val="24"/>
          <w:szCs w:val="24"/>
        </w:rPr>
        <w:t xml:space="preserve">&amp; </w:t>
      </w:r>
      <w:r w:rsidRPr="00F07AD9">
        <w:rPr>
          <w:sz w:val="24"/>
          <w:szCs w:val="24"/>
        </w:rPr>
        <w:t>Alejandro</w:t>
      </w:r>
      <w:r>
        <w:rPr>
          <w:sz w:val="24"/>
          <w:szCs w:val="24"/>
        </w:rPr>
        <w:t>,</w:t>
      </w:r>
      <w:r w:rsidRPr="00F07AD9">
        <w:rPr>
          <w:sz w:val="24"/>
          <w:szCs w:val="24"/>
        </w:rPr>
        <w:t xml:space="preserve"> G</w:t>
      </w:r>
      <w:r>
        <w:rPr>
          <w:sz w:val="24"/>
          <w:szCs w:val="24"/>
        </w:rPr>
        <w:t xml:space="preserve">. </w:t>
      </w:r>
      <w:r w:rsidRPr="00F07AD9">
        <w:rPr>
          <w:sz w:val="24"/>
          <w:szCs w:val="24"/>
        </w:rPr>
        <w:t>J</w:t>
      </w:r>
      <w:r>
        <w:rPr>
          <w:sz w:val="24"/>
          <w:szCs w:val="24"/>
        </w:rPr>
        <w:t xml:space="preserve">. </w:t>
      </w:r>
      <w:r w:rsidRPr="00F07AD9">
        <w:rPr>
          <w:sz w:val="24"/>
          <w:szCs w:val="24"/>
        </w:rPr>
        <w:t xml:space="preserve">D. </w:t>
      </w:r>
      <w:r>
        <w:rPr>
          <w:sz w:val="24"/>
          <w:szCs w:val="24"/>
        </w:rPr>
        <w:t>(</w:t>
      </w:r>
      <w:r w:rsidRPr="00F07AD9">
        <w:rPr>
          <w:sz w:val="24"/>
          <w:szCs w:val="24"/>
        </w:rPr>
        <w:t>2020</w:t>
      </w:r>
      <w:r>
        <w:rPr>
          <w:sz w:val="24"/>
          <w:szCs w:val="24"/>
        </w:rPr>
        <w:t>b)</w:t>
      </w:r>
      <w:r w:rsidRPr="00F07AD9">
        <w:rPr>
          <w:sz w:val="24"/>
          <w:szCs w:val="24"/>
        </w:rPr>
        <w:t xml:space="preserve">. Ethnomedicinal plants used for the treatment of cuts and wounds by the </w:t>
      </w:r>
      <w:r w:rsidRPr="00D537C4">
        <w:rPr>
          <w:i/>
          <w:iCs/>
          <w:sz w:val="24"/>
          <w:szCs w:val="24"/>
        </w:rPr>
        <w:lastRenderedPageBreak/>
        <w:t>Agusan Manobo</w:t>
      </w:r>
      <w:r w:rsidRPr="00F07AD9">
        <w:rPr>
          <w:sz w:val="24"/>
          <w:szCs w:val="24"/>
        </w:rPr>
        <w:t xml:space="preserve"> of Sibagat, Agusan del Sur, Philippines. </w:t>
      </w:r>
      <w:r w:rsidRPr="00F07AD9">
        <w:rPr>
          <w:i/>
          <w:iCs/>
          <w:sz w:val="24"/>
          <w:szCs w:val="24"/>
        </w:rPr>
        <w:t>Ethnobotany Research and Applications, 19,</w:t>
      </w:r>
      <w:r w:rsidRPr="00F07AD9">
        <w:rPr>
          <w:sz w:val="24"/>
          <w:szCs w:val="24"/>
        </w:rPr>
        <w:t xml:space="preserve"> 1–18. </w:t>
      </w:r>
      <w:r w:rsidRPr="00186721">
        <w:rPr>
          <w:sz w:val="24"/>
          <w:szCs w:val="24"/>
        </w:rPr>
        <w:t>http://dx.doi.org/10.32859/era.19.31.1-18</w:t>
      </w:r>
      <w:r w:rsidRPr="00F07AD9">
        <w:rPr>
          <w:sz w:val="24"/>
          <w:szCs w:val="24"/>
        </w:rPr>
        <w:t>.</w:t>
      </w:r>
    </w:p>
    <w:p w:rsidR="00BA1CA6" w:rsidRPr="00186721" w:rsidRDefault="00BA1CA6" w:rsidP="00BA1CA6">
      <w:pPr>
        <w:pStyle w:val="ListParagraph"/>
        <w:numPr>
          <w:ilvl w:val="0"/>
          <w:numId w:val="32"/>
        </w:numPr>
        <w:tabs>
          <w:tab w:val="left" w:pos="270"/>
        </w:tabs>
        <w:spacing w:line="480" w:lineRule="auto"/>
        <w:ind w:left="540" w:hanging="540"/>
        <w:jc w:val="both"/>
        <w:rPr>
          <w:bCs/>
          <w:sz w:val="24"/>
          <w:szCs w:val="24"/>
        </w:rPr>
      </w:pPr>
      <w:r w:rsidRPr="00186721">
        <w:rPr>
          <w:sz w:val="24"/>
          <w:szCs w:val="24"/>
        </w:rPr>
        <w:t>Dapar</w:t>
      </w:r>
      <w:r>
        <w:rPr>
          <w:sz w:val="24"/>
          <w:szCs w:val="24"/>
        </w:rPr>
        <w:t>,</w:t>
      </w:r>
      <w:r w:rsidRPr="00186721">
        <w:rPr>
          <w:sz w:val="24"/>
          <w:szCs w:val="24"/>
        </w:rPr>
        <w:t xml:space="preserve"> M</w:t>
      </w:r>
      <w:r>
        <w:rPr>
          <w:sz w:val="24"/>
          <w:szCs w:val="24"/>
        </w:rPr>
        <w:t xml:space="preserve">. </w:t>
      </w:r>
      <w:r w:rsidRPr="00186721">
        <w:rPr>
          <w:sz w:val="24"/>
          <w:szCs w:val="24"/>
        </w:rPr>
        <w:t>L</w:t>
      </w:r>
      <w:r>
        <w:rPr>
          <w:sz w:val="24"/>
          <w:szCs w:val="24"/>
        </w:rPr>
        <w:t xml:space="preserve">. </w:t>
      </w:r>
      <w:r w:rsidRPr="00186721">
        <w:rPr>
          <w:sz w:val="24"/>
          <w:szCs w:val="24"/>
        </w:rPr>
        <w:t>G</w:t>
      </w:r>
      <w:r>
        <w:rPr>
          <w:sz w:val="24"/>
          <w:szCs w:val="24"/>
        </w:rPr>
        <w:t>.</w:t>
      </w:r>
      <w:r w:rsidRPr="00186721">
        <w:rPr>
          <w:sz w:val="24"/>
          <w:szCs w:val="24"/>
        </w:rPr>
        <w:t>, Demayo</w:t>
      </w:r>
      <w:r>
        <w:rPr>
          <w:sz w:val="24"/>
          <w:szCs w:val="24"/>
        </w:rPr>
        <w:t>,</w:t>
      </w:r>
      <w:r w:rsidRPr="00186721">
        <w:rPr>
          <w:sz w:val="24"/>
          <w:szCs w:val="24"/>
        </w:rPr>
        <w:t xml:space="preserve"> C</w:t>
      </w:r>
      <w:r>
        <w:rPr>
          <w:sz w:val="24"/>
          <w:szCs w:val="24"/>
        </w:rPr>
        <w:t xml:space="preserve">. </w:t>
      </w:r>
      <w:r w:rsidRPr="00186721">
        <w:rPr>
          <w:sz w:val="24"/>
          <w:szCs w:val="24"/>
        </w:rPr>
        <w:t xml:space="preserve">G. </w:t>
      </w:r>
      <w:r>
        <w:rPr>
          <w:sz w:val="24"/>
          <w:szCs w:val="24"/>
        </w:rPr>
        <w:t>(</w:t>
      </w:r>
      <w:r w:rsidRPr="00186721">
        <w:rPr>
          <w:sz w:val="24"/>
          <w:szCs w:val="24"/>
        </w:rPr>
        <w:t>2017c</w:t>
      </w:r>
      <w:r>
        <w:rPr>
          <w:sz w:val="24"/>
          <w:szCs w:val="24"/>
        </w:rPr>
        <w:t>)</w:t>
      </w:r>
      <w:r w:rsidRPr="00186721">
        <w:rPr>
          <w:sz w:val="24"/>
          <w:szCs w:val="24"/>
        </w:rPr>
        <w:t xml:space="preserve">. Folk medical uses of Lunas </w:t>
      </w:r>
      <w:r w:rsidRPr="00186721">
        <w:rPr>
          <w:i/>
          <w:iCs/>
          <w:sz w:val="24"/>
          <w:szCs w:val="24"/>
        </w:rPr>
        <w:t xml:space="preserve">Lunasia </w:t>
      </w:r>
      <w:proofErr w:type="spellStart"/>
      <w:r w:rsidRPr="00186721">
        <w:rPr>
          <w:i/>
          <w:iCs/>
          <w:sz w:val="24"/>
          <w:szCs w:val="24"/>
        </w:rPr>
        <w:t>amara</w:t>
      </w:r>
      <w:proofErr w:type="spellEnd"/>
      <w:r w:rsidRPr="00186721">
        <w:rPr>
          <w:i/>
          <w:iCs/>
          <w:sz w:val="24"/>
          <w:szCs w:val="24"/>
        </w:rPr>
        <w:t xml:space="preserve"> </w:t>
      </w:r>
      <w:r w:rsidRPr="00186721">
        <w:rPr>
          <w:sz w:val="24"/>
          <w:szCs w:val="24"/>
        </w:rPr>
        <w:t xml:space="preserve">Blanco by the </w:t>
      </w:r>
      <w:r w:rsidRPr="00186721">
        <w:rPr>
          <w:i/>
          <w:iCs/>
          <w:sz w:val="24"/>
          <w:szCs w:val="24"/>
        </w:rPr>
        <w:t>Manobo</w:t>
      </w:r>
      <w:r w:rsidRPr="00186721">
        <w:rPr>
          <w:sz w:val="24"/>
          <w:szCs w:val="24"/>
        </w:rPr>
        <w:t xml:space="preserve"> people, traditional healers and residents of Agusan del Sur, Philippines. </w:t>
      </w:r>
      <w:r w:rsidRPr="00186721">
        <w:rPr>
          <w:i/>
          <w:iCs/>
          <w:sz w:val="24"/>
          <w:szCs w:val="24"/>
        </w:rPr>
        <w:t>Science International (Lahore)</w:t>
      </w:r>
      <w:r>
        <w:rPr>
          <w:i/>
          <w:iCs/>
          <w:sz w:val="24"/>
          <w:szCs w:val="24"/>
        </w:rPr>
        <w:t>,</w:t>
      </w:r>
      <w:r w:rsidRPr="00186721">
        <w:rPr>
          <w:i/>
          <w:iCs/>
          <w:sz w:val="24"/>
          <w:szCs w:val="24"/>
        </w:rPr>
        <w:t xml:space="preserve"> 29</w:t>
      </w:r>
      <w:r>
        <w:rPr>
          <w:sz w:val="24"/>
          <w:szCs w:val="24"/>
        </w:rPr>
        <w:t xml:space="preserve">, </w:t>
      </w:r>
      <w:r w:rsidRPr="00186721">
        <w:rPr>
          <w:sz w:val="24"/>
          <w:szCs w:val="24"/>
        </w:rPr>
        <w:t>823–26.</w:t>
      </w:r>
    </w:p>
    <w:p w:rsidR="00BA1CA6" w:rsidRPr="00B96896" w:rsidRDefault="00BA1CA6" w:rsidP="00BA1CA6">
      <w:pPr>
        <w:pStyle w:val="ListParagraph"/>
        <w:numPr>
          <w:ilvl w:val="0"/>
          <w:numId w:val="32"/>
        </w:numPr>
        <w:tabs>
          <w:tab w:val="left" w:pos="270"/>
        </w:tabs>
        <w:spacing w:line="480" w:lineRule="auto"/>
        <w:ind w:left="540" w:hanging="540"/>
        <w:jc w:val="both"/>
        <w:rPr>
          <w:bCs/>
          <w:sz w:val="24"/>
          <w:szCs w:val="24"/>
        </w:rPr>
      </w:pPr>
      <w:r w:rsidRPr="002F45E1">
        <w:rPr>
          <w:sz w:val="24"/>
          <w:szCs w:val="24"/>
        </w:rPr>
        <w:t>Dapar, M.</w:t>
      </w:r>
      <w:r>
        <w:rPr>
          <w:sz w:val="24"/>
          <w:szCs w:val="24"/>
        </w:rPr>
        <w:t xml:space="preserve"> </w:t>
      </w:r>
      <w:r w:rsidRPr="002F45E1">
        <w:rPr>
          <w:sz w:val="24"/>
          <w:szCs w:val="24"/>
        </w:rPr>
        <w:t>L.</w:t>
      </w:r>
      <w:r>
        <w:rPr>
          <w:sz w:val="24"/>
          <w:szCs w:val="24"/>
        </w:rPr>
        <w:t xml:space="preserve"> </w:t>
      </w:r>
      <w:r w:rsidRPr="002F45E1">
        <w:rPr>
          <w:sz w:val="24"/>
          <w:szCs w:val="24"/>
        </w:rPr>
        <w:t>G., Demayo, C.</w:t>
      </w:r>
      <w:r>
        <w:rPr>
          <w:sz w:val="24"/>
          <w:szCs w:val="24"/>
        </w:rPr>
        <w:t xml:space="preserve"> </w:t>
      </w:r>
      <w:r w:rsidRPr="002F45E1">
        <w:rPr>
          <w:sz w:val="24"/>
          <w:szCs w:val="24"/>
        </w:rPr>
        <w:t xml:space="preserve">G., Meve, U., Liede-Schuman, S., </w:t>
      </w:r>
      <w:r>
        <w:rPr>
          <w:sz w:val="24"/>
          <w:szCs w:val="24"/>
        </w:rPr>
        <w:t xml:space="preserve">&amp; </w:t>
      </w:r>
      <w:r w:rsidRPr="002F45E1">
        <w:rPr>
          <w:sz w:val="24"/>
          <w:szCs w:val="24"/>
        </w:rPr>
        <w:t>Alejandro, G.</w:t>
      </w:r>
      <w:r>
        <w:rPr>
          <w:sz w:val="24"/>
          <w:szCs w:val="24"/>
        </w:rPr>
        <w:t xml:space="preserve"> </w:t>
      </w:r>
      <w:r w:rsidRPr="002F45E1">
        <w:rPr>
          <w:sz w:val="24"/>
          <w:szCs w:val="24"/>
        </w:rPr>
        <w:t>J.</w:t>
      </w:r>
      <w:r>
        <w:rPr>
          <w:sz w:val="24"/>
          <w:szCs w:val="24"/>
        </w:rPr>
        <w:t xml:space="preserve"> </w:t>
      </w:r>
      <w:r w:rsidRPr="002F45E1">
        <w:rPr>
          <w:sz w:val="24"/>
          <w:szCs w:val="24"/>
        </w:rPr>
        <w:t>D.</w:t>
      </w:r>
      <w:r>
        <w:rPr>
          <w:sz w:val="24"/>
          <w:szCs w:val="24"/>
        </w:rPr>
        <w:t xml:space="preserve"> (</w:t>
      </w:r>
      <w:r w:rsidRPr="002F45E1">
        <w:rPr>
          <w:sz w:val="24"/>
          <w:szCs w:val="24"/>
        </w:rPr>
        <w:t>2020</w:t>
      </w:r>
      <w:r>
        <w:rPr>
          <w:sz w:val="24"/>
          <w:szCs w:val="24"/>
        </w:rPr>
        <w:t>d)</w:t>
      </w:r>
      <w:r w:rsidRPr="002F45E1">
        <w:rPr>
          <w:sz w:val="24"/>
          <w:szCs w:val="24"/>
        </w:rPr>
        <w:t xml:space="preserve">. Molecular confirmation, constituents and cytotoxicity evaluation of two medicinal </w:t>
      </w:r>
      <w:r w:rsidRPr="002F45E1">
        <w:rPr>
          <w:i/>
          <w:iCs/>
          <w:sz w:val="24"/>
          <w:szCs w:val="24"/>
        </w:rPr>
        <w:t>Piper</w:t>
      </w:r>
      <w:r w:rsidRPr="002F45E1">
        <w:rPr>
          <w:sz w:val="24"/>
          <w:szCs w:val="24"/>
        </w:rPr>
        <w:t xml:space="preserve"> species used by the </w:t>
      </w:r>
      <w:r w:rsidRPr="002F45E1">
        <w:rPr>
          <w:i/>
          <w:iCs/>
          <w:sz w:val="24"/>
          <w:szCs w:val="24"/>
        </w:rPr>
        <w:t>Manobo</w:t>
      </w:r>
      <w:r w:rsidRPr="002F45E1">
        <w:rPr>
          <w:sz w:val="24"/>
          <w:szCs w:val="24"/>
        </w:rPr>
        <w:t xml:space="preserve"> tribe of Agusan del Sur. Philippines. </w:t>
      </w:r>
      <w:r w:rsidRPr="002F45E1">
        <w:rPr>
          <w:i/>
          <w:iCs/>
          <w:sz w:val="24"/>
          <w:szCs w:val="24"/>
        </w:rPr>
        <w:t xml:space="preserve">Phytochemistry Letters, 36, </w:t>
      </w:r>
      <w:r w:rsidRPr="002F45E1">
        <w:rPr>
          <w:sz w:val="24"/>
          <w:szCs w:val="24"/>
        </w:rPr>
        <w:t>24–31. https://doi.org/10.1016/j.phytol. 2020.01.017.</w:t>
      </w:r>
    </w:p>
    <w:p w:rsidR="00BA1CA6" w:rsidRPr="008868E5" w:rsidRDefault="00BA1CA6" w:rsidP="00BA1CA6">
      <w:pPr>
        <w:pStyle w:val="ListParagraph"/>
        <w:numPr>
          <w:ilvl w:val="0"/>
          <w:numId w:val="32"/>
        </w:numPr>
        <w:tabs>
          <w:tab w:val="left" w:pos="270"/>
        </w:tabs>
        <w:spacing w:line="480" w:lineRule="auto"/>
        <w:ind w:left="540" w:hanging="540"/>
        <w:jc w:val="both"/>
        <w:rPr>
          <w:bCs/>
          <w:sz w:val="24"/>
          <w:szCs w:val="24"/>
        </w:rPr>
      </w:pPr>
      <w:r w:rsidRPr="00B96896">
        <w:rPr>
          <w:sz w:val="24"/>
          <w:szCs w:val="24"/>
        </w:rPr>
        <w:t>Dapar</w:t>
      </w:r>
      <w:r>
        <w:rPr>
          <w:sz w:val="24"/>
          <w:szCs w:val="24"/>
        </w:rPr>
        <w:t>,</w:t>
      </w:r>
      <w:r w:rsidRPr="00B96896">
        <w:rPr>
          <w:sz w:val="24"/>
          <w:szCs w:val="24"/>
        </w:rPr>
        <w:t xml:space="preserve"> M</w:t>
      </w:r>
      <w:r>
        <w:rPr>
          <w:sz w:val="24"/>
          <w:szCs w:val="24"/>
        </w:rPr>
        <w:t xml:space="preserve">. </w:t>
      </w:r>
      <w:r w:rsidRPr="00B96896">
        <w:rPr>
          <w:sz w:val="24"/>
          <w:szCs w:val="24"/>
        </w:rPr>
        <w:t>L</w:t>
      </w:r>
      <w:r>
        <w:rPr>
          <w:sz w:val="24"/>
          <w:szCs w:val="24"/>
        </w:rPr>
        <w:t xml:space="preserve">. </w:t>
      </w:r>
      <w:r w:rsidRPr="00B96896">
        <w:rPr>
          <w:sz w:val="24"/>
          <w:szCs w:val="24"/>
        </w:rPr>
        <w:t>G</w:t>
      </w:r>
      <w:r>
        <w:rPr>
          <w:sz w:val="24"/>
          <w:szCs w:val="24"/>
        </w:rPr>
        <w:t>.</w:t>
      </w:r>
      <w:r w:rsidRPr="00B96896">
        <w:rPr>
          <w:sz w:val="24"/>
          <w:szCs w:val="24"/>
        </w:rPr>
        <w:t>, Demayo</w:t>
      </w:r>
      <w:r>
        <w:rPr>
          <w:sz w:val="24"/>
          <w:szCs w:val="24"/>
        </w:rPr>
        <w:t>,</w:t>
      </w:r>
      <w:r w:rsidRPr="00B96896">
        <w:rPr>
          <w:sz w:val="24"/>
          <w:szCs w:val="24"/>
        </w:rPr>
        <w:t xml:space="preserve"> C</w:t>
      </w:r>
      <w:r>
        <w:rPr>
          <w:sz w:val="24"/>
          <w:szCs w:val="24"/>
        </w:rPr>
        <w:t xml:space="preserve">. </w:t>
      </w:r>
      <w:r w:rsidRPr="00B96896">
        <w:rPr>
          <w:sz w:val="24"/>
          <w:szCs w:val="24"/>
        </w:rPr>
        <w:t>G</w:t>
      </w:r>
      <w:r>
        <w:rPr>
          <w:sz w:val="24"/>
          <w:szCs w:val="24"/>
        </w:rPr>
        <w:t xml:space="preserve">. </w:t>
      </w:r>
      <w:r w:rsidRPr="00B96896">
        <w:rPr>
          <w:sz w:val="24"/>
          <w:szCs w:val="24"/>
        </w:rPr>
        <w:t>D</w:t>
      </w:r>
      <w:r>
        <w:rPr>
          <w:sz w:val="24"/>
          <w:szCs w:val="24"/>
        </w:rPr>
        <w:t>.</w:t>
      </w:r>
      <w:r w:rsidRPr="00B96896">
        <w:rPr>
          <w:sz w:val="24"/>
          <w:szCs w:val="24"/>
        </w:rPr>
        <w:t xml:space="preserve">, </w:t>
      </w:r>
      <w:r>
        <w:rPr>
          <w:sz w:val="24"/>
          <w:szCs w:val="24"/>
        </w:rPr>
        <w:t xml:space="preserve">&amp; </w:t>
      </w:r>
      <w:proofErr w:type="spellStart"/>
      <w:r w:rsidRPr="00B96896">
        <w:rPr>
          <w:sz w:val="24"/>
          <w:szCs w:val="24"/>
        </w:rPr>
        <w:t>Senarath</w:t>
      </w:r>
      <w:proofErr w:type="spellEnd"/>
      <w:r>
        <w:rPr>
          <w:sz w:val="24"/>
          <w:szCs w:val="24"/>
        </w:rPr>
        <w:t>,</w:t>
      </w:r>
      <w:r w:rsidRPr="00B96896">
        <w:rPr>
          <w:sz w:val="24"/>
          <w:szCs w:val="24"/>
        </w:rPr>
        <w:t xml:space="preserve"> W</w:t>
      </w:r>
      <w:r>
        <w:rPr>
          <w:sz w:val="24"/>
          <w:szCs w:val="24"/>
        </w:rPr>
        <w:t xml:space="preserve">. </w:t>
      </w:r>
      <w:r w:rsidRPr="00B96896">
        <w:rPr>
          <w:sz w:val="24"/>
          <w:szCs w:val="24"/>
        </w:rPr>
        <w:t>T</w:t>
      </w:r>
      <w:r>
        <w:rPr>
          <w:sz w:val="24"/>
          <w:szCs w:val="24"/>
        </w:rPr>
        <w:t xml:space="preserve">. </w:t>
      </w:r>
      <w:r w:rsidRPr="00B96896">
        <w:rPr>
          <w:sz w:val="24"/>
          <w:szCs w:val="24"/>
        </w:rPr>
        <w:t>P</w:t>
      </w:r>
      <w:r>
        <w:rPr>
          <w:sz w:val="24"/>
          <w:szCs w:val="24"/>
        </w:rPr>
        <w:t xml:space="preserve">. </w:t>
      </w:r>
      <w:r w:rsidRPr="00B96896">
        <w:rPr>
          <w:sz w:val="24"/>
          <w:szCs w:val="24"/>
        </w:rPr>
        <w:t>S</w:t>
      </w:r>
      <w:r>
        <w:rPr>
          <w:sz w:val="24"/>
          <w:szCs w:val="24"/>
        </w:rPr>
        <w:t xml:space="preserve">. </w:t>
      </w:r>
      <w:r w:rsidRPr="00B96896">
        <w:rPr>
          <w:sz w:val="24"/>
          <w:szCs w:val="24"/>
        </w:rPr>
        <w:t>K</w:t>
      </w:r>
      <w:r>
        <w:rPr>
          <w:sz w:val="24"/>
          <w:szCs w:val="24"/>
        </w:rPr>
        <w:t>.</w:t>
      </w:r>
      <w:r w:rsidRPr="00B96896">
        <w:rPr>
          <w:sz w:val="24"/>
          <w:szCs w:val="24"/>
        </w:rPr>
        <w:t xml:space="preserve"> </w:t>
      </w:r>
      <w:r>
        <w:rPr>
          <w:sz w:val="24"/>
          <w:szCs w:val="24"/>
        </w:rPr>
        <w:t>(</w:t>
      </w:r>
      <w:r w:rsidRPr="00B96896">
        <w:rPr>
          <w:sz w:val="24"/>
          <w:szCs w:val="24"/>
        </w:rPr>
        <w:t>2018</w:t>
      </w:r>
      <w:r>
        <w:rPr>
          <w:sz w:val="24"/>
          <w:szCs w:val="24"/>
        </w:rPr>
        <w:t>e)</w:t>
      </w:r>
      <w:r w:rsidRPr="00B96896">
        <w:rPr>
          <w:sz w:val="24"/>
          <w:szCs w:val="24"/>
        </w:rPr>
        <w:t xml:space="preserve">. Antimicrobial and cellular metabolic inhibitory properties of the ethanolic extract from the bark of </w:t>
      </w:r>
      <w:r w:rsidR="00972FE6">
        <w:rPr>
          <w:sz w:val="24"/>
          <w:szCs w:val="24"/>
        </w:rPr>
        <w:t>‘</w:t>
      </w:r>
      <w:r w:rsidRPr="00B96896">
        <w:rPr>
          <w:sz w:val="24"/>
          <w:szCs w:val="24"/>
        </w:rPr>
        <w:t>Lunas-Bagon</w:t>
      </w:r>
      <w:r w:rsidR="00972FE6">
        <w:rPr>
          <w:sz w:val="24"/>
          <w:szCs w:val="24"/>
        </w:rPr>
        <w:t>’</w:t>
      </w:r>
      <w:r w:rsidRPr="00B96896">
        <w:rPr>
          <w:sz w:val="24"/>
          <w:szCs w:val="24"/>
        </w:rPr>
        <w:t xml:space="preserve"> (</w:t>
      </w:r>
      <w:r w:rsidRPr="00B96896">
        <w:rPr>
          <w:i/>
          <w:iCs/>
          <w:sz w:val="24"/>
          <w:szCs w:val="24"/>
        </w:rPr>
        <w:t>Lunasia</w:t>
      </w:r>
      <w:r w:rsidRPr="00B96896">
        <w:rPr>
          <w:sz w:val="24"/>
          <w:szCs w:val="24"/>
        </w:rPr>
        <w:t xml:space="preserve"> sp.). </w:t>
      </w:r>
      <w:r w:rsidRPr="00CA44DE">
        <w:rPr>
          <w:i/>
          <w:iCs/>
          <w:sz w:val="24"/>
          <w:szCs w:val="24"/>
        </w:rPr>
        <w:t>International Journal of Pharmaceutical Sciences and Research, 9,</w:t>
      </w:r>
      <w:r>
        <w:rPr>
          <w:sz w:val="24"/>
          <w:szCs w:val="24"/>
        </w:rPr>
        <w:t xml:space="preserve"> </w:t>
      </w:r>
      <w:r w:rsidRPr="00B96896">
        <w:rPr>
          <w:sz w:val="24"/>
          <w:szCs w:val="24"/>
        </w:rPr>
        <w:t>88–97. https://doi. org/10.13040/IJPSR.0975-8232.9(1).88-97.</w:t>
      </w:r>
    </w:p>
    <w:p w:rsidR="00BA1CA6" w:rsidRPr="008868E5" w:rsidRDefault="00BA1CA6" w:rsidP="00BA1CA6">
      <w:pPr>
        <w:pStyle w:val="ListParagraph"/>
        <w:numPr>
          <w:ilvl w:val="0"/>
          <w:numId w:val="32"/>
        </w:numPr>
        <w:tabs>
          <w:tab w:val="left" w:pos="270"/>
        </w:tabs>
        <w:spacing w:line="480" w:lineRule="auto"/>
        <w:ind w:left="540" w:hanging="540"/>
        <w:rPr>
          <w:bCs/>
          <w:sz w:val="24"/>
          <w:szCs w:val="24"/>
        </w:rPr>
      </w:pPr>
      <w:proofErr w:type="spellStart"/>
      <w:r w:rsidRPr="00C87C8D">
        <w:rPr>
          <w:bCs/>
          <w:sz w:val="24"/>
          <w:szCs w:val="24"/>
        </w:rPr>
        <w:t>Sobrevila</w:t>
      </w:r>
      <w:proofErr w:type="spellEnd"/>
      <w:r w:rsidRPr="00C87C8D">
        <w:rPr>
          <w:bCs/>
          <w:sz w:val="24"/>
          <w:szCs w:val="24"/>
        </w:rPr>
        <w:t xml:space="preserve">, C. (2008). </w:t>
      </w:r>
      <w:r w:rsidRPr="00C87C8D">
        <w:rPr>
          <w:bCs/>
          <w:i/>
          <w:iCs/>
          <w:sz w:val="24"/>
          <w:szCs w:val="24"/>
        </w:rPr>
        <w:t>The role of indigenous peoples in biodiversity conservation. discussion paper</w:t>
      </w:r>
      <w:r w:rsidRPr="00C87C8D">
        <w:rPr>
          <w:bCs/>
          <w:sz w:val="24"/>
          <w:szCs w:val="24"/>
        </w:rPr>
        <w:t xml:space="preserve">. The International Bank for Reconstruction and Development / The World Bank. Washington </w:t>
      </w:r>
      <w:r w:rsidR="00972FE6">
        <w:rPr>
          <w:bCs/>
          <w:sz w:val="24"/>
          <w:szCs w:val="24"/>
        </w:rPr>
        <w:t>DC</w:t>
      </w:r>
      <w:r w:rsidRPr="00C87C8D">
        <w:rPr>
          <w:bCs/>
          <w:sz w:val="24"/>
          <w:szCs w:val="24"/>
        </w:rPr>
        <w:t xml:space="preserve"> https://siteresources.worldbank.org/INTBIODIVERSITY/Resources/RoleofIndigenousPeoplesinBiodiversityConservation.pdf.</w:t>
      </w:r>
    </w:p>
    <w:p w:rsidR="00136AD3" w:rsidRDefault="00136AD3" w:rsidP="005A08DF">
      <w:pPr>
        <w:rPr>
          <w:bCs/>
        </w:rPr>
      </w:pPr>
    </w:p>
    <w:p w:rsidR="00BA1CA6" w:rsidRDefault="00BA1CA6" w:rsidP="005A08DF">
      <w:pPr>
        <w:rPr>
          <w:bCs/>
        </w:rPr>
      </w:pPr>
    </w:p>
    <w:p w:rsidR="00BA1CA6" w:rsidRDefault="00BA1CA6" w:rsidP="005A08DF">
      <w:pPr>
        <w:rPr>
          <w:bCs/>
        </w:rPr>
      </w:pPr>
    </w:p>
    <w:p w:rsidR="00BA1CA6" w:rsidRDefault="00BA1CA6" w:rsidP="005A08DF">
      <w:pPr>
        <w:rPr>
          <w:bCs/>
        </w:rPr>
      </w:pPr>
    </w:p>
    <w:p w:rsidR="00BA1CA6" w:rsidRDefault="00BA1CA6" w:rsidP="005A08DF">
      <w:pPr>
        <w:rPr>
          <w:bCs/>
        </w:rPr>
      </w:pPr>
    </w:p>
    <w:p w:rsidR="00A93696" w:rsidRPr="00E148FB" w:rsidRDefault="00A93696" w:rsidP="005A08DF">
      <w:pPr>
        <w:rPr>
          <w:bCs/>
        </w:rPr>
      </w:pPr>
    </w:p>
    <w:p w:rsidR="00136AD3" w:rsidRPr="00E148FB" w:rsidRDefault="00136AD3" w:rsidP="00136AD3">
      <w:pPr>
        <w:spacing w:before="100" w:beforeAutospacing="1" w:after="100" w:afterAutospacing="1"/>
        <w:rPr>
          <w:b/>
          <w:bCs/>
          <w:lang w:val="en-US"/>
        </w:rPr>
      </w:pPr>
      <w:r w:rsidRPr="00E148FB">
        <w:rPr>
          <w:b/>
          <w:bCs/>
          <w:lang w:val="en-US"/>
        </w:rPr>
        <w:lastRenderedPageBreak/>
        <w:t>List of Figures</w:t>
      </w:r>
    </w:p>
    <w:p w:rsidR="00136AD3" w:rsidRPr="00E148FB" w:rsidRDefault="00136AD3" w:rsidP="007F14E3">
      <w:pPr>
        <w:pStyle w:val="ListParagraph"/>
        <w:spacing w:line="480" w:lineRule="auto"/>
        <w:ind w:left="0"/>
        <w:jc w:val="both"/>
        <w:rPr>
          <w:bCs/>
          <w:sz w:val="24"/>
          <w:szCs w:val="24"/>
        </w:rPr>
      </w:pPr>
      <w:r w:rsidRPr="00E148FB">
        <w:rPr>
          <w:b/>
          <w:sz w:val="24"/>
          <w:szCs w:val="24"/>
        </w:rPr>
        <w:t>Figure 1</w:t>
      </w:r>
      <w:r w:rsidRPr="00E148FB">
        <w:rPr>
          <w:bCs/>
          <w:sz w:val="24"/>
          <w:szCs w:val="24"/>
        </w:rPr>
        <w:t>. Location map of Esperanza (outlined in red), Agusan del Sur (outlined in black), Philippines (left).</w:t>
      </w:r>
    </w:p>
    <w:p w:rsidR="00136AD3" w:rsidRPr="00E148FB" w:rsidRDefault="00136AD3" w:rsidP="007F14E3">
      <w:pPr>
        <w:pStyle w:val="ListParagraph"/>
        <w:spacing w:line="480" w:lineRule="auto"/>
        <w:ind w:left="0"/>
        <w:jc w:val="both"/>
        <w:rPr>
          <w:bCs/>
          <w:sz w:val="24"/>
          <w:szCs w:val="24"/>
        </w:rPr>
      </w:pPr>
    </w:p>
    <w:p w:rsidR="00136AD3" w:rsidRPr="00E148FB" w:rsidRDefault="00136AD3" w:rsidP="007F14E3">
      <w:pPr>
        <w:jc w:val="both"/>
        <w:rPr>
          <w:bCs/>
        </w:rPr>
      </w:pPr>
      <w:r w:rsidRPr="00E148FB">
        <w:rPr>
          <w:b/>
        </w:rPr>
        <w:t>Figure 2.</w:t>
      </w:r>
      <w:r w:rsidRPr="00E148FB">
        <w:rPr>
          <w:bCs/>
        </w:rPr>
        <w:t xml:space="preserve"> </w:t>
      </w:r>
      <w:r w:rsidR="006A2925">
        <w:rPr>
          <w:bCs/>
        </w:rPr>
        <w:t>A combined</w:t>
      </w:r>
      <w:r w:rsidRPr="00E148FB">
        <w:rPr>
          <w:bCs/>
        </w:rPr>
        <w:t xml:space="preserve"> conservation assessment of tree species based on the international data of IUCN, and the national data of DENR and CDFP.</w:t>
      </w:r>
    </w:p>
    <w:p w:rsidR="00136AD3" w:rsidRPr="00E148FB" w:rsidRDefault="00136AD3" w:rsidP="007F14E3">
      <w:pPr>
        <w:jc w:val="both"/>
        <w:rPr>
          <w:bCs/>
        </w:rPr>
      </w:pPr>
    </w:p>
    <w:p w:rsidR="00136AD3" w:rsidRDefault="00136AD3" w:rsidP="007F14E3">
      <w:pPr>
        <w:jc w:val="both"/>
        <w:rPr>
          <w:bCs/>
        </w:rPr>
      </w:pPr>
      <w:r w:rsidRPr="00E148FB">
        <w:rPr>
          <w:b/>
        </w:rPr>
        <w:t>Figure 3.</w:t>
      </w:r>
      <w:r w:rsidRPr="00E148FB">
        <w:rPr>
          <w:bCs/>
        </w:rPr>
        <w:t xml:space="preserve"> Habit of (A) </w:t>
      </w:r>
      <w:r w:rsidRPr="00E148FB">
        <w:rPr>
          <w:bCs/>
          <w:i/>
          <w:iCs/>
        </w:rPr>
        <w:t>Cinnamomum mercadoi</w:t>
      </w:r>
      <w:r w:rsidRPr="00E148FB">
        <w:rPr>
          <w:bCs/>
        </w:rPr>
        <w:t xml:space="preserve"> </w:t>
      </w:r>
      <w:proofErr w:type="gramStart"/>
      <w:r w:rsidRPr="00E148FB">
        <w:rPr>
          <w:bCs/>
        </w:rPr>
        <w:t>S.Vidal</w:t>
      </w:r>
      <w:proofErr w:type="gramEnd"/>
      <w:r w:rsidRPr="00E148FB">
        <w:rPr>
          <w:bCs/>
        </w:rPr>
        <w:t xml:space="preserve"> “Kaningag” and (B) </w:t>
      </w:r>
      <w:r w:rsidRPr="00E148FB">
        <w:rPr>
          <w:bCs/>
          <w:i/>
          <w:iCs/>
        </w:rPr>
        <w:t>Ficus concinna</w:t>
      </w:r>
      <w:r w:rsidRPr="00E148FB">
        <w:rPr>
          <w:bCs/>
        </w:rPr>
        <w:t xml:space="preserve"> (Miq.) Miq. “Balete”.</w:t>
      </w:r>
    </w:p>
    <w:p w:rsidR="00136AD3" w:rsidRDefault="00136AD3" w:rsidP="00136AD3">
      <w:pPr>
        <w:pStyle w:val="ListParagraph"/>
        <w:spacing w:line="480" w:lineRule="auto"/>
        <w:ind w:left="0"/>
        <w:rPr>
          <w:bCs/>
          <w:sz w:val="24"/>
          <w:szCs w:val="24"/>
        </w:rPr>
      </w:pPr>
    </w:p>
    <w:p w:rsidR="00136AD3" w:rsidRPr="001B16DD" w:rsidRDefault="00136AD3" w:rsidP="00136AD3">
      <w:pPr>
        <w:pStyle w:val="ListParagraph"/>
        <w:spacing w:line="480" w:lineRule="auto"/>
        <w:ind w:left="0"/>
        <w:rPr>
          <w:bCs/>
          <w:sz w:val="24"/>
          <w:szCs w:val="24"/>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136AD3">
      <w:pPr>
        <w:rPr>
          <w:bCs/>
        </w:rPr>
      </w:pPr>
    </w:p>
    <w:p w:rsidR="00136AD3" w:rsidRDefault="00136AD3" w:rsidP="005A08DF">
      <w:pPr>
        <w:rPr>
          <w:bCs/>
        </w:rPr>
      </w:pPr>
    </w:p>
    <w:sectPr w:rsidR="00136AD3" w:rsidSect="00074B81">
      <w:head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2D2" w:rsidRDefault="00D842D2" w:rsidP="00AF2C92">
      <w:r>
        <w:separator/>
      </w:r>
    </w:p>
  </w:endnote>
  <w:endnote w:type="continuationSeparator" w:id="0">
    <w:p w:rsidR="00D842D2" w:rsidRDefault="00D842D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2D2" w:rsidRDefault="00D842D2" w:rsidP="00AF2C92">
      <w:r>
        <w:separator/>
      </w:r>
    </w:p>
  </w:footnote>
  <w:footnote w:type="continuationSeparator" w:id="0">
    <w:p w:rsidR="00D842D2" w:rsidRDefault="00D842D2"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FA0" w:rsidRPr="007164F3" w:rsidRDefault="009D4FA0" w:rsidP="007164F3">
    <w:pPr>
      <w:spacing w:before="100" w:beforeAutospacing="1" w:after="100" w:afterAutospacing="1"/>
      <w:rPr>
        <w:lang w:val="en-US"/>
      </w:rPr>
    </w:pPr>
    <w:r w:rsidRPr="007164F3">
      <w:rPr>
        <w:sz w:val="16"/>
        <w:szCs w:val="16"/>
        <w:lang w:val="en-US"/>
      </w:rPr>
      <w:t>JOURNAL OF COMPLEMENTARY MEDICINE RESEARCH,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E41254"/>
    <w:multiLevelType w:val="hybridMultilevel"/>
    <w:tmpl w:val="A83C7E86"/>
    <w:lvl w:ilvl="0" w:tplc="3DE26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A2707"/>
    <w:multiLevelType w:val="hybridMultilevel"/>
    <w:tmpl w:val="A43C0048"/>
    <w:lvl w:ilvl="0" w:tplc="11D0C5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4"/>
  </w:num>
  <w:num w:numId="28">
    <w:abstractNumId w:val="21"/>
  </w:num>
  <w:num w:numId="29">
    <w:abstractNumId w:val="13"/>
  </w:num>
  <w:num w:numId="30">
    <w:abstractNumId w:val="25"/>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A5"/>
    <w:rsid w:val="00001899"/>
    <w:rsid w:val="000049AD"/>
    <w:rsid w:val="0000681B"/>
    <w:rsid w:val="000133C0"/>
    <w:rsid w:val="00014C4E"/>
    <w:rsid w:val="00017107"/>
    <w:rsid w:val="000202E2"/>
    <w:rsid w:val="00022441"/>
    <w:rsid w:val="0002261E"/>
    <w:rsid w:val="00024839"/>
    <w:rsid w:val="00026871"/>
    <w:rsid w:val="000270C8"/>
    <w:rsid w:val="00027ABB"/>
    <w:rsid w:val="00030F1F"/>
    <w:rsid w:val="00031854"/>
    <w:rsid w:val="00037A98"/>
    <w:rsid w:val="000427FB"/>
    <w:rsid w:val="0004455E"/>
    <w:rsid w:val="00047CB5"/>
    <w:rsid w:val="00050033"/>
    <w:rsid w:val="00051FAA"/>
    <w:rsid w:val="000572A9"/>
    <w:rsid w:val="00061325"/>
    <w:rsid w:val="000733AC"/>
    <w:rsid w:val="00074B81"/>
    <w:rsid w:val="00074D22"/>
    <w:rsid w:val="00075081"/>
    <w:rsid w:val="0007528A"/>
    <w:rsid w:val="00075E57"/>
    <w:rsid w:val="000811AB"/>
    <w:rsid w:val="00083C5F"/>
    <w:rsid w:val="00086DA5"/>
    <w:rsid w:val="0009172C"/>
    <w:rsid w:val="000930EC"/>
    <w:rsid w:val="00095E61"/>
    <w:rsid w:val="000966C1"/>
    <w:rsid w:val="000967D0"/>
    <w:rsid w:val="000970AC"/>
    <w:rsid w:val="000A1167"/>
    <w:rsid w:val="000A4428"/>
    <w:rsid w:val="000A6D40"/>
    <w:rsid w:val="000A7014"/>
    <w:rsid w:val="000A7BC3"/>
    <w:rsid w:val="000B1661"/>
    <w:rsid w:val="000B1F0B"/>
    <w:rsid w:val="000B2E88"/>
    <w:rsid w:val="000B4603"/>
    <w:rsid w:val="000C09BE"/>
    <w:rsid w:val="000C1380"/>
    <w:rsid w:val="000C554F"/>
    <w:rsid w:val="000C5B4D"/>
    <w:rsid w:val="000C6553"/>
    <w:rsid w:val="000D0DC5"/>
    <w:rsid w:val="000D15FF"/>
    <w:rsid w:val="000D28DF"/>
    <w:rsid w:val="000D488B"/>
    <w:rsid w:val="000D68DF"/>
    <w:rsid w:val="000E138D"/>
    <w:rsid w:val="000E187A"/>
    <w:rsid w:val="000E2D61"/>
    <w:rsid w:val="000E450E"/>
    <w:rsid w:val="000E6259"/>
    <w:rsid w:val="000E6D03"/>
    <w:rsid w:val="000E730F"/>
    <w:rsid w:val="000F0B79"/>
    <w:rsid w:val="000F4677"/>
    <w:rsid w:val="000F5BE0"/>
    <w:rsid w:val="00100587"/>
    <w:rsid w:val="0010284E"/>
    <w:rsid w:val="00103122"/>
    <w:rsid w:val="0010336A"/>
    <w:rsid w:val="001050F1"/>
    <w:rsid w:val="00105AEA"/>
    <w:rsid w:val="00106DAF"/>
    <w:rsid w:val="00107FA1"/>
    <w:rsid w:val="00112E87"/>
    <w:rsid w:val="00113B9F"/>
    <w:rsid w:val="001141A4"/>
    <w:rsid w:val="00114ABE"/>
    <w:rsid w:val="00116023"/>
    <w:rsid w:val="00132DF3"/>
    <w:rsid w:val="00133B3D"/>
    <w:rsid w:val="00134A51"/>
    <w:rsid w:val="00136AD3"/>
    <w:rsid w:val="00140727"/>
    <w:rsid w:val="00155F13"/>
    <w:rsid w:val="00160628"/>
    <w:rsid w:val="001612F8"/>
    <w:rsid w:val="00161344"/>
    <w:rsid w:val="00162195"/>
    <w:rsid w:val="0016322A"/>
    <w:rsid w:val="00165A21"/>
    <w:rsid w:val="001705CE"/>
    <w:rsid w:val="00176610"/>
    <w:rsid w:val="0017714B"/>
    <w:rsid w:val="001804DF"/>
    <w:rsid w:val="00181BDC"/>
    <w:rsid w:val="00181DB0"/>
    <w:rsid w:val="001829E3"/>
    <w:rsid w:val="001924C0"/>
    <w:rsid w:val="001943B8"/>
    <w:rsid w:val="0019731E"/>
    <w:rsid w:val="001A064C"/>
    <w:rsid w:val="001A09FE"/>
    <w:rsid w:val="001A67C9"/>
    <w:rsid w:val="001A69DE"/>
    <w:rsid w:val="001A713C"/>
    <w:rsid w:val="001B1C7C"/>
    <w:rsid w:val="001B398F"/>
    <w:rsid w:val="001B46C6"/>
    <w:rsid w:val="001B4B48"/>
    <w:rsid w:val="001B4D1F"/>
    <w:rsid w:val="001B7474"/>
    <w:rsid w:val="001B7681"/>
    <w:rsid w:val="001B7CAE"/>
    <w:rsid w:val="001C0772"/>
    <w:rsid w:val="001C0D4F"/>
    <w:rsid w:val="001C1BA3"/>
    <w:rsid w:val="001C1DEC"/>
    <w:rsid w:val="001C1FA5"/>
    <w:rsid w:val="001C30DE"/>
    <w:rsid w:val="001C5736"/>
    <w:rsid w:val="001D647F"/>
    <w:rsid w:val="001D6857"/>
    <w:rsid w:val="001E0572"/>
    <w:rsid w:val="001E0A67"/>
    <w:rsid w:val="001E1028"/>
    <w:rsid w:val="001E14E2"/>
    <w:rsid w:val="001E6302"/>
    <w:rsid w:val="001E7DCB"/>
    <w:rsid w:val="001F3411"/>
    <w:rsid w:val="001F4287"/>
    <w:rsid w:val="001F4DBA"/>
    <w:rsid w:val="001F6263"/>
    <w:rsid w:val="0020415E"/>
    <w:rsid w:val="00204FF4"/>
    <w:rsid w:val="0021056E"/>
    <w:rsid w:val="0021075D"/>
    <w:rsid w:val="0021165A"/>
    <w:rsid w:val="00211BC9"/>
    <w:rsid w:val="00212784"/>
    <w:rsid w:val="0021295B"/>
    <w:rsid w:val="0021620C"/>
    <w:rsid w:val="00216E78"/>
    <w:rsid w:val="00217275"/>
    <w:rsid w:val="002211DD"/>
    <w:rsid w:val="00223B99"/>
    <w:rsid w:val="00225641"/>
    <w:rsid w:val="00227A83"/>
    <w:rsid w:val="00236F4B"/>
    <w:rsid w:val="0024164F"/>
    <w:rsid w:val="00242B0D"/>
    <w:rsid w:val="002467C6"/>
    <w:rsid w:val="0024692A"/>
    <w:rsid w:val="002477EF"/>
    <w:rsid w:val="00252BBA"/>
    <w:rsid w:val="00253123"/>
    <w:rsid w:val="00264001"/>
    <w:rsid w:val="00264586"/>
    <w:rsid w:val="00266354"/>
    <w:rsid w:val="00267A18"/>
    <w:rsid w:val="00271DEA"/>
    <w:rsid w:val="00273462"/>
    <w:rsid w:val="0027395B"/>
    <w:rsid w:val="00275854"/>
    <w:rsid w:val="00283B41"/>
    <w:rsid w:val="00285D8C"/>
    <w:rsid w:val="00285F28"/>
    <w:rsid w:val="00286398"/>
    <w:rsid w:val="00290B0B"/>
    <w:rsid w:val="002A3C42"/>
    <w:rsid w:val="002A5D75"/>
    <w:rsid w:val="002A645E"/>
    <w:rsid w:val="002B1B1A"/>
    <w:rsid w:val="002B7228"/>
    <w:rsid w:val="002C4233"/>
    <w:rsid w:val="002C53EE"/>
    <w:rsid w:val="002D1C6F"/>
    <w:rsid w:val="002D24F7"/>
    <w:rsid w:val="002D2799"/>
    <w:rsid w:val="002D2CD7"/>
    <w:rsid w:val="002D36D1"/>
    <w:rsid w:val="002D4DDC"/>
    <w:rsid w:val="002D4F75"/>
    <w:rsid w:val="002D6493"/>
    <w:rsid w:val="002D7AB6"/>
    <w:rsid w:val="002E06D0"/>
    <w:rsid w:val="002E37C9"/>
    <w:rsid w:val="002E3C27"/>
    <w:rsid w:val="002E403A"/>
    <w:rsid w:val="002E46A0"/>
    <w:rsid w:val="002E7F3A"/>
    <w:rsid w:val="002F2CDC"/>
    <w:rsid w:val="002F4B5E"/>
    <w:rsid w:val="002F4EDB"/>
    <w:rsid w:val="002F6054"/>
    <w:rsid w:val="00300E56"/>
    <w:rsid w:val="00310E13"/>
    <w:rsid w:val="00313906"/>
    <w:rsid w:val="003142EE"/>
    <w:rsid w:val="00315713"/>
    <w:rsid w:val="003158F6"/>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D28"/>
    <w:rsid w:val="00360FD5"/>
    <w:rsid w:val="0036166F"/>
    <w:rsid w:val="0036340D"/>
    <w:rsid w:val="003634A5"/>
    <w:rsid w:val="003644DB"/>
    <w:rsid w:val="00366868"/>
    <w:rsid w:val="00367506"/>
    <w:rsid w:val="00370085"/>
    <w:rsid w:val="00370171"/>
    <w:rsid w:val="00373CBE"/>
    <w:rsid w:val="003744A7"/>
    <w:rsid w:val="00376235"/>
    <w:rsid w:val="0038059E"/>
    <w:rsid w:val="00381FB6"/>
    <w:rsid w:val="003836D3"/>
    <w:rsid w:val="00383A52"/>
    <w:rsid w:val="0039006F"/>
    <w:rsid w:val="00391652"/>
    <w:rsid w:val="0039171D"/>
    <w:rsid w:val="003927CD"/>
    <w:rsid w:val="00393908"/>
    <w:rsid w:val="003948EE"/>
    <w:rsid w:val="0039507F"/>
    <w:rsid w:val="003954CB"/>
    <w:rsid w:val="003A1260"/>
    <w:rsid w:val="003A295F"/>
    <w:rsid w:val="003A41DD"/>
    <w:rsid w:val="003A7033"/>
    <w:rsid w:val="003B044B"/>
    <w:rsid w:val="003B47FE"/>
    <w:rsid w:val="003B5673"/>
    <w:rsid w:val="003B6287"/>
    <w:rsid w:val="003B62C9"/>
    <w:rsid w:val="003C7176"/>
    <w:rsid w:val="003D0929"/>
    <w:rsid w:val="003D4729"/>
    <w:rsid w:val="003D7559"/>
    <w:rsid w:val="003D7DD6"/>
    <w:rsid w:val="003E0387"/>
    <w:rsid w:val="003E47CF"/>
    <w:rsid w:val="003E4E82"/>
    <w:rsid w:val="003E5AAF"/>
    <w:rsid w:val="003E600D"/>
    <w:rsid w:val="003E64DF"/>
    <w:rsid w:val="003E6A5D"/>
    <w:rsid w:val="003F193A"/>
    <w:rsid w:val="003F4207"/>
    <w:rsid w:val="003F5C46"/>
    <w:rsid w:val="003F7CBB"/>
    <w:rsid w:val="003F7D34"/>
    <w:rsid w:val="0040183E"/>
    <w:rsid w:val="00412C8E"/>
    <w:rsid w:val="0041518D"/>
    <w:rsid w:val="00415D9D"/>
    <w:rsid w:val="0042221D"/>
    <w:rsid w:val="00424DD3"/>
    <w:rsid w:val="004269C5"/>
    <w:rsid w:val="00435939"/>
    <w:rsid w:val="00437CC7"/>
    <w:rsid w:val="00442B9C"/>
    <w:rsid w:val="00445EFA"/>
    <w:rsid w:val="0044738A"/>
    <w:rsid w:val="004473D3"/>
    <w:rsid w:val="00452231"/>
    <w:rsid w:val="00452E1F"/>
    <w:rsid w:val="00460C13"/>
    <w:rsid w:val="00461D57"/>
    <w:rsid w:val="00463228"/>
    <w:rsid w:val="00463782"/>
    <w:rsid w:val="004667E0"/>
    <w:rsid w:val="0046760E"/>
    <w:rsid w:val="00470E10"/>
    <w:rsid w:val="00477A97"/>
    <w:rsid w:val="004803B7"/>
    <w:rsid w:val="00481343"/>
    <w:rsid w:val="0048549E"/>
    <w:rsid w:val="0048766D"/>
    <w:rsid w:val="00491A6D"/>
    <w:rsid w:val="004930C6"/>
    <w:rsid w:val="00493347"/>
    <w:rsid w:val="00496092"/>
    <w:rsid w:val="004A08DB"/>
    <w:rsid w:val="004A25D0"/>
    <w:rsid w:val="004A262F"/>
    <w:rsid w:val="004A3234"/>
    <w:rsid w:val="004A37E8"/>
    <w:rsid w:val="004A54EB"/>
    <w:rsid w:val="004A7549"/>
    <w:rsid w:val="004B09D4"/>
    <w:rsid w:val="004B309D"/>
    <w:rsid w:val="004B330A"/>
    <w:rsid w:val="004B7C8E"/>
    <w:rsid w:val="004C3D3C"/>
    <w:rsid w:val="004C6254"/>
    <w:rsid w:val="004D0EDC"/>
    <w:rsid w:val="004D1220"/>
    <w:rsid w:val="004D14B3"/>
    <w:rsid w:val="004D1529"/>
    <w:rsid w:val="004D1EF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5FE4"/>
    <w:rsid w:val="0051798B"/>
    <w:rsid w:val="00521F5A"/>
    <w:rsid w:val="00525E06"/>
    <w:rsid w:val="00526454"/>
    <w:rsid w:val="00531823"/>
    <w:rsid w:val="0053470E"/>
    <w:rsid w:val="00534ECC"/>
    <w:rsid w:val="0053720D"/>
    <w:rsid w:val="00540EF5"/>
    <w:rsid w:val="00541BF3"/>
    <w:rsid w:val="00541CD3"/>
    <w:rsid w:val="005476FA"/>
    <w:rsid w:val="00550995"/>
    <w:rsid w:val="00553C31"/>
    <w:rsid w:val="0055595E"/>
    <w:rsid w:val="00557988"/>
    <w:rsid w:val="00562C49"/>
    <w:rsid w:val="00562DEF"/>
    <w:rsid w:val="0056321A"/>
    <w:rsid w:val="00563A35"/>
    <w:rsid w:val="00566596"/>
    <w:rsid w:val="00571E78"/>
    <w:rsid w:val="005741E9"/>
    <w:rsid w:val="005748CF"/>
    <w:rsid w:val="005776F3"/>
    <w:rsid w:val="005811FC"/>
    <w:rsid w:val="00584270"/>
    <w:rsid w:val="00584738"/>
    <w:rsid w:val="0058566A"/>
    <w:rsid w:val="005920B0"/>
    <w:rsid w:val="0059380D"/>
    <w:rsid w:val="00595A8F"/>
    <w:rsid w:val="005977C2"/>
    <w:rsid w:val="00597BF2"/>
    <w:rsid w:val="005A08DF"/>
    <w:rsid w:val="005A1F54"/>
    <w:rsid w:val="005A3020"/>
    <w:rsid w:val="005B134E"/>
    <w:rsid w:val="005B2039"/>
    <w:rsid w:val="005B344F"/>
    <w:rsid w:val="005B3FBA"/>
    <w:rsid w:val="005B4A1D"/>
    <w:rsid w:val="005B674D"/>
    <w:rsid w:val="005C0353"/>
    <w:rsid w:val="005C056D"/>
    <w:rsid w:val="005C0CBE"/>
    <w:rsid w:val="005C1FCF"/>
    <w:rsid w:val="005C3F41"/>
    <w:rsid w:val="005C79C5"/>
    <w:rsid w:val="005D1885"/>
    <w:rsid w:val="005D4A38"/>
    <w:rsid w:val="005D6180"/>
    <w:rsid w:val="005E2EEA"/>
    <w:rsid w:val="005E3708"/>
    <w:rsid w:val="005E3CCD"/>
    <w:rsid w:val="005E3D6B"/>
    <w:rsid w:val="005E5B55"/>
    <w:rsid w:val="005E5E4A"/>
    <w:rsid w:val="005E693D"/>
    <w:rsid w:val="005E75BF"/>
    <w:rsid w:val="005F0BC6"/>
    <w:rsid w:val="005F57BA"/>
    <w:rsid w:val="005F61E6"/>
    <w:rsid w:val="005F6C45"/>
    <w:rsid w:val="005F722E"/>
    <w:rsid w:val="0060499D"/>
    <w:rsid w:val="00605A69"/>
    <w:rsid w:val="00606C54"/>
    <w:rsid w:val="00614375"/>
    <w:rsid w:val="00615B0A"/>
    <w:rsid w:val="006168CF"/>
    <w:rsid w:val="0062011B"/>
    <w:rsid w:val="006201F3"/>
    <w:rsid w:val="006233A4"/>
    <w:rsid w:val="00626DE0"/>
    <w:rsid w:val="00627937"/>
    <w:rsid w:val="00630901"/>
    <w:rsid w:val="00631F8E"/>
    <w:rsid w:val="00636E55"/>
    <w:rsid w:val="00636EE9"/>
    <w:rsid w:val="00640950"/>
    <w:rsid w:val="00641AE7"/>
    <w:rsid w:val="00642629"/>
    <w:rsid w:val="0064782B"/>
    <w:rsid w:val="0065293D"/>
    <w:rsid w:val="00653EFC"/>
    <w:rsid w:val="00654021"/>
    <w:rsid w:val="00661045"/>
    <w:rsid w:val="00663111"/>
    <w:rsid w:val="00666DA8"/>
    <w:rsid w:val="00671057"/>
    <w:rsid w:val="00675AAF"/>
    <w:rsid w:val="0067739D"/>
    <w:rsid w:val="0068031A"/>
    <w:rsid w:val="00680EC4"/>
    <w:rsid w:val="00681A8A"/>
    <w:rsid w:val="00681B2F"/>
    <w:rsid w:val="0068335F"/>
    <w:rsid w:val="00687217"/>
    <w:rsid w:val="006901A3"/>
    <w:rsid w:val="00690E0C"/>
    <w:rsid w:val="00693302"/>
    <w:rsid w:val="00695137"/>
    <w:rsid w:val="0069640B"/>
    <w:rsid w:val="006A1B83"/>
    <w:rsid w:val="006A21CD"/>
    <w:rsid w:val="006A2925"/>
    <w:rsid w:val="006A5918"/>
    <w:rsid w:val="006A7E0B"/>
    <w:rsid w:val="006B21B2"/>
    <w:rsid w:val="006B4A4A"/>
    <w:rsid w:val="006C19B2"/>
    <w:rsid w:val="006C4409"/>
    <w:rsid w:val="006C5BB8"/>
    <w:rsid w:val="006C6936"/>
    <w:rsid w:val="006C7B01"/>
    <w:rsid w:val="006D051F"/>
    <w:rsid w:val="006D0FE8"/>
    <w:rsid w:val="006D4B2B"/>
    <w:rsid w:val="006D4F3C"/>
    <w:rsid w:val="006D5950"/>
    <w:rsid w:val="006D5C66"/>
    <w:rsid w:val="006D7002"/>
    <w:rsid w:val="006E1B3C"/>
    <w:rsid w:val="006E23FB"/>
    <w:rsid w:val="006E325A"/>
    <w:rsid w:val="006E33EC"/>
    <w:rsid w:val="006E3802"/>
    <w:rsid w:val="006E6C02"/>
    <w:rsid w:val="006E7C21"/>
    <w:rsid w:val="006E7EC6"/>
    <w:rsid w:val="006F231A"/>
    <w:rsid w:val="006F6B55"/>
    <w:rsid w:val="006F788D"/>
    <w:rsid w:val="006F78E1"/>
    <w:rsid w:val="00701072"/>
    <w:rsid w:val="0070177D"/>
    <w:rsid w:val="00701E2A"/>
    <w:rsid w:val="00702054"/>
    <w:rsid w:val="007035A4"/>
    <w:rsid w:val="00711799"/>
    <w:rsid w:val="00712B78"/>
    <w:rsid w:val="0071393B"/>
    <w:rsid w:val="00713EE2"/>
    <w:rsid w:val="007164F3"/>
    <w:rsid w:val="007177FC"/>
    <w:rsid w:val="00720C5E"/>
    <w:rsid w:val="00721701"/>
    <w:rsid w:val="00731835"/>
    <w:rsid w:val="007341F8"/>
    <w:rsid w:val="00734372"/>
    <w:rsid w:val="00734EB8"/>
    <w:rsid w:val="00735F8B"/>
    <w:rsid w:val="0074090B"/>
    <w:rsid w:val="00742143"/>
    <w:rsid w:val="00742D1F"/>
    <w:rsid w:val="00743EBA"/>
    <w:rsid w:val="00744C8E"/>
    <w:rsid w:val="00746DBE"/>
    <w:rsid w:val="0074707E"/>
    <w:rsid w:val="00751627"/>
    <w:rsid w:val="007516DC"/>
    <w:rsid w:val="00752E58"/>
    <w:rsid w:val="00754B80"/>
    <w:rsid w:val="00761918"/>
    <w:rsid w:val="00762114"/>
    <w:rsid w:val="00762F03"/>
    <w:rsid w:val="0076413B"/>
    <w:rsid w:val="007648AE"/>
    <w:rsid w:val="00764BF8"/>
    <w:rsid w:val="0076514D"/>
    <w:rsid w:val="00765960"/>
    <w:rsid w:val="00772588"/>
    <w:rsid w:val="00773D59"/>
    <w:rsid w:val="00781003"/>
    <w:rsid w:val="007911FD"/>
    <w:rsid w:val="00793930"/>
    <w:rsid w:val="00793DD1"/>
    <w:rsid w:val="00794FEC"/>
    <w:rsid w:val="007973B9"/>
    <w:rsid w:val="007A003E"/>
    <w:rsid w:val="007A1965"/>
    <w:rsid w:val="007A2ED1"/>
    <w:rsid w:val="007A4BE6"/>
    <w:rsid w:val="007B0DC6"/>
    <w:rsid w:val="007B1094"/>
    <w:rsid w:val="007B1762"/>
    <w:rsid w:val="007B1BB2"/>
    <w:rsid w:val="007B3320"/>
    <w:rsid w:val="007C301F"/>
    <w:rsid w:val="007C4540"/>
    <w:rsid w:val="007C65AF"/>
    <w:rsid w:val="007D135D"/>
    <w:rsid w:val="007D730F"/>
    <w:rsid w:val="007D78ED"/>
    <w:rsid w:val="007D7CD8"/>
    <w:rsid w:val="007E3AA7"/>
    <w:rsid w:val="007F0C60"/>
    <w:rsid w:val="007F14E3"/>
    <w:rsid w:val="007F737D"/>
    <w:rsid w:val="0080308E"/>
    <w:rsid w:val="00803672"/>
    <w:rsid w:val="00805303"/>
    <w:rsid w:val="00806705"/>
    <w:rsid w:val="00806738"/>
    <w:rsid w:val="00807B42"/>
    <w:rsid w:val="008100E2"/>
    <w:rsid w:val="00816937"/>
    <w:rsid w:val="008216D5"/>
    <w:rsid w:val="008249CE"/>
    <w:rsid w:val="0082544B"/>
    <w:rsid w:val="00831A50"/>
    <w:rsid w:val="00831B3C"/>
    <w:rsid w:val="00831C89"/>
    <w:rsid w:val="00832114"/>
    <w:rsid w:val="00834C46"/>
    <w:rsid w:val="0084093E"/>
    <w:rsid w:val="00841CE1"/>
    <w:rsid w:val="008473D8"/>
    <w:rsid w:val="008528DC"/>
    <w:rsid w:val="00852B8C"/>
    <w:rsid w:val="0085395A"/>
    <w:rsid w:val="00854981"/>
    <w:rsid w:val="00864B2E"/>
    <w:rsid w:val="00865963"/>
    <w:rsid w:val="00871C1D"/>
    <w:rsid w:val="0087450E"/>
    <w:rsid w:val="00875A82"/>
    <w:rsid w:val="00876CA3"/>
    <w:rsid w:val="008772FE"/>
    <w:rsid w:val="008775F1"/>
    <w:rsid w:val="008821AE"/>
    <w:rsid w:val="0088221D"/>
    <w:rsid w:val="00883D3A"/>
    <w:rsid w:val="008854F7"/>
    <w:rsid w:val="00885A9D"/>
    <w:rsid w:val="00885CAC"/>
    <w:rsid w:val="008929D2"/>
    <w:rsid w:val="00893636"/>
    <w:rsid w:val="00893B94"/>
    <w:rsid w:val="00896E9D"/>
    <w:rsid w:val="00896F11"/>
    <w:rsid w:val="008A1049"/>
    <w:rsid w:val="008A1C98"/>
    <w:rsid w:val="008A322D"/>
    <w:rsid w:val="008A4D72"/>
    <w:rsid w:val="008A4FB2"/>
    <w:rsid w:val="008A514C"/>
    <w:rsid w:val="008A5B99"/>
    <w:rsid w:val="008A6285"/>
    <w:rsid w:val="008A63B2"/>
    <w:rsid w:val="008B0211"/>
    <w:rsid w:val="008B345D"/>
    <w:rsid w:val="008B4E94"/>
    <w:rsid w:val="008C15E5"/>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78D"/>
    <w:rsid w:val="00920B55"/>
    <w:rsid w:val="00920C9C"/>
    <w:rsid w:val="009262C9"/>
    <w:rsid w:val="00930EB9"/>
    <w:rsid w:val="00933DC7"/>
    <w:rsid w:val="009375C9"/>
    <w:rsid w:val="009418F4"/>
    <w:rsid w:val="00942BBC"/>
    <w:rsid w:val="009440C0"/>
    <w:rsid w:val="00944180"/>
    <w:rsid w:val="00944AA0"/>
    <w:rsid w:val="00947DA2"/>
    <w:rsid w:val="00951177"/>
    <w:rsid w:val="009636E3"/>
    <w:rsid w:val="009673E8"/>
    <w:rsid w:val="00972008"/>
    <w:rsid w:val="00972FE6"/>
    <w:rsid w:val="00974DB8"/>
    <w:rsid w:val="00980661"/>
    <w:rsid w:val="0098093B"/>
    <w:rsid w:val="00984F2B"/>
    <w:rsid w:val="009876D4"/>
    <w:rsid w:val="009914A5"/>
    <w:rsid w:val="0099548E"/>
    <w:rsid w:val="00996456"/>
    <w:rsid w:val="00996A12"/>
    <w:rsid w:val="00997B0F"/>
    <w:rsid w:val="009A0CC3"/>
    <w:rsid w:val="009A1377"/>
    <w:rsid w:val="009A1CAD"/>
    <w:rsid w:val="009A3440"/>
    <w:rsid w:val="009A511E"/>
    <w:rsid w:val="009A5832"/>
    <w:rsid w:val="009A6154"/>
    <w:rsid w:val="009A6838"/>
    <w:rsid w:val="009B24B5"/>
    <w:rsid w:val="009B2CFA"/>
    <w:rsid w:val="009B3030"/>
    <w:rsid w:val="009B4EBC"/>
    <w:rsid w:val="009B5579"/>
    <w:rsid w:val="009B5ABB"/>
    <w:rsid w:val="009B73CE"/>
    <w:rsid w:val="009C2461"/>
    <w:rsid w:val="009C4A95"/>
    <w:rsid w:val="009C5A15"/>
    <w:rsid w:val="009C6FE2"/>
    <w:rsid w:val="009C764E"/>
    <w:rsid w:val="009C7674"/>
    <w:rsid w:val="009D004A"/>
    <w:rsid w:val="009D4FA0"/>
    <w:rsid w:val="009D50A9"/>
    <w:rsid w:val="009D5880"/>
    <w:rsid w:val="009E1FD4"/>
    <w:rsid w:val="009E3B07"/>
    <w:rsid w:val="009E51D1"/>
    <w:rsid w:val="009E5531"/>
    <w:rsid w:val="009F100D"/>
    <w:rsid w:val="009F171E"/>
    <w:rsid w:val="009F3C8B"/>
    <w:rsid w:val="009F3D1B"/>
    <w:rsid w:val="009F3D2F"/>
    <w:rsid w:val="009F7052"/>
    <w:rsid w:val="00A02668"/>
    <w:rsid w:val="00A02801"/>
    <w:rsid w:val="00A06A39"/>
    <w:rsid w:val="00A07F58"/>
    <w:rsid w:val="00A11DDB"/>
    <w:rsid w:val="00A131CB"/>
    <w:rsid w:val="00A14768"/>
    <w:rsid w:val="00A14847"/>
    <w:rsid w:val="00A15B8B"/>
    <w:rsid w:val="00A16D6D"/>
    <w:rsid w:val="00A21383"/>
    <w:rsid w:val="00A2199F"/>
    <w:rsid w:val="00A21B31"/>
    <w:rsid w:val="00A2360E"/>
    <w:rsid w:val="00A23EDB"/>
    <w:rsid w:val="00A26E0C"/>
    <w:rsid w:val="00A32FCB"/>
    <w:rsid w:val="00A34C25"/>
    <w:rsid w:val="00A3507D"/>
    <w:rsid w:val="00A3717A"/>
    <w:rsid w:val="00A4088C"/>
    <w:rsid w:val="00A41E1E"/>
    <w:rsid w:val="00A4456B"/>
    <w:rsid w:val="00A448D4"/>
    <w:rsid w:val="00A452E0"/>
    <w:rsid w:val="00A4569E"/>
    <w:rsid w:val="00A506DF"/>
    <w:rsid w:val="00A51EA5"/>
    <w:rsid w:val="00A53742"/>
    <w:rsid w:val="00A557A1"/>
    <w:rsid w:val="00A61223"/>
    <w:rsid w:val="00A63059"/>
    <w:rsid w:val="00A63AE3"/>
    <w:rsid w:val="00A651A4"/>
    <w:rsid w:val="00A65CDD"/>
    <w:rsid w:val="00A71361"/>
    <w:rsid w:val="00A746E2"/>
    <w:rsid w:val="00A76714"/>
    <w:rsid w:val="00A811D8"/>
    <w:rsid w:val="00A81FF2"/>
    <w:rsid w:val="00A83904"/>
    <w:rsid w:val="00A90A79"/>
    <w:rsid w:val="00A92478"/>
    <w:rsid w:val="00A93696"/>
    <w:rsid w:val="00A96B30"/>
    <w:rsid w:val="00AA0B08"/>
    <w:rsid w:val="00AA442D"/>
    <w:rsid w:val="00AA59B5"/>
    <w:rsid w:val="00AA7777"/>
    <w:rsid w:val="00AA7B84"/>
    <w:rsid w:val="00AB1F3C"/>
    <w:rsid w:val="00AB5B56"/>
    <w:rsid w:val="00AB6A97"/>
    <w:rsid w:val="00AB70B7"/>
    <w:rsid w:val="00AC0B4C"/>
    <w:rsid w:val="00AC1164"/>
    <w:rsid w:val="00AC2296"/>
    <w:rsid w:val="00AC2754"/>
    <w:rsid w:val="00AC48B0"/>
    <w:rsid w:val="00AC4ACD"/>
    <w:rsid w:val="00AC51F6"/>
    <w:rsid w:val="00AC5DFB"/>
    <w:rsid w:val="00AD13DC"/>
    <w:rsid w:val="00AD6DE2"/>
    <w:rsid w:val="00AE0A40"/>
    <w:rsid w:val="00AE1ED4"/>
    <w:rsid w:val="00AE21E1"/>
    <w:rsid w:val="00AE2F8D"/>
    <w:rsid w:val="00AE3BAE"/>
    <w:rsid w:val="00AE4DC1"/>
    <w:rsid w:val="00AE6A21"/>
    <w:rsid w:val="00AE71EE"/>
    <w:rsid w:val="00AF1C8F"/>
    <w:rsid w:val="00AF2B68"/>
    <w:rsid w:val="00AF2C92"/>
    <w:rsid w:val="00AF3EC1"/>
    <w:rsid w:val="00AF5025"/>
    <w:rsid w:val="00AF519F"/>
    <w:rsid w:val="00AF5387"/>
    <w:rsid w:val="00AF55F5"/>
    <w:rsid w:val="00AF7E86"/>
    <w:rsid w:val="00B00CD2"/>
    <w:rsid w:val="00B024B9"/>
    <w:rsid w:val="00B077FA"/>
    <w:rsid w:val="00B127D7"/>
    <w:rsid w:val="00B13A8A"/>
    <w:rsid w:val="00B13B0C"/>
    <w:rsid w:val="00B14408"/>
    <w:rsid w:val="00B1453A"/>
    <w:rsid w:val="00B20F82"/>
    <w:rsid w:val="00B25BD5"/>
    <w:rsid w:val="00B27118"/>
    <w:rsid w:val="00B32B27"/>
    <w:rsid w:val="00B34079"/>
    <w:rsid w:val="00B3793A"/>
    <w:rsid w:val="00B3795C"/>
    <w:rsid w:val="00B401BA"/>
    <w:rsid w:val="00B407E4"/>
    <w:rsid w:val="00B4233F"/>
    <w:rsid w:val="00B425B6"/>
    <w:rsid w:val="00B42A72"/>
    <w:rsid w:val="00B441AE"/>
    <w:rsid w:val="00B45A65"/>
    <w:rsid w:val="00B45F33"/>
    <w:rsid w:val="00B45F3D"/>
    <w:rsid w:val="00B46D50"/>
    <w:rsid w:val="00B53170"/>
    <w:rsid w:val="00B548B9"/>
    <w:rsid w:val="00B56DBE"/>
    <w:rsid w:val="00B6156C"/>
    <w:rsid w:val="00B62999"/>
    <w:rsid w:val="00B63BE3"/>
    <w:rsid w:val="00B64431"/>
    <w:rsid w:val="00B64885"/>
    <w:rsid w:val="00B64FA3"/>
    <w:rsid w:val="00B667E5"/>
    <w:rsid w:val="00B66810"/>
    <w:rsid w:val="00B70385"/>
    <w:rsid w:val="00B729F0"/>
    <w:rsid w:val="00B72BE3"/>
    <w:rsid w:val="00B73B80"/>
    <w:rsid w:val="00B770C7"/>
    <w:rsid w:val="00B80F26"/>
    <w:rsid w:val="00B822BD"/>
    <w:rsid w:val="00B842F4"/>
    <w:rsid w:val="00B91A7B"/>
    <w:rsid w:val="00B929DD"/>
    <w:rsid w:val="00B93AF6"/>
    <w:rsid w:val="00B95405"/>
    <w:rsid w:val="00B963F1"/>
    <w:rsid w:val="00BA020A"/>
    <w:rsid w:val="00BA1CA6"/>
    <w:rsid w:val="00BB025A"/>
    <w:rsid w:val="00BB02A4"/>
    <w:rsid w:val="00BB08F8"/>
    <w:rsid w:val="00BB1270"/>
    <w:rsid w:val="00BB1E44"/>
    <w:rsid w:val="00BB5267"/>
    <w:rsid w:val="00BB52B8"/>
    <w:rsid w:val="00BB59D8"/>
    <w:rsid w:val="00BB7E69"/>
    <w:rsid w:val="00BC0E51"/>
    <w:rsid w:val="00BC3C1F"/>
    <w:rsid w:val="00BC7CE7"/>
    <w:rsid w:val="00BD295E"/>
    <w:rsid w:val="00BD4664"/>
    <w:rsid w:val="00BD4F84"/>
    <w:rsid w:val="00BE1193"/>
    <w:rsid w:val="00BF45D2"/>
    <w:rsid w:val="00BF4849"/>
    <w:rsid w:val="00BF4EA7"/>
    <w:rsid w:val="00BF6525"/>
    <w:rsid w:val="00C00EDB"/>
    <w:rsid w:val="00C02863"/>
    <w:rsid w:val="00C0383A"/>
    <w:rsid w:val="00C067FF"/>
    <w:rsid w:val="00C12862"/>
    <w:rsid w:val="00C13D28"/>
    <w:rsid w:val="00C14585"/>
    <w:rsid w:val="00C165A0"/>
    <w:rsid w:val="00C167D5"/>
    <w:rsid w:val="00C1792F"/>
    <w:rsid w:val="00C216CE"/>
    <w:rsid w:val="00C2184F"/>
    <w:rsid w:val="00C22A78"/>
    <w:rsid w:val="00C23C7E"/>
    <w:rsid w:val="00C245F5"/>
    <w:rsid w:val="00C246C5"/>
    <w:rsid w:val="00C25A82"/>
    <w:rsid w:val="00C30A2A"/>
    <w:rsid w:val="00C33993"/>
    <w:rsid w:val="00C352F3"/>
    <w:rsid w:val="00C4069E"/>
    <w:rsid w:val="00C41ADC"/>
    <w:rsid w:val="00C4255B"/>
    <w:rsid w:val="00C44149"/>
    <w:rsid w:val="00C44410"/>
    <w:rsid w:val="00C44A15"/>
    <w:rsid w:val="00C4532C"/>
    <w:rsid w:val="00C4630A"/>
    <w:rsid w:val="00C46EFD"/>
    <w:rsid w:val="00C523F0"/>
    <w:rsid w:val="00C526D2"/>
    <w:rsid w:val="00C53A91"/>
    <w:rsid w:val="00C5794E"/>
    <w:rsid w:val="00C60968"/>
    <w:rsid w:val="00C63D39"/>
    <w:rsid w:val="00C63EDD"/>
    <w:rsid w:val="00C64C65"/>
    <w:rsid w:val="00C65B36"/>
    <w:rsid w:val="00C7292E"/>
    <w:rsid w:val="00C73F1A"/>
    <w:rsid w:val="00C74E88"/>
    <w:rsid w:val="00C77586"/>
    <w:rsid w:val="00C80924"/>
    <w:rsid w:val="00C8286B"/>
    <w:rsid w:val="00C90C43"/>
    <w:rsid w:val="00C947F8"/>
    <w:rsid w:val="00C9515F"/>
    <w:rsid w:val="00C963C5"/>
    <w:rsid w:val="00C97DDA"/>
    <w:rsid w:val="00CA030C"/>
    <w:rsid w:val="00CA1F41"/>
    <w:rsid w:val="00CA2FF3"/>
    <w:rsid w:val="00CA32EE"/>
    <w:rsid w:val="00CA5771"/>
    <w:rsid w:val="00CA6A1A"/>
    <w:rsid w:val="00CA6D01"/>
    <w:rsid w:val="00CB10B9"/>
    <w:rsid w:val="00CB2AB8"/>
    <w:rsid w:val="00CB3A61"/>
    <w:rsid w:val="00CC1E75"/>
    <w:rsid w:val="00CC2E0E"/>
    <w:rsid w:val="00CC361C"/>
    <w:rsid w:val="00CC474B"/>
    <w:rsid w:val="00CC658C"/>
    <w:rsid w:val="00CC67BF"/>
    <w:rsid w:val="00CD0843"/>
    <w:rsid w:val="00CD4E31"/>
    <w:rsid w:val="00CD5A78"/>
    <w:rsid w:val="00CD69EF"/>
    <w:rsid w:val="00CD7345"/>
    <w:rsid w:val="00CE372E"/>
    <w:rsid w:val="00CF0A1B"/>
    <w:rsid w:val="00CF19F6"/>
    <w:rsid w:val="00CF2F4F"/>
    <w:rsid w:val="00CF536D"/>
    <w:rsid w:val="00CF7CBF"/>
    <w:rsid w:val="00D02E9D"/>
    <w:rsid w:val="00D04D91"/>
    <w:rsid w:val="00D10CB8"/>
    <w:rsid w:val="00D12806"/>
    <w:rsid w:val="00D12D44"/>
    <w:rsid w:val="00D15018"/>
    <w:rsid w:val="00D158AC"/>
    <w:rsid w:val="00D1694C"/>
    <w:rsid w:val="00D20F5E"/>
    <w:rsid w:val="00D226E3"/>
    <w:rsid w:val="00D23B76"/>
    <w:rsid w:val="00D24B4A"/>
    <w:rsid w:val="00D379A3"/>
    <w:rsid w:val="00D439F5"/>
    <w:rsid w:val="00D4495F"/>
    <w:rsid w:val="00D4571C"/>
    <w:rsid w:val="00D45FF3"/>
    <w:rsid w:val="00D512CF"/>
    <w:rsid w:val="00D51CED"/>
    <w:rsid w:val="00D528B9"/>
    <w:rsid w:val="00D53186"/>
    <w:rsid w:val="00D5487D"/>
    <w:rsid w:val="00D60140"/>
    <w:rsid w:val="00D6024A"/>
    <w:rsid w:val="00D608B5"/>
    <w:rsid w:val="00D61CF7"/>
    <w:rsid w:val="00D64739"/>
    <w:rsid w:val="00D67A54"/>
    <w:rsid w:val="00D71F99"/>
    <w:rsid w:val="00D73CA4"/>
    <w:rsid w:val="00D73D71"/>
    <w:rsid w:val="00D74396"/>
    <w:rsid w:val="00D74647"/>
    <w:rsid w:val="00D80284"/>
    <w:rsid w:val="00D81F71"/>
    <w:rsid w:val="00D82E4A"/>
    <w:rsid w:val="00D842D2"/>
    <w:rsid w:val="00D8642D"/>
    <w:rsid w:val="00D90A5E"/>
    <w:rsid w:val="00D91A68"/>
    <w:rsid w:val="00D939F4"/>
    <w:rsid w:val="00D95A68"/>
    <w:rsid w:val="00D9648C"/>
    <w:rsid w:val="00DA0312"/>
    <w:rsid w:val="00DA17C7"/>
    <w:rsid w:val="00DA6A9A"/>
    <w:rsid w:val="00DB1EFD"/>
    <w:rsid w:val="00DB3EAF"/>
    <w:rsid w:val="00DB46C6"/>
    <w:rsid w:val="00DB6E46"/>
    <w:rsid w:val="00DC3203"/>
    <w:rsid w:val="00DC3C99"/>
    <w:rsid w:val="00DC52F5"/>
    <w:rsid w:val="00DC5FD0"/>
    <w:rsid w:val="00DD0354"/>
    <w:rsid w:val="00DD27D7"/>
    <w:rsid w:val="00DD458C"/>
    <w:rsid w:val="00DD72E9"/>
    <w:rsid w:val="00DD7605"/>
    <w:rsid w:val="00DE2020"/>
    <w:rsid w:val="00DE3476"/>
    <w:rsid w:val="00DE7BEA"/>
    <w:rsid w:val="00DF5B0E"/>
    <w:rsid w:val="00DF5B84"/>
    <w:rsid w:val="00DF6D5B"/>
    <w:rsid w:val="00DF7183"/>
    <w:rsid w:val="00DF771B"/>
    <w:rsid w:val="00DF7EE2"/>
    <w:rsid w:val="00E01BAA"/>
    <w:rsid w:val="00E0282A"/>
    <w:rsid w:val="00E02F9B"/>
    <w:rsid w:val="00E042EB"/>
    <w:rsid w:val="00E07E14"/>
    <w:rsid w:val="00E148FB"/>
    <w:rsid w:val="00E14F94"/>
    <w:rsid w:val="00E17336"/>
    <w:rsid w:val="00E17D15"/>
    <w:rsid w:val="00E226A2"/>
    <w:rsid w:val="00E22B95"/>
    <w:rsid w:val="00E30331"/>
    <w:rsid w:val="00E30BB8"/>
    <w:rsid w:val="00E31F9C"/>
    <w:rsid w:val="00E32CF7"/>
    <w:rsid w:val="00E34434"/>
    <w:rsid w:val="00E37B06"/>
    <w:rsid w:val="00E40488"/>
    <w:rsid w:val="00E41B37"/>
    <w:rsid w:val="00E50367"/>
    <w:rsid w:val="00E51ABA"/>
    <w:rsid w:val="00E524CB"/>
    <w:rsid w:val="00E54064"/>
    <w:rsid w:val="00E605F8"/>
    <w:rsid w:val="00E65456"/>
    <w:rsid w:val="00E65A91"/>
    <w:rsid w:val="00E66188"/>
    <w:rsid w:val="00E664FB"/>
    <w:rsid w:val="00E67125"/>
    <w:rsid w:val="00E672F0"/>
    <w:rsid w:val="00E70373"/>
    <w:rsid w:val="00E72E40"/>
    <w:rsid w:val="00E73665"/>
    <w:rsid w:val="00E73999"/>
    <w:rsid w:val="00E73BDC"/>
    <w:rsid w:val="00E73E9E"/>
    <w:rsid w:val="00E81660"/>
    <w:rsid w:val="00E8377C"/>
    <w:rsid w:val="00E84D68"/>
    <w:rsid w:val="00E854FE"/>
    <w:rsid w:val="00E906CC"/>
    <w:rsid w:val="00E939A0"/>
    <w:rsid w:val="00E9551B"/>
    <w:rsid w:val="00E97E4E"/>
    <w:rsid w:val="00EA1CC2"/>
    <w:rsid w:val="00EA2D76"/>
    <w:rsid w:val="00EA4644"/>
    <w:rsid w:val="00EA5255"/>
    <w:rsid w:val="00EA758A"/>
    <w:rsid w:val="00EB096F"/>
    <w:rsid w:val="00EB199F"/>
    <w:rsid w:val="00EB21A4"/>
    <w:rsid w:val="00EB27C4"/>
    <w:rsid w:val="00EB3AE6"/>
    <w:rsid w:val="00EB5387"/>
    <w:rsid w:val="00EB5C10"/>
    <w:rsid w:val="00EB7322"/>
    <w:rsid w:val="00EC0FE9"/>
    <w:rsid w:val="00EC198B"/>
    <w:rsid w:val="00EC426D"/>
    <w:rsid w:val="00EC571B"/>
    <w:rsid w:val="00EC57D7"/>
    <w:rsid w:val="00EC6385"/>
    <w:rsid w:val="00ED1DE9"/>
    <w:rsid w:val="00ED23D4"/>
    <w:rsid w:val="00ED5E0B"/>
    <w:rsid w:val="00ED79F4"/>
    <w:rsid w:val="00EE37B6"/>
    <w:rsid w:val="00EE72A7"/>
    <w:rsid w:val="00EF0F45"/>
    <w:rsid w:val="00EF7463"/>
    <w:rsid w:val="00EF7971"/>
    <w:rsid w:val="00F002EF"/>
    <w:rsid w:val="00F01EE9"/>
    <w:rsid w:val="00F031E9"/>
    <w:rsid w:val="00F041D8"/>
    <w:rsid w:val="00F04900"/>
    <w:rsid w:val="00F05C9D"/>
    <w:rsid w:val="00F065A4"/>
    <w:rsid w:val="00F0690F"/>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6351"/>
    <w:rsid w:val="00F5744B"/>
    <w:rsid w:val="00F61209"/>
    <w:rsid w:val="00F6259E"/>
    <w:rsid w:val="00F65DD4"/>
    <w:rsid w:val="00F67095"/>
    <w:rsid w:val="00F672B2"/>
    <w:rsid w:val="00F749DC"/>
    <w:rsid w:val="00F7525D"/>
    <w:rsid w:val="00F8374C"/>
    <w:rsid w:val="00F83973"/>
    <w:rsid w:val="00F84696"/>
    <w:rsid w:val="00F84821"/>
    <w:rsid w:val="00F869A3"/>
    <w:rsid w:val="00F87FA3"/>
    <w:rsid w:val="00F91AC6"/>
    <w:rsid w:val="00F93D8C"/>
    <w:rsid w:val="00F97948"/>
    <w:rsid w:val="00FA3102"/>
    <w:rsid w:val="00FA48D4"/>
    <w:rsid w:val="00FA54FA"/>
    <w:rsid w:val="00FA6D39"/>
    <w:rsid w:val="00FB047F"/>
    <w:rsid w:val="00FB227E"/>
    <w:rsid w:val="00FB3D61"/>
    <w:rsid w:val="00FB44CE"/>
    <w:rsid w:val="00FB4C9A"/>
    <w:rsid w:val="00FB5009"/>
    <w:rsid w:val="00FB76AB"/>
    <w:rsid w:val="00FD03FE"/>
    <w:rsid w:val="00FD126E"/>
    <w:rsid w:val="00FD3C36"/>
    <w:rsid w:val="00FD4BD3"/>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27EE9ED0-FEFB-5B44-BBF1-D176B462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unhideWhenUsed/>
    <w:rsid w:val="008100E2"/>
    <w:pPr>
      <w:widowControl w:val="0"/>
      <w:spacing w:line="230" w:lineRule="exact"/>
    </w:pPr>
    <w:rPr>
      <w:rFonts w:eastAsia="SimSun"/>
      <w:lang w:eastAsia="en-US"/>
    </w:rPr>
  </w:style>
  <w:style w:type="paragraph" w:customStyle="1" w:styleId="Els-NoIndent">
    <w:name w:val="Els-NoIndent"/>
    <w:basedOn w:val="Normal"/>
    <w:qFormat/>
    <w:rsid w:val="00030F1F"/>
    <w:pPr>
      <w:spacing w:line="230" w:lineRule="exact"/>
      <w:jc w:val="both"/>
    </w:pPr>
    <w:rPr>
      <w:rFonts w:eastAsia="SimSun"/>
      <w:sz w:val="16"/>
      <w:szCs w:val="20"/>
      <w:lang w:val="en-US" w:eastAsia="en-US"/>
    </w:rPr>
  </w:style>
  <w:style w:type="paragraph" w:styleId="ListParagraph">
    <w:name w:val="List Paragraph"/>
    <w:basedOn w:val="Normal"/>
    <w:uiPriority w:val="34"/>
    <w:qFormat/>
    <w:rsid w:val="00030F1F"/>
    <w:pPr>
      <w:widowControl w:val="0"/>
      <w:spacing w:line="230" w:lineRule="exact"/>
      <w:ind w:left="720"/>
      <w:contextualSpacing/>
    </w:pPr>
    <w:rPr>
      <w:rFonts w:eastAsia="SimSun"/>
      <w:sz w:val="16"/>
      <w:szCs w:val="20"/>
      <w:lang w:eastAsia="en-US"/>
    </w:rPr>
  </w:style>
  <w:style w:type="paragraph" w:customStyle="1" w:styleId="AU">
    <w:name w:val="AU"/>
    <w:basedOn w:val="Normal"/>
    <w:rsid w:val="00D226E3"/>
    <w:pPr>
      <w:spacing w:before="120" w:after="120" w:line="240" w:lineRule="auto"/>
    </w:pPr>
    <w:rPr>
      <w:color w:val="00823B"/>
      <w:sz w:val="32"/>
      <w:lang w:val="en-US" w:eastAsia="en-US"/>
    </w:rPr>
  </w:style>
  <w:style w:type="character" w:styleId="Hyperlink">
    <w:name w:val="Hyperlink"/>
    <w:basedOn w:val="DefaultParagraphFont"/>
    <w:rsid w:val="00290B0B"/>
    <w:rPr>
      <w:color w:val="0000FF"/>
      <w:u w:val="single"/>
    </w:rPr>
  </w:style>
  <w:style w:type="character" w:styleId="UnresolvedMention">
    <w:name w:val="Unresolved Mention"/>
    <w:basedOn w:val="DefaultParagraphFont"/>
    <w:uiPriority w:val="99"/>
    <w:semiHidden/>
    <w:unhideWhenUsed/>
    <w:rsid w:val="00CA6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928834">
      <w:bodyDiv w:val="1"/>
      <w:marLeft w:val="0"/>
      <w:marRight w:val="0"/>
      <w:marTop w:val="0"/>
      <w:marBottom w:val="0"/>
      <w:divBdr>
        <w:top w:val="none" w:sz="0" w:space="0" w:color="auto"/>
        <w:left w:val="none" w:sz="0" w:space="0" w:color="auto"/>
        <w:bottom w:val="none" w:sz="0" w:space="0" w:color="auto"/>
        <w:right w:val="none" w:sz="0" w:space="0" w:color="auto"/>
      </w:divBdr>
    </w:div>
    <w:div w:id="562178190">
      <w:bodyDiv w:val="1"/>
      <w:marLeft w:val="0"/>
      <w:marRight w:val="0"/>
      <w:marTop w:val="0"/>
      <w:marBottom w:val="0"/>
      <w:divBdr>
        <w:top w:val="none" w:sz="0" w:space="0" w:color="auto"/>
        <w:left w:val="none" w:sz="0" w:space="0" w:color="auto"/>
        <w:bottom w:val="none" w:sz="0" w:space="0" w:color="auto"/>
        <w:right w:val="none" w:sz="0" w:space="0" w:color="auto"/>
      </w:divBdr>
      <w:divsChild>
        <w:div w:id="1529559155">
          <w:marLeft w:val="0"/>
          <w:marRight w:val="0"/>
          <w:marTop w:val="0"/>
          <w:marBottom w:val="0"/>
          <w:divBdr>
            <w:top w:val="none" w:sz="0" w:space="0" w:color="auto"/>
            <w:left w:val="none" w:sz="0" w:space="0" w:color="auto"/>
            <w:bottom w:val="none" w:sz="0" w:space="0" w:color="auto"/>
            <w:right w:val="none" w:sz="0" w:space="0" w:color="auto"/>
          </w:divBdr>
          <w:divsChild>
            <w:div w:id="612319993">
              <w:marLeft w:val="0"/>
              <w:marRight w:val="0"/>
              <w:marTop w:val="0"/>
              <w:marBottom w:val="0"/>
              <w:divBdr>
                <w:top w:val="none" w:sz="0" w:space="0" w:color="auto"/>
                <w:left w:val="none" w:sz="0" w:space="0" w:color="auto"/>
                <w:bottom w:val="none" w:sz="0" w:space="0" w:color="auto"/>
                <w:right w:val="none" w:sz="0" w:space="0" w:color="auto"/>
              </w:divBdr>
              <w:divsChild>
                <w:div w:id="1005981454">
                  <w:marLeft w:val="0"/>
                  <w:marRight w:val="0"/>
                  <w:marTop w:val="0"/>
                  <w:marBottom w:val="0"/>
                  <w:divBdr>
                    <w:top w:val="none" w:sz="0" w:space="0" w:color="auto"/>
                    <w:left w:val="none" w:sz="0" w:space="0" w:color="auto"/>
                    <w:bottom w:val="none" w:sz="0" w:space="0" w:color="auto"/>
                    <w:right w:val="none" w:sz="0" w:space="0" w:color="auto"/>
                  </w:divBdr>
                  <w:divsChild>
                    <w:div w:id="12193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03406">
      <w:bodyDiv w:val="1"/>
      <w:marLeft w:val="0"/>
      <w:marRight w:val="0"/>
      <w:marTop w:val="0"/>
      <w:marBottom w:val="0"/>
      <w:divBdr>
        <w:top w:val="none" w:sz="0" w:space="0" w:color="auto"/>
        <w:left w:val="none" w:sz="0" w:space="0" w:color="auto"/>
        <w:bottom w:val="none" w:sz="0" w:space="0" w:color="auto"/>
        <w:right w:val="none" w:sz="0" w:space="0" w:color="auto"/>
      </w:divBdr>
    </w:div>
    <w:div w:id="82269905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49307752">
      <w:bodyDiv w:val="1"/>
      <w:marLeft w:val="0"/>
      <w:marRight w:val="0"/>
      <w:marTop w:val="0"/>
      <w:marBottom w:val="0"/>
      <w:divBdr>
        <w:top w:val="none" w:sz="0" w:space="0" w:color="auto"/>
        <w:left w:val="none" w:sz="0" w:space="0" w:color="auto"/>
        <w:bottom w:val="none" w:sz="0" w:space="0" w:color="auto"/>
        <w:right w:val="none" w:sz="0" w:space="0" w:color="auto"/>
      </w:divBdr>
    </w:div>
    <w:div w:id="18573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loyddapar/Library/Containers/com.microsoft.Word/Data/Desktop/JHSMP/SUBMIT/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0ED01D-EE4B-2343-9299-5F561834CFC2}">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26DD-AEF3-A04B-B88F-D2A4A90D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Manuscript.dotx</Template>
  <TotalTime>308</TotalTime>
  <Pages>20</Pages>
  <Words>4959</Words>
  <Characters>28271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33164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dc:creator>
  <cp:lastModifiedBy>MD</cp:lastModifiedBy>
  <cp:revision>287</cp:revision>
  <cp:lastPrinted>2011-07-22T14:54:00Z</cp:lastPrinted>
  <dcterms:created xsi:type="dcterms:W3CDTF">2019-12-09T12:59:00Z</dcterms:created>
  <dcterms:modified xsi:type="dcterms:W3CDTF">2020-05-23T13:27:00Z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documentId_5767</vt:lpwstr>
  </property>
</Properties>
</file>