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C0" w:rsidRPr="006321C0" w:rsidRDefault="00A54D77" w:rsidP="00961280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6321C0" w:rsidRPr="006321C0" w:rsidSect="001A7C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 w:rsidRPr="00A54D77">
        <w:rPr>
          <w:rFonts w:ascii="Times New Roman" w:hAnsi="Times New Roman" w:cs="Times New Roman"/>
          <w:b/>
          <w:sz w:val="28"/>
          <w:szCs w:val="28"/>
        </w:rPr>
        <w:t>Bipolar</w:t>
      </w:r>
      <w:proofErr w:type="spellEnd"/>
      <w:r w:rsidRPr="00A54D77">
        <w:rPr>
          <w:rFonts w:ascii="Times New Roman" w:hAnsi="Times New Roman" w:cs="Times New Roman"/>
          <w:b/>
          <w:sz w:val="28"/>
          <w:szCs w:val="28"/>
        </w:rPr>
        <w:t xml:space="preserve"> Bozuklukta Grup </w:t>
      </w:r>
      <w:proofErr w:type="spellStart"/>
      <w:r w:rsidRPr="00A54D77">
        <w:rPr>
          <w:rFonts w:ascii="Times New Roman" w:hAnsi="Times New Roman" w:cs="Times New Roman"/>
          <w:b/>
          <w:sz w:val="28"/>
          <w:szCs w:val="28"/>
        </w:rPr>
        <w:t>Psikoeğitim</w:t>
      </w:r>
      <w:proofErr w:type="spellEnd"/>
      <w:r w:rsidRPr="00A54D77">
        <w:rPr>
          <w:rFonts w:ascii="Times New Roman" w:hAnsi="Times New Roman" w:cs="Times New Roman"/>
          <w:b/>
          <w:sz w:val="28"/>
          <w:szCs w:val="28"/>
        </w:rPr>
        <w:t xml:space="preserve"> Uygulamasının Etkinliği</w:t>
      </w:r>
    </w:p>
    <w:p w:rsidR="00744F87" w:rsidRDefault="00791D6E" w:rsidP="00744F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D77">
        <w:rPr>
          <w:rFonts w:ascii="Times New Roman" w:hAnsi="Times New Roman" w:cs="Times New Roman"/>
          <w:b/>
          <w:sz w:val="24"/>
          <w:szCs w:val="24"/>
        </w:rPr>
        <w:lastRenderedPageBreak/>
        <w:t>ÖZET</w:t>
      </w:r>
    </w:p>
    <w:p w:rsidR="006B26EE" w:rsidRDefault="006B26EE" w:rsidP="00744F8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6EE">
        <w:rPr>
          <w:rFonts w:ascii="Times New Roman" w:hAnsi="Times New Roman" w:cs="Times New Roman"/>
          <w:b/>
          <w:sz w:val="24"/>
          <w:szCs w:val="24"/>
        </w:rPr>
        <w:t>Amaç:</w:t>
      </w:r>
      <w:r w:rsidRPr="006B26EE">
        <w:rPr>
          <w:rFonts w:ascii="Times New Roman" w:hAnsi="Times New Roman" w:cs="Times New Roman"/>
          <w:sz w:val="24"/>
          <w:szCs w:val="24"/>
        </w:rPr>
        <w:t xml:space="preserve"> Bu çalışmada </w:t>
      </w:r>
      <w:proofErr w:type="spellStart"/>
      <w:r w:rsidR="00436EE5">
        <w:rPr>
          <w:rFonts w:ascii="Times New Roman" w:hAnsi="Times New Roman" w:cs="Times New Roman"/>
          <w:sz w:val="24"/>
          <w:szCs w:val="24"/>
        </w:rPr>
        <w:t>ötimik</w:t>
      </w:r>
      <w:proofErr w:type="spellEnd"/>
      <w:r w:rsidR="00436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EE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6B26EE">
        <w:rPr>
          <w:rFonts w:ascii="Times New Roman" w:hAnsi="Times New Roman" w:cs="Times New Roman"/>
          <w:sz w:val="24"/>
          <w:szCs w:val="24"/>
        </w:rPr>
        <w:t xml:space="preserve"> bozukluk hastalarına uygulanan grup </w:t>
      </w:r>
      <w:proofErr w:type="spellStart"/>
      <w:r w:rsidRPr="006B26EE">
        <w:rPr>
          <w:rFonts w:ascii="Times New Roman" w:hAnsi="Times New Roman" w:cs="Times New Roman"/>
          <w:sz w:val="24"/>
          <w:szCs w:val="24"/>
        </w:rPr>
        <w:t>psikoeğitiminin</w:t>
      </w:r>
      <w:proofErr w:type="spellEnd"/>
      <w:r w:rsidRPr="006B26EE">
        <w:rPr>
          <w:rFonts w:ascii="Times New Roman" w:hAnsi="Times New Roman" w:cs="Times New Roman"/>
          <w:sz w:val="24"/>
          <w:szCs w:val="24"/>
        </w:rPr>
        <w:t xml:space="preserve"> </w:t>
      </w:r>
      <w:r w:rsidR="00436EE5">
        <w:rPr>
          <w:rFonts w:ascii="Times New Roman" w:hAnsi="Times New Roman" w:cs="Times New Roman"/>
          <w:sz w:val="24"/>
          <w:szCs w:val="24"/>
        </w:rPr>
        <w:t>etkinliği araştırılmıştır.</w:t>
      </w:r>
    </w:p>
    <w:p w:rsidR="00D47705" w:rsidRDefault="00F8127C" w:rsidP="0096128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27C">
        <w:rPr>
          <w:rFonts w:ascii="Times New Roman" w:hAnsi="Times New Roman" w:cs="Times New Roman"/>
          <w:b/>
          <w:sz w:val="24"/>
          <w:szCs w:val="24"/>
        </w:rPr>
        <w:t>Yöntem: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2DE" w:rsidRPr="0000289A">
        <w:rPr>
          <w:rFonts w:ascii="Times New Roman" w:hAnsi="Times New Roman" w:cs="Times New Roman"/>
          <w:sz w:val="24"/>
          <w:szCs w:val="24"/>
        </w:rPr>
        <w:t>Dışkapı</w:t>
      </w:r>
      <w:proofErr w:type="spellEnd"/>
      <w:r w:rsidR="00C362DE" w:rsidRPr="0000289A">
        <w:rPr>
          <w:rFonts w:ascii="Times New Roman" w:hAnsi="Times New Roman" w:cs="Times New Roman"/>
          <w:sz w:val="24"/>
          <w:szCs w:val="24"/>
        </w:rPr>
        <w:t xml:space="preserve"> Yıldırım Beyazıt Eğitim ve Araştırma Hastanesi psikiyatri </w:t>
      </w:r>
      <w:r w:rsidR="007B21C1">
        <w:rPr>
          <w:rFonts w:ascii="Times New Roman" w:hAnsi="Times New Roman" w:cs="Times New Roman"/>
          <w:sz w:val="24"/>
          <w:szCs w:val="24"/>
        </w:rPr>
        <w:t>poli</w:t>
      </w:r>
      <w:r w:rsidR="00C362DE" w:rsidRPr="0000289A">
        <w:rPr>
          <w:rFonts w:ascii="Times New Roman" w:hAnsi="Times New Roman" w:cs="Times New Roman"/>
          <w:sz w:val="24"/>
          <w:szCs w:val="24"/>
        </w:rPr>
        <w:t xml:space="preserve">kliniğinde </w:t>
      </w:r>
      <w:proofErr w:type="spellStart"/>
      <w:r w:rsidR="007B21C1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="00C362DE" w:rsidRPr="0000289A">
        <w:rPr>
          <w:rFonts w:ascii="Times New Roman" w:hAnsi="Times New Roman" w:cs="Times New Roman"/>
          <w:sz w:val="24"/>
          <w:szCs w:val="24"/>
        </w:rPr>
        <w:t xml:space="preserve"> bozukluk tanısı ile takip edil</w:t>
      </w:r>
      <w:r w:rsidR="007B21C1">
        <w:rPr>
          <w:rFonts w:ascii="Times New Roman" w:hAnsi="Times New Roman" w:cs="Times New Roman"/>
          <w:sz w:val="24"/>
          <w:szCs w:val="24"/>
        </w:rPr>
        <w:t xml:space="preserve">en </w:t>
      </w:r>
      <w:r w:rsidR="005175BD" w:rsidRPr="0000289A">
        <w:rPr>
          <w:rFonts w:ascii="Times New Roman" w:hAnsi="Times New Roman" w:cs="Times New Roman"/>
          <w:sz w:val="24"/>
          <w:szCs w:val="24"/>
        </w:rPr>
        <w:t xml:space="preserve">60 hasta çalışmaya </w:t>
      </w:r>
      <w:proofErr w:type="gramStart"/>
      <w:r w:rsidR="005175BD" w:rsidRPr="0000289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5175BD" w:rsidRPr="0000289A">
        <w:rPr>
          <w:rFonts w:ascii="Times New Roman" w:hAnsi="Times New Roman" w:cs="Times New Roman"/>
          <w:sz w:val="24"/>
          <w:szCs w:val="24"/>
        </w:rPr>
        <w:t xml:space="preserve"> edilmiştir</w:t>
      </w:r>
      <w:r w:rsidR="00C362DE" w:rsidRPr="0000289A">
        <w:rPr>
          <w:rFonts w:ascii="Times New Roman" w:hAnsi="Times New Roman" w:cs="Times New Roman"/>
          <w:sz w:val="24"/>
          <w:szCs w:val="24"/>
        </w:rPr>
        <w:t>.</w:t>
      </w:r>
      <w:r w:rsidR="007B21C1">
        <w:rPr>
          <w:rFonts w:ascii="Times New Roman" w:hAnsi="Times New Roman" w:cs="Times New Roman"/>
          <w:sz w:val="24"/>
          <w:szCs w:val="24"/>
        </w:rPr>
        <w:t xml:space="preserve"> Hastalar </w:t>
      </w:r>
      <w:proofErr w:type="spellStart"/>
      <w:r w:rsidR="007B21C1">
        <w:rPr>
          <w:rFonts w:ascii="Times New Roman" w:hAnsi="Times New Roman" w:cs="Times New Roman"/>
          <w:sz w:val="24"/>
          <w:szCs w:val="24"/>
        </w:rPr>
        <w:t>rand</w:t>
      </w:r>
      <w:r>
        <w:rPr>
          <w:rFonts w:ascii="Times New Roman" w:hAnsi="Times New Roman" w:cs="Times New Roman"/>
          <w:sz w:val="24"/>
          <w:szCs w:val="24"/>
        </w:rPr>
        <w:t>omize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iki gruba ayrılmıştır,</w:t>
      </w:r>
      <w:r w:rsidR="00437C48" w:rsidRPr="0000289A">
        <w:rPr>
          <w:rFonts w:ascii="Times New Roman" w:hAnsi="Times New Roman" w:cs="Times New Roman"/>
          <w:sz w:val="24"/>
          <w:szCs w:val="24"/>
        </w:rPr>
        <w:t xml:space="preserve"> </w:t>
      </w:r>
      <w:r w:rsidRPr="00212AD7">
        <w:rPr>
          <w:rFonts w:ascii="Times New Roman" w:hAnsi="Times New Roman" w:cs="Times New Roman"/>
          <w:sz w:val="24"/>
          <w:szCs w:val="24"/>
        </w:rPr>
        <w:t>30 hasta medikal tedavi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212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takip edilirken</w:t>
      </w:r>
      <w:r w:rsidRPr="00212AD7">
        <w:rPr>
          <w:rFonts w:ascii="Times New Roman" w:hAnsi="Times New Roman" w:cs="Times New Roman"/>
          <w:sz w:val="24"/>
          <w:szCs w:val="24"/>
        </w:rPr>
        <w:t xml:space="preserve"> </w:t>
      </w:r>
      <w:r w:rsidR="00437C48" w:rsidRPr="00212AD7">
        <w:rPr>
          <w:rFonts w:ascii="Times New Roman" w:hAnsi="Times New Roman" w:cs="Times New Roman"/>
          <w:sz w:val="24"/>
          <w:szCs w:val="24"/>
        </w:rPr>
        <w:t>30 hastaya</w:t>
      </w:r>
      <w:r w:rsidR="007B21C1" w:rsidRPr="00212AD7">
        <w:rPr>
          <w:rFonts w:ascii="Times New Roman" w:hAnsi="Times New Roman" w:cs="Times New Roman"/>
          <w:sz w:val="24"/>
          <w:szCs w:val="24"/>
        </w:rPr>
        <w:t xml:space="preserve"> </w:t>
      </w:r>
      <w:r w:rsidR="00643CC4" w:rsidRPr="00212AD7">
        <w:rPr>
          <w:rFonts w:ascii="Times New Roman" w:hAnsi="Times New Roman" w:cs="Times New Roman"/>
          <w:sz w:val="24"/>
          <w:szCs w:val="24"/>
        </w:rPr>
        <w:t>medik</w:t>
      </w:r>
      <w:r w:rsidR="007B21C1" w:rsidRPr="00212AD7">
        <w:rPr>
          <w:rFonts w:ascii="Times New Roman" w:hAnsi="Times New Roman" w:cs="Times New Roman"/>
          <w:sz w:val="24"/>
          <w:szCs w:val="24"/>
        </w:rPr>
        <w:t xml:space="preserve">al </w:t>
      </w:r>
      <w:r w:rsidR="00643CC4" w:rsidRPr="00212AD7">
        <w:rPr>
          <w:rFonts w:ascii="Times New Roman" w:hAnsi="Times New Roman" w:cs="Times New Roman"/>
          <w:sz w:val="24"/>
          <w:szCs w:val="24"/>
        </w:rPr>
        <w:t>tedavi</w:t>
      </w:r>
      <w:r w:rsidR="007B21C1" w:rsidRPr="00212AD7">
        <w:rPr>
          <w:rFonts w:ascii="Times New Roman" w:hAnsi="Times New Roman" w:cs="Times New Roman"/>
          <w:sz w:val="24"/>
          <w:szCs w:val="24"/>
        </w:rPr>
        <w:t xml:space="preserve">nin yanında grup </w:t>
      </w:r>
      <w:proofErr w:type="spellStart"/>
      <w:r w:rsidR="00437C48" w:rsidRPr="00212AD7">
        <w:rPr>
          <w:rFonts w:ascii="Times New Roman" w:hAnsi="Times New Roman" w:cs="Times New Roman"/>
          <w:sz w:val="24"/>
          <w:szCs w:val="24"/>
        </w:rPr>
        <w:t>psikoeğitim</w:t>
      </w:r>
      <w:r w:rsidR="00FA11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A1128">
        <w:rPr>
          <w:rFonts w:ascii="Times New Roman" w:hAnsi="Times New Roman" w:cs="Times New Roman"/>
          <w:sz w:val="24"/>
          <w:szCs w:val="24"/>
        </w:rPr>
        <w:t xml:space="preserve"> uygulanmıştır</w:t>
      </w:r>
      <w:r w:rsidR="00437C48" w:rsidRPr="00212A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6FFA">
        <w:rPr>
          <w:rFonts w:ascii="Times New Roman" w:hAnsi="Times New Roman" w:cs="Times New Roman"/>
          <w:sz w:val="24"/>
          <w:szCs w:val="24"/>
        </w:rPr>
        <w:t>P</w:t>
      </w:r>
      <w:r w:rsidR="00765B61">
        <w:rPr>
          <w:rFonts w:ascii="Times New Roman" w:hAnsi="Times New Roman" w:cs="Times New Roman"/>
          <w:sz w:val="24"/>
          <w:szCs w:val="24"/>
        </w:rPr>
        <w:t>sikoeğitim</w:t>
      </w:r>
      <w:proofErr w:type="spellEnd"/>
      <w:r w:rsidR="00765B61">
        <w:rPr>
          <w:rFonts w:ascii="Times New Roman" w:hAnsi="Times New Roman" w:cs="Times New Roman"/>
          <w:sz w:val="24"/>
          <w:szCs w:val="24"/>
        </w:rPr>
        <w:t xml:space="preserve"> </w:t>
      </w:r>
      <w:r w:rsidR="00CC22B4">
        <w:rPr>
          <w:rFonts w:ascii="Times New Roman" w:hAnsi="Times New Roman" w:cs="Times New Roman"/>
          <w:sz w:val="24"/>
          <w:szCs w:val="24"/>
        </w:rPr>
        <w:t xml:space="preserve">programı </w:t>
      </w:r>
      <w:r w:rsidR="00FA1128">
        <w:rPr>
          <w:rFonts w:ascii="Times New Roman" w:hAnsi="Times New Roman" w:cs="Times New Roman"/>
          <w:sz w:val="24"/>
          <w:szCs w:val="24"/>
        </w:rPr>
        <w:t xml:space="preserve">haftalık 16 seanstan oluşmuştur ve her seans </w:t>
      </w:r>
      <w:r w:rsidR="00B82732">
        <w:rPr>
          <w:rFonts w:ascii="Times New Roman" w:hAnsi="Times New Roman" w:cs="Times New Roman"/>
          <w:sz w:val="24"/>
          <w:szCs w:val="24"/>
        </w:rPr>
        <w:t>90</w:t>
      </w:r>
      <w:r w:rsidR="00FA1128">
        <w:rPr>
          <w:rFonts w:ascii="Times New Roman" w:hAnsi="Times New Roman" w:cs="Times New Roman"/>
          <w:sz w:val="24"/>
          <w:szCs w:val="24"/>
        </w:rPr>
        <w:t xml:space="preserve"> dakika sürmüştür. </w:t>
      </w:r>
      <w:r w:rsidR="00D47705">
        <w:rPr>
          <w:rFonts w:ascii="Times New Roman" w:hAnsi="Times New Roman" w:cs="Times New Roman"/>
          <w:sz w:val="24"/>
          <w:szCs w:val="24"/>
        </w:rPr>
        <w:t>T</w:t>
      </w:r>
      <w:r w:rsidR="00266FFA">
        <w:rPr>
          <w:rFonts w:ascii="Times New Roman" w:hAnsi="Times New Roman" w:cs="Times New Roman"/>
          <w:sz w:val="24"/>
          <w:szCs w:val="24"/>
        </w:rPr>
        <w:t xml:space="preserve">üm hastalara </w:t>
      </w:r>
      <w:r w:rsidR="00AC69D9"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Hamilton Depresyon Derecelendirme Ölçeği </w:t>
      </w:r>
      <w:r w:rsidR="00AC69D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C69D9" w:rsidRPr="00212AD7">
        <w:rPr>
          <w:rFonts w:ascii="Times New Roman" w:hAnsi="Times New Roman" w:cs="Times New Roman"/>
          <w:sz w:val="24"/>
          <w:szCs w:val="24"/>
        </w:rPr>
        <w:t>HAM-D),</w:t>
      </w:r>
      <w:r w:rsidR="00AC69D9"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69D9" w:rsidRPr="00C82094">
        <w:rPr>
          <w:rFonts w:ascii="Times New Roman" w:eastAsia="Times New Roman" w:hAnsi="Times New Roman" w:cs="Times New Roman"/>
          <w:bCs/>
          <w:sz w:val="24"/>
          <w:szCs w:val="24"/>
        </w:rPr>
        <w:t>Young</w:t>
      </w:r>
      <w:proofErr w:type="spellEnd"/>
      <w:r w:rsidR="00AC69D9"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Mani Derecelendirme Ölçeği</w:t>
      </w:r>
      <w:r w:rsidR="00AC69D9" w:rsidRPr="00212AD7">
        <w:rPr>
          <w:rFonts w:ascii="Times New Roman" w:hAnsi="Times New Roman" w:cs="Times New Roman"/>
          <w:sz w:val="24"/>
          <w:szCs w:val="24"/>
        </w:rPr>
        <w:t xml:space="preserve"> (YMRS),</w:t>
      </w:r>
      <w:r w:rsidR="00AC69D9"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69D9" w:rsidRPr="00C82094">
        <w:rPr>
          <w:rFonts w:ascii="Times New Roman" w:eastAsia="Times New Roman" w:hAnsi="Times New Roman" w:cs="Times New Roman"/>
          <w:bCs/>
          <w:sz w:val="24"/>
          <w:szCs w:val="24"/>
        </w:rPr>
        <w:t>Bipolar</w:t>
      </w:r>
      <w:proofErr w:type="spellEnd"/>
      <w:r w:rsidR="00AC69D9"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Bozuklukta İşlevsellik Ölçeği</w:t>
      </w:r>
      <w:r w:rsidR="00AC69D9" w:rsidRPr="00212AD7">
        <w:rPr>
          <w:rFonts w:ascii="Times New Roman" w:hAnsi="Times New Roman" w:cs="Times New Roman"/>
          <w:sz w:val="24"/>
          <w:szCs w:val="24"/>
        </w:rPr>
        <w:t xml:space="preserve"> (BBİ),</w:t>
      </w:r>
      <w:r w:rsidR="00AC69D9"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D2833" w:rsidRPr="00C82094">
        <w:rPr>
          <w:rFonts w:ascii="Times New Roman" w:eastAsia="Times New Roman" w:hAnsi="Times New Roman" w:cs="Times New Roman"/>
          <w:bCs/>
          <w:sz w:val="24"/>
          <w:szCs w:val="24"/>
        </w:rPr>
        <w:t>İşlevselliğin</w:t>
      </w:r>
      <w:r w:rsidR="00C545C2">
        <w:rPr>
          <w:rFonts w:ascii="Times New Roman" w:eastAsia="Times New Roman" w:hAnsi="Times New Roman" w:cs="Times New Roman"/>
          <w:bCs/>
          <w:sz w:val="24"/>
          <w:szCs w:val="24"/>
        </w:rPr>
        <w:t xml:space="preserve"> Genel Değerlendirilmesi Ölçeği</w:t>
      </w:r>
      <w:r w:rsidR="00DD2833"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45C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545C2" w:rsidRPr="00212AD7">
        <w:rPr>
          <w:rFonts w:ascii="Times New Roman" w:hAnsi="Times New Roman" w:cs="Times New Roman"/>
          <w:sz w:val="24"/>
          <w:szCs w:val="24"/>
        </w:rPr>
        <w:t>IGD)</w:t>
      </w:r>
      <w:r w:rsidR="00DD2833"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2833" w:rsidRPr="00C82094">
        <w:rPr>
          <w:rFonts w:ascii="Times New Roman" w:eastAsia="Times New Roman" w:hAnsi="Times New Roman" w:cs="Times New Roman"/>
          <w:bCs/>
          <w:sz w:val="24"/>
          <w:szCs w:val="24"/>
        </w:rPr>
        <w:t>İçgörünün</w:t>
      </w:r>
      <w:proofErr w:type="spellEnd"/>
      <w:r w:rsidR="00DD2833"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Üç Bileşenini Değerlendirme Ölçeği </w:t>
      </w:r>
      <w:r w:rsidR="00C545C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545C2" w:rsidRPr="00212AD7">
        <w:rPr>
          <w:rFonts w:ascii="Times New Roman" w:hAnsi="Times New Roman" w:cs="Times New Roman"/>
          <w:sz w:val="24"/>
          <w:szCs w:val="24"/>
        </w:rPr>
        <w:t>İÜBDÖ)</w:t>
      </w:r>
      <w:r w:rsidR="00C545C2" w:rsidRPr="0000289A">
        <w:rPr>
          <w:rFonts w:ascii="Times New Roman" w:hAnsi="Times New Roman" w:cs="Times New Roman"/>
          <w:sz w:val="24"/>
          <w:szCs w:val="24"/>
        </w:rPr>
        <w:t xml:space="preserve"> </w:t>
      </w:r>
      <w:r w:rsidR="00DD2833"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ve </w:t>
      </w:r>
      <w:proofErr w:type="spellStart"/>
      <w:r w:rsidR="00DD2833" w:rsidRPr="00C82094">
        <w:rPr>
          <w:rFonts w:ascii="Times New Roman" w:eastAsia="Times New Roman" w:hAnsi="Times New Roman" w:cs="Times New Roman"/>
          <w:bCs/>
          <w:sz w:val="24"/>
          <w:szCs w:val="24"/>
        </w:rPr>
        <w:t>Morisky</w:t>
      </w:r>
      <w:proofErr w:type="spellEnd"/>
      <w:r w:rsidR="00DD2833"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Tedaviye Uyum Ölçeği</w:t>
      </w:r>
      <w:r w:rsidR="00765B61">
        <w:rPr>
          <w:rFonts w:ascii="Times New Roman" w:hAnsi="Times New Roman" w:cs="Times New Roman"/>
          <w:sz w:val="24"/>
          <w:szCs w:val="24"/>
        </w:rPr>
        <w:t xml:space="preserve"> uygulanmış</w:t>
      </w:r>
      <w:r w:rsidR="00266FFA">
        <w:rPr>
          <w:rFonts w:ascii="Times New Roman" w:hAnsi="Times New Roman" w:cs="Times New Roman"/>
          <w:sz w:val="24"/>
          <w:szCs w:val="24"/>
        </w:rPr>
        <w:t>tır.</w:t>
      </w:r>
      <w:r w:rsidR="00765B61">
        <w:rPr>
          <w:rFonts w:ascii="Times New Roman" w:hAnsi="Times New Roman" w:cs="Times New Roman"/>
          <w:sz w:val="24"/>
          <w:szCs w:val="24"/>
        </w:rPr>
        <w:t xml:space="preserve"> </w:t>
      </w:r>
      <w:r w:rsidR="00D47705" w:rsidRPr="00D47705">
        <w:rPr>
          <w:rFonts w:ascii="Times New Roman" w:hAnsi="Times New Roman" w:cs="Times New Roman"/>
          <w:sz w:val="24"/>
          <w:szCs w:val="24"/>
        </w:rPr>
        <w:t xml:space="preserve">Grup </w:t>
      </w:r>
      <w:proofErr w:type="spellStart"/>
      <w:r w:rsidR="00D47705" w:rsidRPr="00D47705">
        <w:rPr>
          <w:rFonts w:ascii="Times New Roman" w:hAnsi="Times New Roman" w:cs="Times New Roman"/>
          <w:sz w:val="24"/>
          <w:szCs w:val="24"/>
        </w:rPr>
        <w:t>psikoeğitim</w:t>
      </w:r>
      <w:proofErr w:type="spellEnd"/>
      <w:r w:rsidR="00D47705" w:rsidRPr="00D47705">
        <w:rPr>
          <w:rFonts w:ascii="Times New Roman" w:hAnsi="Times New Roman" w:cs="Times New Roman"/>
          <w:sz w:val="24"/>
          <w:szCs w:val="24"/>
        </w:rPr>
        <w:t xml:space="preserve"> programının etkinliğini değerlendirmek için </w:t>
      </w:r>
      <w:proofErr w:type="spellStart"/>
      <w:r w:rsidR="0017087F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17087F">
        <w:rPr>
          <w:rFonts w:ascii="Times New Roman" w:hAnsi="Times New Roman" w:cs="Times New Roman"/>
          <w:sz w:val="24"/>
          <w:szCs w:val="24"/>
        </w:rPr>
        <w:t>-</w:t>
      </w:r>
      <w:r w:rsidR="00D47705" w:rsidRPr="00D47705">
        <w:rPr>
          <w:rFonts w:ascii="Times New Roman" w:hAnsi="Times New Roman" w:cs="Times New Roman"/>
          <w:sz w:val="24"/>
          <w:szCs w:val="24"/>
        </w:rPr>
        <w:t xml:space="preserve">parametrik Mann </w:t>
      </w:r>
      <w:proofErr w:type="spellStart"/>
      <w:r w:rsidR="00D47705" w:rsidRPr="00D47705">
        <w:rPr>
          <w:rFonts w:ascii="Times New Roman" w:hAnsi="Times New Roman" w:cs="Times New Roman"/>
          <w:sz w:val="24"/>
          <w:szCs w:val="24"/>
        </w:rPr>
        <w:t>Whitney</w:t>
      </w:r>
      <w:proofErr w:type="spellEnd"/>
      <w:r w:rsidR="00D47705" w:rsidRPr="00D47705">
        <w:rPr>
          <w:rFonts w:ascii="Times New Roman" w:hAnsi="Times New Roman" w:cs="Times New Roman"/>
          <w:sz w:val="24"/>
          <w:szCs w:val="24"/>
        </w:rPr>
        <w:t xml:space="preserve">-U ve </w:t>
      </w:r>
      <w:proofErr w:type="spellStart"/>
      <w:r w:rsidR="00D47705" w:rsidRPr="00D47705">
        <w:rPr>
          <w:rFonts w:ascii="Times New Roman" w:hAnsi="Times New Roman" w:cs="Times New Roman"/>
          <w:sz w:val="24"/>
          <w:szCs w:val="24"/>
        </w:rPr>
        <w:t>Wilcoxon</w:t>
      </w:r>
      <w:proofErr w:type="spellEnd"/>
      <w:r w:rsidR="00D47705" w:rsidRPr="00D47705">
        <w:rPr>
          <w:rFonts w:ascii="Times New Roman" w:hAnsi="Times New Roman" w:cs="Times New Roman"/>
          <w:sz w:val="24"/>
          <w:szCs w:val="24"/>
        </w:rPr>
        <w:t xml:space="preserve"> testleri kullanıl</w:t>
      </w:r>
      <w:r w:rsidR="00D47705">
        <w:rPr>
          <w:rFonts w:ascii="Times New Roman" w:hAnsi="Times New Roman" w:cs="Times New Roman"/>
          <w:sz w:val="24"/>
          <w:szCs w:val="24"/>
        </w:rPr>
        <w:t>mıştır.</w:t>
      </w:r>
    </w:p>
    <w:p w:rsidR="00016871" w:rsidRDefault="00016871" w:rsidP="0001687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871">
        <w:rPr>
          <w:rFonts w:ascii="Times New Roman" w:hAnsi="Times New Roman" w:cs="Times New Roman"/>
          <w:b/>
          <w:sz w:val="24"/>
          <w:szCs w:val="24"/>
        </w:rPr>
        <w:t>Bulgular: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871">
        <w:rPr>
          <w:rFonts w:ascii="Times New Roman" w:hAnsi="Times New Roman" w:cs="Times New Roman"/>
          <w:sz w:val="24"/>
          <w:szCs w:val="24"/>
        </w:rPr>
        <w:t xml:space="preserve">Grup </w:t>
      </w:r>
      <w:proofErr w:type="spellStart"/>
      <w:r w:rsidRPr="00016871">
        <w:rPr>
          <w:rFonts w:ascii="Times New Roman" w:hAnsi="Times New Roman" w:cs="Times New Roman"/>
          <w:sz w:val="24"/>
          <w:szCs w:val="24"/>
        </w:rPr>
        <w:t>psikoeğitimi</w:t>
      </w:r>
      <w:proofErr w:type="spellEnd"/>
      <w:r w:rsidR="00617311">
        <w:rPr>
          <w:rFonts w:ascii="Times New Roman" w:hAnsi="Times New Roman" w:cs="Times New Roman"/>
          <w:sz w:val="24"/>
          <w:szCs w:val="24"/>
        </w:rPr>
        <w:t xml:space="preserve"> uygulanan hastalarda</w:t>
      </w:r>
      <w:r w:rsidRPr="00016871">
        <w:rPr>
          <w:rFonts w:ascii="Times New Roman" w:hAnsi="Times New Roman" w:cs="Times New Roman"/>
          <w:sz w:val="24"/>
          <w:szCs w:val="24"/>
        </w:rPr>
        <w:t xml:space="preserve"> depresyon ve mani skorlarında anlamlı bir değişiklik </w:t>
      </w:r>
      <w:r w:rsidR="00617311">
        <w:rPr>
          <w:rFonts w:ascii="Times New Roman" w:hAnsi="Times New Roman" w:cs="Times New Roman"/>
          <w:sz w:val="24"/>
          <w:szCs w:val="24"/>
        </w:rPr>
        <w:t>görülmezken</w:t>
      </w:r>
      <w:r w:rsidRPr="00016871">
        <w:rPr>
          <w:rFonts w:ascii="Times New Roman" w:hAnsi="Times New Roman" w:cs="Times New Roman"/>
          <w:sz w:val="24"/>
          <w:szCs w:val="24"/>
        </w:rPr>
        <w:t xml:space="preserve"> </w:t>
      </w:r>
      <w:r w:rsidR="00617311">
        <w:rPr>
          <w:rFonts w:ascii="Times New Roman" w:hAnsi="Times New Roman" w:cs="Times New Roman"/>
          <w:sz w:val="24"/>
          <w:szCs w:val="24"/>
        </w:rPr>
        <w:t>işlevsellik</w:t>
      </w:r>
      <w:r w:rsidRPr="00016871">
        <w:rPr>
          <w:rFonts w:ascii="Times New Roman" w:hAnsi="Times New Roman" w:cs="Times New Roman"/>
          <w:sz w:val="24"/>
          <w:szCs w:val="24"/>
        </w:rPr>
        <w:t xml:space="preserve"> düzeyi, </w:t>
      </w:r>
      <w:proofErr w:type="spellStart"/>
      <w:r w:rsidRPr="00016871">
        <w:rPr>
          <w:rFonts w:ascii="Times New Roman" w:hAnsi="Times New Roman" w:cs="Times New Roman"/>
          <w:sz w:val="24"/>
          <w:szCs w:val="24"/>
        </w:rPr>
        <w:t>içgörü</w:t>
      </w:r>
      <w:proofErr w:type="spellEnd"/>
      <w:r w:rsidRPr="00016871">
        <w:rPr>
          <w:rFonts w:ascii="Times New Roman" w:hAnsi="Times New Roman" w:cs="Times New Roman"/>
          <w:sz w:val="24"/>
          <w:szCs w:val="24"/>
        </w:rPr>
        <w:t xml:space="preserve"> ve tedaviye uyum</w:t>
      </w:r>
      <w:r w:rsidR="00617311">
        <w:rPr>
          <w:rFonts w:ascii="Times New Roman" w:hAnsi="Times New Roman" w:cs="Times New Roman"/>
          <w:sz w:val="24"/>
          <w:szCs w:val="24"/>
        </w:rPr>
        <w:t>u</w:t>
      </w:r>
      <w:r w:rsidR="007F2AFF">
        <w:rPr>
          <w:rFonts w:ascii="Times New Roman" w:hAnsi="Times New Roman" w:cs="Times New Roman"/>
          <w:sz w:val="24"/>
          <w:szCs w:val="24"/>
        </w:rPr>
        <w:t xml:space="preserve"> puanlarında</w:t>
      </w:r>
      <w:r w:rsidRPr="00016871">
        <w:rPr>
          <w:rFonts w:ascii="Times New Roman" w:hAnsi="Times New Roman" w:cs="Times New Roman"/>
          <w:sz w:val="24"/>
          <w:szCs w:val="24"/>
        </w:rPr>
        <w:t xml:space="preserve"> anlamlı bir artış </w:t>
      </w:r>
      <w:r w:rsidR="007F2AFF">
        <w:rPr>
          <w:rFonts w:ascii="Times New Roman" w:hAnsi="Times New Roman" w:cs="Times New Roman"/>
          <w:sz w:val="24"/>
          <w:szCs w:val="24"/>
        </w:rPr>
        <w:t>görülmüştür</w:t>
      </w:r>
      <w:r w:rsidRPr="00016871">
        <w:rPr>
          <w:rFonts w:ascii="Times New Roman" w:hAnsi="Times New Roman" w:cs="Times New Roman"/>
          <w:sz w:val="24"/>
          <w:szCs w:val="24"/>
        </w:rPr>
        <w:t xml:space="preserve">. Ayrıca, </w:t>
      </w:r>
      <w:proofErr w:type="spellStart"/>
      <w:r w:rsidRPr="00016871">
        <w:rPr>
          <w:rFonts w:ascii="Times New Roman" w:hAnsi="Times New Roman" w:cs="Times New Roman"/>
          <w:sz w:val="24"/>
          <w:szCs w:val="24"/>
        </w:rPr>
        <w:t>psikoeğitim</w:t>
      </w:r>
      <w:proofErr w:type="spellEnd"/>
      <w:r w:rsidRPr="00016871">
        <w:rPr>
          <w:rFonts w:ascii="Times New Roman" w:hAnsi="Times New Roman" w:cs="Times New Roman"/>
          <w:sz w:val="24"/>
          <w:szCs w:val="24"/>
        </w:rPr>
        <w:t xml:space="preserve"> programı</w:t>
      </w:r>
      <w:r w:rsidR="00617311">
        <w:rPr>
          <w:rFonts w:ascii="Times New Roman" w:hAnsi="Times New Roman" w:cs="Times New Roman"/>
          <w:sz w:val="24"/>
          <w:szCs w:val="24"/>
        </w:rPr>
        <w:t xml:space="preserve"> sonunda</w:t>
      </w:r>
      <w:r w:rsidRPr="00016871">
        <w:rPr>
          <w:rFonts w:ascii="Times New Roman" w:hAnsi="Times New Roman" w:cs="Times New Roman"/>
          <w:sz w:val="24"/>
          <w:szCs w:val="24"/>
        </w:rPr>
        <w:t xml:space="preserve"> damgalanma, içe dönüklük ve günlük işle</w:t>
      </w:r>
      <w:r w:rsidR="00617311">
        <w:rPr>
          <w:rFonts w:ascii="Times New Roman" w:hAnsi="Times New Roman" w:cs="Times New Roman"/>
          <w:sz w:val="24"/>
          <w:szCs w:val="24"/>
        </w:rPr>
        <w:t>vsellik puanlarında</w:t>
      </w:r>
      <w:r w:rsidRPr="00016871">
        <w:rPr>
          <w:rFonts w:ascii="Times New Roman" w:hAnsi="Times New Roman" w:cs="Times New Roman"/>
          <w:sz w:val="24"/>
          <w:szCs w:val="24"/>
        </w:rPr>
        <w:t xml:space="preserve"> </w:t>
      </w:r>
      <w:r w:rsidR="00617311">
        <w:rPr>
          <w:rFonts w:ascii="Times New Roman" w:hAnsi="Times New Roman" w:cs="Times New Roman"/>
          <w:sz w:val="24"/>
          <w:szCs w:val="24"/>
        </w:rPr>
        <w:t xml:space="preserve">düzelme </w:t>
      </w:r>
      <w:r w:rsidR="007F2AFF">
        <w:rPr>
          <w:rFonts w:ascii="Times New Roman" w:hAnsi="Times New Roman" w:cs="Times New Roman"/>
          <w:sz w:val="24"/>
          <w:szCs w:val="24"/>
        </w:rPr>
        <w:t>saptanmıştır</w:t>
      </w:r>
      <w:r w:rsidRPr="00016871">
        <w:rPr>
          <w:rFonts w:ascii="Times New Roman" w:hAnsi="Times New Roman" w:cs="Times New Roman"/>
          <w:sz w:val="24"/>
          <w:szCs w:val="24"/>
        </w:rPr>
        <w:t xml:space="preserve">. </w:t>
      </w:r>
      <w:r w:rsidR="00617311">
        <w:rPr>
          <w:rFonts w:ascii="Times New Roman" w:hAnsi="Times New Roman" w:cs="Times New Roman"/>
          <w:sz w:val="24"/>
          <w:szCs w:val="24"/>
        </w:rPr>
        <w:t>G</w:t>
      </w:r>
      <w:r w:rsidR="00617311" w:rsidRPr="00016871">
        <w:rPr>
          <w:rFonts w:ascii="Times New Roman" w:hAnsi="Times New Roman" w:cs="Times New Roman"/>
          <w:sz w:val="24"/>
          <w:szCs w:val="24"/>
        </w:rPr>
        <w:t xml:space="preserve">rup </w:t>
      </w:r>
      <w:proofErr w:type="spellStart"/>
      <w:r w:rsidR="00617311" w:rsidRPr="00016871">
        <w:rPr>
          <w:rFonts w:ascii="Times New Roman" w:hAnsi="Times New Roman" w:cs="Times New Roman"/>
          <w:sz w:val="24"/>
          <w:szCs w:val="24"/>
        </w:rPr>
        <w:t>psikoeğitim</w:t>
      </w:r>
      <w:r w:rsidR="006173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17311" w:rsidRPr="00016871">
        <w:rPr>
          <w:rFonts w:ascii="Times New Roman" w:hAnsi="Times New Roman" w:cs="Times New Roman"/>
          <w:sz w:val="24"/>
          <w:szCs w:val="24"/>
        </w:rPr>
        <w:t xml:space="preserve"> uygulanmayan hastalarda depresyon ve mani </w:t>
      </w:r>
      <w:r w:rsidR="00617311">
        <w:rPr>
          <w:rFonts w:ascii="Times New Roman" w:hAnsi="Times New Roman" w:cs="Times New Roman"/>
          <w:sz w:val="24"/>
          <w:szCs w:val="24"/>
        </w:rPr>
        <w:t>puanları</w:t>
      </w:r>
      <w:r w:rsidR="00617311" w:rsidRPr="00016871">
        <w:rPr>
          <w:rFonts w:ascii="Times New Roman" w:hAnsi="Times New Roman" w:cs="Times New Roman"/>
          <w:sz w:val="24"/>
          <w:szCs w:val="24"/>
        </w:rPr>
        <w:t xml:space="preserve"> </w:t>
      </w:r>
      <w:r w:rsidRPr="00016871">
        <w:rPr>
          <w:rFonts w:ascii="Times New Roman" w:hAnsi="Times New Roman" w:cs="Times New Roman"/>
          <w:sz w:val="24"/>
          <w:szCs w:val="24"/>
        </w:rPr>
        <w:t xml:space="preserve">16. </w:t>
      </w:r>
      <w:r w:rsidR="007F2AFF">
        <w:rPr>
          <w:rFonts w:ascii="Times New Roman" w:hAnsi="Times New Roman" w:cs="Times New Roman"/>
          <w:sz w:val="24"/>
          <w:szCs w:val="24"/>
        </w:rPr>
        <w:t>h</w:t>
      </w:r>
      <w:r w:rsidRPr="00016871">
        <w:rPr>
          <w:rFonts w:ascii="Times New Roman" w:hAnsi="Times New Roman" w:cs="Times New Roman"/>
          <w:sz w:val="24"/>
          <w:szCs w:val="24"/>
        </w:rPr>
        <w:t>aftada</w:t>
      </w:r>
      <w:r w:rsidR="007F2AFF">
        <w:rPr>
          <w:rFonts w:ascii="Times New Roman" w:hAnsi="Times New Roman" w:cs="Times New Roman"/>
          <w:sz w:val="24"/>
          <w:szCs w:val="24"/>
        </w:rPr>
        <w:t>ki değerlendirmede</w:t>
      </w:r>
      <w:r w:rsidRPr="00016871">
        <w:rPr>
          <w:rFonts w:ascii="Times New Roman" w:hAnsi="Times New Roman" w:cs="Times New Roman"/>
          <w:sz w:val="24"/>
          <w:szCs w:val="24"/>
        </w:rPr>
        <w:t xml:space="preserve"> başlangı</w:t>
      </w:r>
      <w:r w:rsidR="00617311">
        <w:rPr>
          <w:rFonts w:ascii="Times New Roman" w:hAnsi="Times New Roman" w:cs="Times New Roman"/>
          <w:sz w:val="24"/>
          <w:szCs w:val="24"/>
        </w:rPr>
        <w:t xml:space="preserve">ca </w:t>
      </w:r>
      <w:r w:rsidRPr="00016871">
        <w:rPr>
          <w:rFonts w:ascii="Times New Roman" w:hAnsi="Times New Roman" w:cs="Times New Roman"/>
          <w:sz w:val="24"/>
          <w:szCs w:val="24"/>
        </w:rPr>
        <w:t xml:space="preserve">göre </w:t>
      </w:r>
      <w:r w:rsidR="00617311">
        <w:rPr>
          <w:rFonts w:ascii="Times New Roman" w:hAnsi="Times New Roman" w:cs="Times New Roman"/>
          <w:sz w:val="24"/>
          <w:szCs w:val="24"/>
        </w:rPr>
        <w:t xml:space="preserve">yüksek </w:t>
      </w:r>
      <w:r w:rsidR="007F2AFF">
        <w:rPr>
          <w:rFonts w:ascii="Times New Roman" w:hAnsi="Times New Roman" w:cs="Times New Roman"/>
          <w:sz w:val="24"/>
          <w:szCs w:val="24"/>
        </w:rPr>
        <w:t>bulunmuştur</w:t>
      </w:r>
      <w:r w:rsidRPr="00016871">
        <w:rPr>
          <w:rFonts w:ascii="Times New Roman" w:hAnsi="Times New Roman" w:cs="Times New Roman"/>
          <w:sz w:val="24"/>
          <w:szCs w:val="24"/>
        </w:rPr>
        <w:t xml:space="preserve">. Grup </w:t>
      </w:r>
      <w:proofErr w:type="spellStart"/>
      <w:r w:rsidRPr="00016871">
        <w:rPr>
          <w:rFonts w:ascii="Times New Roman" w:hAnsi="Times New Roman" w:cs="Times New Roman"/>
          <w:sz w:val="24"/>
          <w:szCs w:val="24"/>
        </w:rPr>
        <w:t>psikoeğitim</w:t>
      </w:r>
      <w:proofErr w:type="spellEnd"/>
      <w:r w:rsidRPr="00016871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016871">
        <w:rPr>
          <w:rFonts w:ascii="Times New Roman" w:hAnsi="Times New Roman" w:cs="Times New Roman"/>
          <w:sz w:val="24"/>
          <w:szCs w:val="24"/>
        </w:rPr>
        <w:t>inisiyatif</w:t>
      </w:r>
      <w:proofErr w:type="gramEnd"/>
      <w:r w:rsidRPr="00016871">
        <w:rPr>
          <w:rFonts w:ascii="Times New Roman" w:hAnsi="Times New Roman" w:cs="Times New Roman"/>
          <w:sz w:val="24"/>
          <w:szCs w:val="24"/>
        </w:rPr>
        <w:t xml:space="preserve"> ve mesleki işlevselli</w:t>
      </w:r>
      <w:r w:rsidR="00AE3ADC">
        <w:rPr>
          <w:rFonts w:ascii="Times New Roman" w:hAnsi="Times New Roman" w:cs="Times New Roman"/>
          <w:sz w:val="24"/>
          <w:szCs w:val="24"/>
        </w:rPr>
        <w:t>k</w:t>
      </w:r>
      <w:r w:rsidR="00B03726">
        <w:rPr>
          <w:rFonts w:ascii="Times New Roman" w:hAnsi="Times New Roman" w:cs="Times New Roman"/>
          <w:sz w:val="24"/>
          <w:szCs w:val="24"/>
        </w:rPr>
        <w:t xml:space="preserve"> puanlarında</w:t>
      </w:r>
      <w:r w:rsidR="00AE3ADC">
        <w:rPr>
          <w:rFonts w:ascii="Times New Roman" w:hAnsi="Times New Roman" w:cs="Times New Roman"/>
          <w:sz w:val="24"/>
          <w:szCs w:val="24"/>
        </w:rPr>
        <w:t xml:space="preserve"> </w:t>
      </w:r>
      <w:r w:rsidR="00390C60">
        <w:rPr>
          <w:rFonts w:ascii="Times New Roman" w:hAnsi="Times New Roman" w:cs="Times New Roman"/>
          <w:sz w:val="24"/>
          <w:szCs w:val="24"/>
        </w:rPr>
        <w:t>artış ile ilişkili bulunmuştur</w:t>
      </w:r>
      <w:r w:rsidR="00AE3ADC">
        <w:rPr>
          <w:rFonts w:ascii="Times New Roman" w:hAnsi="Times New Roman" w:cs="Times New Roman"/>
          <w:sz w:val="24"/>
          <w:szCs w:val="24"/>
        </w:rPr>
        <w:t>.</w:t>
      </w:r>
    </w:p>
    <w:p w:rsidR="00A1663F" w:rsidRPr="000F674B" w:rsidRDefault="00A1663F" w:rsidP="0001687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63F">
        <w:rPr>
          <w:rFonts w:ascii="Times New Roman" w:hAnsi="Times New Roman" w:cs="Times New Roman"/>
          <w:b/>
          <w:sz w:val="24"/>
          <w:szCs w:val="24"/>
        </w:rPr>
        <w:t xml:space="preserve">Sonuç: </w:t>
      </w:r>
      <w:r w:rsidR="00F02FDE">
        <w:rPr>
          <w:rFonts w:ascii="Times New Roman" w:hAnsi="Times New Roman" w:cs="Times New Roman"/>
          <w:sz w:val="24"/>
          <w:szCs w:val="24"/>
        </w:rPr>
        <w:t>B</w:t>
      </w:r>
      <w:r w:rsidR="00F02FDE" w:rsidRPr="000F674B">
        <w:rPr>
          <w:rFonts w:ascii="Times New Roman" w:hAnsi="Times New Roman" w:cs="Times New Roman"/>
          <w:sz w:val="24"/>
          <w:szCs w:val="24"/>
        </w:rPr>
        <w:t xml:space="preserve">u çalışmada </w:t>
      </w:r>
      <w:r w:rsidR="00F02FDE">
        <w:rPr>
          <w:rFonts w:ascii="Times New Roman" w:hAnsi="Times New Roman" w:cs="Times New Roman"/>
          <w:sz w:val="24"/>
          <w:szCs w:val="24"/>
        </w:rPr>
        <w:t>g</w:t>
      </w:r>
      <w:r w:rsidR="000F674B" w:rsidRPr="000F674B">
        <w:rPr>
          <w:rFonts w:ascii="Times New Roman" w:hAnsi="Times New Roman" w:cs="Times New Roman"/>
          <w:sz w:val="24"/>
          <w:szCs w:val="24"/>
        </w:rPr>
        <w:t xml:space="preserve">rup </w:t>
      </w:r>
      <w:proofErr w:type="spellStart"/>
      <w:r w:rsidR="000F674B" w:rsidRPr="000F674B">
        <w:rPr>
          <w:rFonts w:ascii="Times New Roman" w:hAnsi="Times New Roman" w:cs="Times New Roman"/>
          <w:sz w:val="24"/>
          <w:szCs w:val="24"/>
        </w:rPr>
        <w:t>psikoeğitim</w:t>
      </w:r>
      <w:proofErr w:type="spellEnd"/>
      <w:r w:rsidR="000F674B" w:rsidRPr="000F674B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spellStart"/>
      <w:r w:rsidR="0031647B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="0031647B">
        <w:rPr>
          <w:rFonts w:ascii="Times New Roman" w:hAnsi="Times New Roman" w:cs="Times New Roman"/>
          <w:sz w:val="24"/>
          <w:szCs w:val="24"/>
        </w:rPr>
        <w:t xml:space="preserve"> hast</w:t>
      </w:r>
      <w:r w:rsidR="002F0D04">
        <w:rPr>
          <w:rFonts w:ascii="Times New Roman" w:hAnsi="Times New Roman" w:cs="Times New Roman"/>
          <w:sz w:val="24"/>
          <w:szCs w:val="24"/>
        </w:rPr>
        <w:t>a</w:t>
      </w:r>
      <w:r w:rsidR="0031647B">
        <w:rPr>
          <w:rFonts w:ascii="Times New Roman" w:hAnsi="Times New Roman" w:cs="Times New Roman"/>
          <w:sz w:val="24"/>
          <w:szCs w:val="24"/>
        </w:rPr>
        <w:t>ların</w:t>
      </w:r>
      <w:r w:rsidR="000F674B" w:rsidRPr="000F674B">
        <w:rPr>
          <w:rFonts w:ascii="Times New Roman" w:hAnsi="Times New Roman" w:cs="Times New Roman"/>
          <w:sz w:val="24"/>
          <w:szCs w:val="24"/>
        </w:rPr>
        <w:t xml:space="preserve"> işlevselliğini ve </w:t>
      </w:r>
      <w:proofErr w:type="spellStart"/>
      <w:r w:rsidR="00F02FDE">
        <w:rPr>
          <w:rFonts w:ascii="Times New Roman" w:hAnsi="Times New Roman" w:cs="Times New Roman"/>
          <w:sz w:val="24"/>
          <w:szCs w:val="24"/>
        </w:rPr>
        <w:t>içgörü</w:t>
      </w:r>
      <w:proofErr w:type="spellEnd"/>
      <w:r w:rsidR="00F02FDE">
        <w:rPr>
          <w:rFonts w:ascii="Times New Roman" w:hAnsi="Times New Roman" w:cs="Times New Roman"/>
          <w:sz w:val="24"/>
          <w:szCs w:val="24"/>
        </w:rPr>
        <w:t xml:space="preserve"> düzeyini arttırm</w:t>
      </w:r>
      <w:r w:rsidR="000F674B" w:rsidRPr="000F674B">
        <w:rPr>
          <w:rFonts w:ascii="Times New Roman" w:hAnsi="Times New Roman" w:cs="Times New Roman"/>
          <w:sz w:val="24"/>
          <w:szCs w:val="24"/>
        </w:rPr>
        <w:t>ı</w:t>
      </w:r>
      <w:r w:rsidR="00F02FDE">
        <w:rPr>
          <w:rFonts w:ascii="Times New Roman" w:hAnsi="Times New Roman" w:cs="Times New Roman"/>
          <w:sz w:val="24"/>
          <w:szCs w:val="24"/>
        </w:rPr>
        <w:t>ştır</w:t>
      </w:r>
      <w:r w:rsidR="000F674B" w:rsidRPr="000F674B">
        <w:rPr>
          <w:rFonts w:ascii="Times New Roman" w:hAnsi="Times New Roman" w:cs="Times New Roman"/>
          <w:sz w:val="24"/>
          <w:szCs w:val="24"/>
        </w:rPr>
        <w:t xml:space="preserve">. Klinik pratikte </w:t>
      </w:r>
      <w:proofErr w:type="spellStart"/>
      <w:r w:rsidR="0031647B">
        <w:rPr>
          <w:rFonts w:ascii="Times New Roman" w:hAnsi="Times New Roman" w:cs="Times New Roman"/>
          <w:sz w:val="24"/>
          <w:szCs w:val="24"/>
        </w:rPr>
        <w:t>ötimik</w:t>
      </w:r>
      <w:proofErr w:type="spellEnd"/>
      <w:r w:rsidR="00316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FDE" w:rsidRPr="000F674B">
        <w:rPr>
          <w:rFonts w:ascii="Times New Roman" w:hAnsi="Times New Roman" w:cs="Times New Roman"/>
          <w:sz w:val="24"/>
          <w:szCs w:val="24"/>
        </w:rPr>
        <w:t>b</w:t>
      </w:r>
      <w:r w:rsidR="00F02FDE">
        <w:rPr>
          <w:rFonts w:ascii="Times New Roman" w:hAnsi="Times New Roman" w:cs="Times New Roman"/>
          <w:sz w:val="24"/>
          <w:szCs w:val="24"/>
        </w:rPr>
        <w:t>ipolar</w:t>
      </w:r>
      <w:proofErr w:type="spellEnd"/>
      <w:r w:rsidR="00F02FDE">
        <w:rPr>
          <w:rFonts w:ascii="Times New Roman" w:hAnsi="Times New Roman" w:cs="Times New Roman"/>
          <w:sz w:val="24"/>
          <w:szCs w:val="24"/>
        </w:rPr>
        <w:t xml:space="preserve"> bozukluğu olan hastalarda</w:t>
      </w:r>
      <w:r w:rsidR="00F02FDE" w:rsidRPr="000F6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4B" w:rsidRPr="000F674B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="000F674B" w:rsidRPr="000F674B">
        <w:rPr>
          <w:rFonts w:ascii="Times New Roman" w:hAnsi="Times New Roman" w:cs="Times New Roman"/>
          <w:sz w:val="24"/>
          <w:szCs w:val="24"/>
        </w:rPr>
        <w:t xml:space="preserve"> müdahalelerin </w:t>
      </w:r>
      <w:r w:rsidR="0031647B">
        <w:rPr>
          <w:rFonts w:ascii="Times New Roman" w:hAnsi="Times New Roman" w:cs="Times New Roman"/>
          <w:sz w:val="24"/>
          <w:szCs w:val="24"/>
        </w:rPr>
        <w:t>uygulanması hastaların günlük işlevselliğini arttırabilir</w:t>
      </w:r>
      <w:r w:rsidR="00F02F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674B" w:rsidRPr="000F674B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="000F674B" w:rsidRPr="000F674B">
        <w:rPr>
          <w:rFonts w:ascii="Times New Roman" w:hAnsi="Times New Roman" w:cs="Times New Roman"/>
          <w:sz w:val="24"/>
          <w:szCs w:val="24"/>
        </w:rPr>
        <w:t xml:space="preserve"> </w:t>
      </w:r>
      <w:r w:rsidR="000F674B" w:rsidRPr="000F674B">
        <w:rPr>
          <w:rFonts w:ascii="Times New Roman" w:hAnsi="Times New Roman" w:cs="Times New Roman"/>
          <w:sz w:val="24"/>
          <w:szCs w:val="24"/>
        </w:rPr>
        <w:lastRenderedPageBreak/>
        <w:t xml:space="preserve">bozuklukta </w:t>
      </w:r>
      <w:proofErr w:type="spellStart"/>
      <w:r w:rsidR="000F674B" w:rsidRPr="000F674B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="000F674B" w:rsidRPr="000F674B">
        <w:rPr>
          <w:rFonts w:ascii="Times New Roman" w:hAnsi="Times New Roman" w:cs="Times New Roman"/>
          <w:sz w:val="24"/>
          <w:szCs w:val="24"/>
        </w:rPr>
        <w:t xml:space="preserve"> müdahalelerin kısa ve uzun </w:t>
      </w:r>
      <w:r w:rsidR="00F02FDE">
        <w:rPr>
          <w:rFonts w:ascii="Times New Roman" w:hAnsi="Times New Roman" w:cs="Times New Roman"/>
          <w:sz w:val="24"/>
          <w:szCs w:val="24"/>
        </w:rPr>
        <w:t>süreli</w:t>
      </w:r>
      <w:r w:rsidR="000F674B" w:rsidRPr="000F674B">
        <w:rPr>
          <w:rFonts w:ascii="Times New Roman" w:hAnsi="Times New Roman" w:cs="Times New Roman"/>
          <w:sz w:val="24"/>
          <w:szCs w:val="24"/>
        </w:rPr>
        <w:t xml:space="preserve"> etkilerini değerlendirmek için yapılandırılmış </w:t>
      </w:r>
      <w:proofErr w:type="spellStart"/>
      <w:r w:rsidR="000F674B" w:rsidRPr="000F674B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="000F674B" w:rsidRPr="000F674B">
        <w:rPr>
          <w:rFonts w:ascii="Times New Roman" w:hAnsi="Times New Roman" w:cs="Times New Roman"/>
          <w:sz w:val="24"/>
          <w:szCs w:val="24"/>
        </w:rPr>
        <w:t xml:space="preserve"> çalışmalara ihtiyaç vardır.</w:t>
      </w:r>
    </w:p>
    <w:p w:rsidR="00437C48" w:rsidRDefault="00437C48" w:rsidP="0096128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89A">
        <w:rPr>
          <w:rFonts w:ascii="Times New Roman" w:hAnsi="Times New Roman" w:cs="Times New Roman"/>
          <w:b/>
          <w:sz w:val="24"/>
          <w:szCs w:val="24"/>
        </w:rPr>
        <w:t xml:space="preserve">Anahtar Kelimeler: </w:t>
      </w:r>
      <w:proofErr w:type="spellStart"/>
      <w:r w:rsidR="00771C54">
        <w:rPr>
          <w:rFonts w:ascii="Times New Roman" w:hAnsi="Times New Roman" w:cs="Times New Roman"/>
          <w:sz w:val="24"/>
          <w:szCs w:val="24"/>
        </w:rPr>
        <w:t>b</w:t>
      </w:r>
      <w:r w:rsidR="00EE7504">
        <w:rPr>
          <w:rFonts w:ascii="Times New Roman" w:hAnsi="Times New Roman" w:cs="Times New Roman"/>
          <w:sz w:val="24"/>
          <w:szCs w:val="24"/>
        </w:rPr>
        <w:t>ipolar</w:t>
      </w:r>
      <w:proofErr w:type="spellEnd"/>
      <w:r w:rsidRPr="0000289A">
        <w:rPr>
          <w:rFonts w:ascii="Times New Roman" w:hAnsi="Times New Roman" w:cs="Times New Roman"/>
          <w:sz w:val="24"/>
          <w:szCs w:val="24"/>
        </w:rPr>
        <w:t xml:space="preserve"> bozukluk, </w:t>
      </w:r>
      <w:proofErr w:type="spellStart"/>
      <w:r w:rsidRPr="0000289A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00289A">
        <w:rPr>
          <w:rFonts w:ascii="Times New Roman" w:hAnsi="Times New Roman" w:cs="Times New Roman"/>
          <w:sz w:val="24"/>
          <w:szCs w:val="24"/>
        </w:rPr>
        <w:t xml:space="preserve"> müdahale, </w:t>
      </w:r>
      <w:proofErr w:type="spellStart"/>
      <w:r w:rsidRPr="0000289A">
        <w:rPr>
          <w:rFonts w:ascii="Times New Roman" w:hAnsi="Times New Roman" w:cs="Times New Roman"/>
          <w:sz w:val="24"/>
          <w:szCs w:val="24"/>
        </w:rPr>
        <w:t>içgörü</w:t>
      </w:r>
      <w:proofErr w:type="spellEnd"/>
      <w:r w:rsidRPr="0000289A">
        <w:rPr>
          <w:rFonts w:ascii="Times New Roman" w:hAnsi="Times New Roman" w:cs="Times New Roman"/>
          <w:sz w:val="24"/>
          <w:szCs w:val="24"/>
        </w:rPr>
        <w:t xml:space="preserve">, </w:t>
      </w:r>
      <w:r w:rsidR="00EE7504">
        <w:rPr>
          <w:rFonts w:ascii="Times New Roman" w:hAnsi="Times New Roman" w:cs="Times New Roman"/>
          <w:sz w:val="24"/>
          <w:szCs w:val="24"/>
        </w:rPr>
        <w:t xml:space="preserve">tedavi </w:t>
      </w:r>
      <w:r w:rsidRPr="0000289A">
        <w:rPr>
          <w:rFonts w:ascii="Times New Roman" w:hAnsi="Times New Roman" w:cs="Times New Roman"/>
          <w:sz w:val="24"/>
          <w:szCs w:val="24"/>
        </w:rPr>
        <w:t>uyum</w:t>
      </w:r>
      <w:r w:rsidR="00EE7504">
        <w:rPr>
          <w:rFonts w:ascii="Times New Roman" w:hAnsi="Times New Roman" w:cs="Times New Roman"/>
          <w:sz w:val="24"/>
          <w:szCs w:val="24"/>
        </w:rPr>
        <w:t>u</w:t>
      </w:r>
      <w:r w:rsidRPr="0000289A">
        <w:rPr>
          <w:rFonts w:ascii="Times New Roman" w:hAnsi="Times New Roman" w:cs="Times New Roman"/>
          <w:sz w:val="24"/>
          <w:szCs w:val="24"/>
        </w:rPr>
        <w:t>, işlevsellik</w:t>
      </w:r>
    </w:p>
    <w:p w:rsidR="00744F87" w:rsidRDefault="00744F87" w:rsidP="00961280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F87" w:rsidRPr="00744F87" w:rsidRDefault="00744F87" w:rsidP="00744F87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F87">
        <w:rPr>
          <w:rFonts w:ascii="Times New Roman" w:hAnsi="Times New Roman" w:cs="Times New Roman"/>
          <w:b/>
          <w:sz w:val="24"/>
          <w:szCs w:val="24"/>
        </w:rPr>
        <w:t>Effectiveness</w:t>
      </w:r>
      <w:proofErr w:type="spellEnd"/>
      <w:r w:rsidRPr="00744F8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44F8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744F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b/>
          <w:sz w:val="24"/>
          <w:szCs w:val="24"/>
        </w:rPr>
        <w:t>Psychoeducation</w:t>
      </w:r>
      <w:proofErr w:type="spellEnd"/>
      <w:r w:rsidRPr="00744F87">
        <w:rPr>
          <w:rFonts w:ascii="Times New Roman" w:hAnsi="Times New Roman" w:cs="Times New Roman"/>
          <w:b/>
          <w:sz w:val="24"/>
          <w:szCs w:val="24"/>
        </w:rPr>
        <w:t xml:space="preserve"> Program in </w:t>
      </w:r>
      <w:proofErr w:type="spellStart"/>
      <w:r w:rsidRPr="00744F87">
        <w:rPr>
          <w:rFonts w:ascii="Times New Roman" w:hAnsi="Times New Roman" w:cs="Times New Roman"/>
          <w:b/>
          <w:sz w:val="24"/>
          <w:szCs w:val="24"/>
        </w:rPr>
        <w:t>Bipolar</w:t>
      </w:r>
      <w:proofErr w:type="spellEnd"/>
      <w:r w:rsidRPr="00744F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b/>
          <w:sz w:val="24"/>
          <w:szCs w:val="24"/>
        </w:rPr>
        <w:t>Disorder</w:t>
      </w:r>
      <w:proofErr w:type="spellEnd"/>
      <w:r w:rsidRPr="00744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F87" w:rsidRPr="00744F87" w:rsidRDefault="00744F87" w:rsidP="00744F87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4F87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744F87" w:rsidRPr="00744F87" w:rsidRDefault="00744F87" w:rsidP="00744F8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87">
        <w:rPr>
          <w:rFonts w:ascii="Times New Roman" w:hAnsi="Times New Roman" w:cs="Times New Roman"/>
          <w:b/>
          <w:sz w:val="24"/>
          <w:szCs w:val="24"/>
        </w:rPr>
        <w:t>Objective</w:t>
      </w:r>
      <w:proofErr w:type="spellEnd"/>
      <w:r w:rsidRPr="00744F87">
        <w:rPr>
          <w:rFonts w:ascii="Times New Roman" w:hAnsi="Times New Roman" w:cs="Times New Roman"/>
          <w:b/>
          <w:sz w:val="24"/>
          <w:szCs w:val="24"/>
        </w:rPr>
        <w:t>:</w:t>
      </w:r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psychoeducation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program in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euthymic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F87" w:rsidRPr="00744F87" w:rsidRDefault="00744F87" w:rsidP="00744F8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87">
        <w:rPr>
          <w:rFonts w:ascii="Times New Roman" w:hAnsi="Times New Roman" w:cs="Times New Roman"/>
          <w:b/>
          <w:sz w:val="24"/>
          <w:szCs w:val="24"/>
        </w:rPr>
        <w:t>Method</w:t>
      </w:r>
      <w:proofErr w:type="spellEnd"/>
      <w:r w:rsidRPr="00744F87">
        <w:rPr>
          <w:rFonts w:ascii="Times New Roman" w:hAnsi="Times New Roman" w:cs="Times New Roman"/>
          <w:b/>
          <w:sz w:val="24"/>
          <w:szCs w:val="24"/>
        </w:rPr>
        <w:t>:</w:t>
      </w:r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Sixty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Outpatient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Dışkapı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Yıldırım Beyazıt Training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enrolled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randomly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30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psychoeducation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consisted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sixteen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session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lasted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r w:rsidR="00B82732">
        <w:rPr>
          <w:rFonts w:ascii="Times New Roman" w:hAnsi="Times New Roman" w:cs="Times New Roman"/>
          <w:sz w:val="24"/>
          <w:szCs w:val="24"/>
        </w:rPr>
        <w:t>90</w:t>
      </w:r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. Hamilton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Depression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F87">
        <w:rPr>
          <w:rFonts w:ascii="Times New Roman" w:hAnsi="Times New Roman" w:cs="Times New Roman"/>
          <w:sz w:val="24"/>
          <w:szCs w:val="24"/>
        </w:rPr>
        <w:t>Mania</w:t>
      </w:r>
      <w:proofErr w:type="gram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Rating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Global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Morisky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Adherence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scales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Non-parametric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Mann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Whitney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-U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Wilcoxon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psychoeducation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744F87" w:rsidRPr="00744F87" w:rsidRDefault="00744F87" w:rsidP="00744F8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87">
        <w:rPr>
          <w:rFonts w:ascii="Times New Roman" w:hAnsi="Times New Roman" w:cs="Times New Roman"/>
          <w:b/>
          <w:sz w:val="24"/>
          <w:szCs w:val="24"/>
        </w:rPr>
        <w:t>Findings</w:t>
      </w:r>
      <w:proofErr w:type="spellEnd"/>
      <w:r w:rsidRPr="00744F87">
        <w:rPr>
          <w:rFonts w:ascii="Times New Roman" w:hAnsi="Times New Roman" w:cs="Times New Roman"/>
          <w:b/>
          <w:sz w:val="24"/>
          <w:szCs w:val="24"/>
        </w:rPr>
        <w:t>:</w:t>
      </w:r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depression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F87">
        <w:rPr>
          <w:rFonts w:ascii="Times New Roman" w:hAnsi="Times New Roman" w:cs="Times New Roman"/>
          <w:sz w:val="24"/>
          <w:szCs w:val="24"/>
        </w:rPr>
        <w:t>mania</w:t>
      </w:r>
      <w:proofErr w:type="gram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scores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adminsitration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psychoeducation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psychoeducation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in general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adherence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psychoeducation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improved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stigmatization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introversion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scores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Depression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F87">
        <w:rPr>
          <w:rFonts w:ascii="Times New Roman" w:hAnsi="Times New Roman" w:cs="Times New Roman"/>
          <w:sz w:val="24"/>
          <w:szCs w:val="24"/>
        </w:rPr>
        <w:t>mania</w:t>
      </w:r>
      <w:proofErr w:type="gram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scores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16th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lastRenderedPageBreak/>
        <w:t>compared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psychoeducation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psychoeducation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functionality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>.</w:t>
      </w:r>
    </w:p>
    <w:p w:rsidR="00744F87" w:rsidRPr="00744F87" w:rsidRDefault="00744F87" w:rsidP="00744F8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87">
        <w:rPr>
          <w:rFonts w:ascii="Times New Roman" w:hAnsi="Times New Roman" w:cs="Times New Roman"/>
          <w:b/>
          <w:sz w:val="24"/>
          <w:szCs w:val="24"/>
        </w:rPr>
        <w:t>Conclusion</w:t>
      </w:r>
      <w:proofErr w:type="spellEnd"/>
      <w:r w:rsidRPr="00744F87">
        <w:rPr>
          <w:rFonts w:ascii="Times New Roman" w:hAnsi="Times New Roman" w:cs="Times New Roman"/>
          <w:b/>
          <w:sz w:val="24"/>
          <w:szCs w:val="24"/>
        </w:rPr>
        <w:t>:</w:t>
      </w:r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psychoeducation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functionality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psychosocial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functionality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Structured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prospective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long-term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psychosocial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>.</w:t>
      </w:r>
    </w:p>
    <w:p w:rsidR="00D91EED" w:rsidRPr="0000289A" w:rsidRDefault="00744F87" w:rsidP="00744F87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F87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744F87">
        <w:rPr>
          <w:rFonts w:ascii="Times New Roman" w:hAnsi="Times New Roman" w:cs="Times New Roman"/>
          <w:b/>
          <w:sz w:val="24"/>
          <w:szCs w:val="24"/>
        </w:rPr>
        <w:t>:</w:t>
      </w:r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disorder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psychosocial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adherence</w:t>
      </w:r>
      <w:proofErr w:type="spellEnd"/>
      <w:r w:rsidRPr="00744F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F87">
        <w:rPr>
          <w:rFonts w:ascii="Times New Roman" w:hAnsi="Times New Roman" w:cs="Times New Roman"/>
          <w:sz w:val="24"/>
          <w:szCs w:val="24"/>
        </w:rPr>
        <w:t>functionality</w:t>
      </w:r>
      <w:proofErr w:type="spellEnd"/>
    </w:p>
    <w:p w:rsidR="00E178B4" w:rsidRDefault="00E178B4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72672050"/>
    </w:p>
    <w:p w:rsidR="00E178B4" w:rsidRDefault="00E178B4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78B4" w:rsidRDefault="00E178B4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78B4" w:rsidRDefault="00E178B4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78B4" w:rsidRDefault="00E178B4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78B4" w:rsidRDefault="00E178B4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78B4" w:rsidRDefault="00E178B4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78B4" w:rsidRDefault="00E178B4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78B4" w:rsidRDefault="00E178B4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78B4" w:rsidRDefault="00E178B4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78B4" w:rsidRDefault="00E178B4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DCC" w:rsidRDefault="003F2DCC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F87" w:rsidRDefault="00744F87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744F87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7912" w:rsidRPr="00A97E71" w:rsidRDefault="00227912" w:rsidP="00961280">
      <w:pPr>
        <w:spacing w:line="480" w:lineRule="auto"/>
        <w:rPr>
          <w:rFonts w:ascii="Times New Roman" w:hAnsi="Times New Roman" w:cs="Times New Roman"/>
          <w:b/>
        </w:rPr>
      </w:pPr>
      <w:r w:rsidRPr="00A97E71">
        <w:rPr>
          <w:rFonts w:ascii="Times New Roman" w:hAnsi="Times New Roman" w:cs="Times New Roman"/>
          <w:b/>
        </w:rPr>
        <w:lastRenderedPageBreak/>
        <w:t>GİRİŞ</w:t>
      </w:r>
      <w:bookmarkEnd w:id="0"/>
    </w:p>
    <w:p w:rsidR="00227912" w:rsidRDefault="00227912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27912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40BC" w:rsidRDefault="00F17618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Bipolar</w:t>
      </w:r>
      <w:proofErr w:type="spellEnd"/>
      <w:r w:rsidR="00F8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129B" w:rsidRPr="00FA129B">
        <w:rPr>
          <w:rFonts w:ascii="Times New Roman" w:eastAsia="Times New Roman" w:hAnsi="Times New Roman" w:cs="Times New Roman"/>
          <w:sz w:val="24"/>
          <w:szCs w:val="24"/>
        </w:rPr>
        <w:t>duygudurum</w:t>
      </w:r>
      <w:proofErr w:type="spellEnd"/>
      <w:r w:rsidR="00FA129B" w:rsidRPr="00FA129B">
        <w:rPr>
          <w:rFonts w:ascii="Times New Roman" w:eastAsia="Times New Roman" w:hAnsi="Times New Roman" w:cs="Times New Roman"/>
          <w:sz w:val="24"/>
          <w:szCs w:val="24"/>
        </w:rPr>
        <w:t xml:space="preserve"> bozukluğu mani ve depresyon ataklarıyla karakterize, arada iyilik dönemlerinin bulunduğu, uzun süreli</w:t>
      </w:r>
      <w:r w:rsidR="00FA129B" w:rsidRPr="00C140BC">
        <w:rPr>
          <w:rFonts w:ascii="Times New Roman" w:eastAsia="Times New Roman" w:hAnsi="Times New Roman" w:cs="Times New Roman"/>
          <w:sz w:val="24"/>
          <w:szCs w:val="24"/>
        </w:rPr>
        <w:t xml:space="preserve"> seyir gösteren,</w:t>
      </w:r>
      <w:r w:rsidR="00FA129B" w:rsidRPr="00FA129B">
        <w:rPr>
          <w:rFonts w:ascii="Times New Roman" w:eastAsia="Times New Roman" w:hAnsi="Times New Roman" w:cs="Times New Roman"/>
          <w:sz w:val="24"/>
          <w:szCs w:val="24"/>
        </w:rPr>
        <w:t xml:space="preserve"> belirgin </w:t>
      </w:r>
      <w:proofErr w:type="spellStart"/>
      <w:r w:rsidR="00FA129B" w:rsidRPr="00FA129B">
        <w:rPr>
          <w:rFonts w:ascii="Times New Roman" w:eastAsia="Times New Roman" w:hAnsi="Times New Roman" w:cs="Times New Roman"/>
          <w:sz w:val="24"/>
          <w:szCs w:val="24"/>
        </w:rPr>
        <w:t>psikososyal</w:t>
      </w:r>
      <w:proofErr w:type="spellEnd"/>
      <w:r w:rsidR="00FA129B" w:rsidRPr="00FA129B">
        <w:rPr>
          <w:rFonts w:ascii="Times New Roman" w:eastAsia="Times New Roman" w:hAnsi="Times New Roman" w:cs="Times New Roman"/>
          <w:sz w:val="24"/>
          <w:szCs w:val="24"/>
        </w:rPr>
        <w:t xml:space="preserve"> bozulmaya ve yeti yitimine yol açabilen bir rahatsızlıktır. </w:t>
      </w:r>
      <w:r w:rsidR="002C5399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(Leboyer, </w:t>
      </w:r>
      <w:r w:rsidR="009F3591" w:rsidRPr="00565CF0">
        <w:rPr>
          <w:rFonts w:ascii="Times New Roman" w:hAnsi="Times New Roman"/>
          <w:sz w:val="24"/>
          <w:szCs w:val="24"/>
        </w:rPr>
        <w:t xml:space="preserve">Henry, </w:t>
      </w:r>
      <w:proofErr w:type="spellStart"/>
      <w:r w:rsidR="009F3591" w:rsidRPr="00565CF0">
        <w:rPr>
          <w:rFonts w:ascii="Times New Roman" w:hAnsi="Times New Roman"/>
          <w:sz w:val="24"/>
          <w:szCs w:val="24"/>
        </w:rPr>
        <w:t>Paillere-Martinot</w:t>
      </w:r>
      <w:proofErr w:type="spellEnd"/>
      <w:r w:rsidR="00854EAF">
        <w:rPr>
          <w:rFonts w:ascii="Times New Roman" w:hAnsi="Times New Roman"/>
          <w:sz w:val="24"/>
          <w:szCs w:val="24"/>
        </w:rPr>
        <w:t>,</w:t>
      </w:r>
      <w:r w:rsidR="003C7C0F">
        <w:rPr>
          <w:rFonts w:ascii="Times New Roman" w:hAnsi="Times New Roman"/>
          <w:sz w:val="24"/>
          <w:szCs w:val="24"/>
        </w:rPr>
        <w:t xml:space="preserve"> </w:t>
      </w:r>
      <w:r w:rsidR="003C7C0F" w:rsidRPr="003C7C0F">
        <w:rPr>
          <w:rFonts w:ascii="Times New Roman" w:hAnsi="Times New Roman"/>
          <w:sz w:val="24"/>
          <w:szCs w:val="24"/>
        </w:rPr>
        <w:t>&amp;</w:t>
      </w:r>
      <w:r w:rsidR="009F3591" w:rsidRPr="00565C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3591" w:rsidRPr="00565CF0">
        <w:rPr>
          <w:rFonts w:ascii="Times New Roman" w:hAnsi="Times New Roman"/>
          <w:sz w:val="24"/>
          <w:szCs w:val="24"/>
        </w:rPr>
        <w:t>Bellivier</w:t>
      </w:r>
      <w:proofErr w:type="spellEnd"/>
      <w:r w:rsidR="009F3591">
        <w:rPr>
          <w:rFonts w:ascii="Times New Roman" w:hAnsi="Times New Roman"/>
          <w:sz w:val="24"/>
          <w:szCs w:val="24"/>
        </w:rPr>
        <w:t>,</w:t>
      </w:r>
      <w:r w:rsidR="009F3591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C5399" w:rsidRPr="002C5399">
        <w:rPr>
          <w:rFonts w:ascii="Times New Roman" w:eastAsia="Times New Roman" w:hAnsi="Times New Roman" w:cs="Times New Roman"/>
          <w:noProof/>
          <w:sz w:val="24"/>
          <w:szCs w:val="24"/>
        </w:rPr>
        <w:t>2005)</w:t>
      </w:r>
      <w:r w:rsidR="00FA129B" w:rsidRPr="00FA12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32D2" w:rsidRPr="004532D2">
        <w:rPr>
          <w:rFonts w:ascii="Times New Roman" w:eastAsia="Times New Roman" w:hAnsi="Times New Roman" w:cs="Times New Roman"/>
          <w:sz w:val="24"/>
          <w:szCs w:val="24"/>
        </w:rPr>
        <w:t xml:space="preserve">Sosyal, mesleki, yasal güçlükler, yüksek </w:t>
      </w:r>
      <w:proofErr w:type="spellStart"/>
      <w:r w:rsidR="004532D2" w:rsidRPr="004532D2">
        <w:rPr>
          <w:rFonts w:ascii="Times New Roman" w:eastAsia="Times New Roman" w:hAnsi="Times New Roman" w:cs="Times New Roman"/>
          <w:sz w:val="24"/>
          <w:szCs w:val="24"/>
        </w:rPr>
        <w:t>özkıyım</w:t>
      </w:r>
      <w:proofErr w:type="spellEnd"/>
      <w:r w:rsidR="004532D2" w:rsidRPr="004532D2">
        <w:rPr>
          <w:rFonts w:ascii="Times New Roman" w:eastAsia="Times New Roman" w:hAnsi="Times New Roman" w:cs="Times New Roman"/>
          <w:sz w:val="24"/>
          <w:szCs w:val="24"/>
        </w:rPr>
        <w:t xml:space="preserve"> ve madde kötüye kullanım oranları ile çok sayıda hastane yatışına neden olabilmekte ve kişilerin yaşam akışını ciddi biçimde aksatabilmektedir.</w:t>
      </w:r>
      <w:r w:rsidR="00B14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5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(Strober </w:t>
      </w:r>
      <w:r w:rsidR="00184F49">
        <w:rPr>
          <w:rFonts w:ascii="Times New Roman" w:eastAsia="Times New Roman" w:hAnsi="Times New Roman" w:cs="Times New Roman"/>
          <w:noProof/>
          <w:sz w:val="24"/>
          <w:szCs w:val="24"/>
        </w:rPr>
        <w:t>ve ark</w:t>
      </w:r>
      <w:r w:rsidR="00F925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., </w:t>
      </w:r>
      <w:r w:rsidR="002C5399" w:rsidRPr="002C5399">
        <w:rPr>
          <w:rFonts w:ascii="Times New Roman" w:eastAsia="Times New Roman" w:hAnsi="Times New Roman" w:cs="Times New Roman"/>
          <w:noProof/>
          <w:sz w:val="24"/>
          <w:szCs w:val="24"/>
        </w:rPr>
        <w:t>1995)</w:t>
      </w:r>
      <w:r w:rsidR="00F92527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B14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0BC" w:rsidRPr="00C140BC">
        <w:rPr>
          <w:rFonts w:ascii="Times New Roman" w:eastAsia="Times New Roman" w:hAnsi="Times New Roman" w:cs="Times New Roman"/>
          <w:sz w:val="24"/>
          <w:szCs w:val="24"/>
        </w:rPr>
        <w:t>Bu rahatsızlığın tedavis</w:t>
      </w:r>
      <w:r w:rsidR="006472F9">
        <w:rPr>
          <w:rFonts w:ascii="Times New Roman" w:eastAsia="Times New Roman" w:hAnsi="Times New Roman" w:cs="Times New Roman"/>
          <w:sz w:val="24"/>
          <w:szCs w:val="24"/>
        </w:rPr>
        <w:t>inde ilaç tedavisinin yanı sıra a</w:t>
      </w:r>
      <w:r w:rsidR="00C140BC" w:rsidRPr="00C140BC">
        <w:rPr>
          <w:rFonts w:ascii="Times New Roman" w:eastAsia="Times New Roman" w:hAnsi="Times New Roman" w:cs="Times New Roman"/>
          <w:sz w:val="24"/>
          <w:szCs w:val="24"/>
        </w:rPr>
        <w:t>tak dönemleri başarıyla tedavi edildi</w:t>
      </w:r>
      <w:r w:rsidR="00F31280">
        <w:rPr>
          <w:rFonts w:ascii="Times New Roman" w:eastAsia="Times New Roman" w:hAnsi="Times New Roman" w:cs="Times New Roman"/>
          <w:sz w:val="24"/>
          <w:szCs w:val="24"/>
        </w:rPr>
        <w:t xml:space="preserve">kten sonra ara dönemde görülebilen kalıntı </w:t>
      </w:r>
      <w:r w:rsidR="00C140BC" w:rsidRPr="00C140BC">
        <w:rPr>
          <w:rFonts w:ascii="Times New Roman" w:eastAsia="Times New Roman" w:hAnsi="Times New Roman" w:cs="Times New Roman"/>
          <w:sz w:val="24"/>
          <w:szCs w:val="24"/>
        </w:rPr>
        <w:t xml:space="preserve">belirtilerin yol açtığı bireysel, sosyal ve mesleki kayıpların giderilmesine yönelik </w:t>
      </w:r>
      <w:proofErr w:type="spellStart"/>
      <w:r w:rsidR="00C140BC" w:rsidRPr="00C140BC">
        <w:rPr>
          <w:rFonts w:ascii="Times New Roman" w:eastAsia="Times New Roman" w:hAnsi="Times New Roman" w:cs="Times New Roman"/>
          <w:sz w:val="24"/>
          <w:szCs w:val="24"/>
        </w:rPr>
        <w:t>psikososyal</w:t>
      </w:r>
      <w:proofErr w:type="spellEnd"/>
      <w:r w:rsidR="00C140BC" w:rsidRPr="00C140BC">
        <w:rPr>
          <w:rFonts w:ascii="Times New Roman" w:eastAsia="Times New Roman" w:hAnsi="Times New Roman" w:cs="Times New Roman"/>
          <w:sz w:val="24"/>
          <w:szCs w:val="24"/>
        </w:rPr>
        <w:t xml:space="preserve"> müdahaleler önerilmektedir</w:t>
      </w:r>
      <w:r w:rsidR="00B14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375">
        <w:rPr>
          <w:rFonts w:ascii="Times New Roman" w:eastAsia="Times New Roman" w:hAnsi="Times New Roman" w:cs="Times New Roman"/>
          <w:noProof/>
          <w:sz w:val="24"/>
          <w:szCs w:val="24"/>
        </w:rPr>
        <w:t>(Miziou</w:t>
      </w:r>
      <w:r w:rsidR="002C5399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84F49">
        <w:rPr>
          <w:rFonts w:ascii="Times New Roman" w:hAnsi="Times New Roman"/>
          <w:sz w:val="24"/>
          <w:szCs w:val="24"/>
        </w:rPr>
        <w:t>ve ark</w:t>
      </w:r>
      <w:proofErr w:type="gramStart"/>
      <w:r w:rsidR="00184F49">
        <w:rPr>
          <w:rFonts w:ascii="Times New Roman" w:hAnsi="Times New Roman"/>
          <w:sz w:val="24"/>
          <w:szCs w:val="24"/>
        </w:rPr>
        <w:t>.</w:t>
      </w:r>
      <w:r w:rsidR="00DB0375">
        <w:rPr>
          <w:rFonts w:ascii="Times New Roman" w:hAnsi="Times New Roman"/>
          <w:sz w:val="24"/>
          <w:szCs w:val="24"/>
        </w:rPr>
        <w:t>,</w:t>
      </w:r>
      <w:proofErr w:type="gramEnd"/>
      <w:r w:rsidR="00DB0375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C5399" w:rsidRPr="002C5399">
        <w:rPr>
          <w:rFonts w:ascii="Times New Roman" w:eastAsia="Times New Roman" w:hAnsi="Times New Roman" w:cs="Times New Roman"/>
          <w:noProof/>
          <w:sz w:val="24"/>
          <w:szCs w:val="24"/>
        </w:rPr>
        <w:t>2015)</w:t>
      </w:r>
      <w:r w:rsidR="00C140BC" w:rsidRPr="00C140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5408" w:rsidRDefault="00DE73B1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Bilişsel davranışçı tedaviler, grup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psikoeğitimi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aile odaklı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terapiler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işlevsel iyileştirme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remediation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405D3" w:rsidRPr="00E41C2A">
        <w:rPr>
          <w:rFonts w:ascii="Times New Roman" w:hAnsi="Times New Roman" w:cs="Times New Roman"/>
          <w:bCs/>
          <w:sz w:val="24"/>
          <w:szCs w:val="24"/>
        </w:rPr>
        <w:t>kişilerarası ve sosyal ritim terapisi</w:t>
      </w:r>
      <w:r w:rsidR="00D11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312">
        <w:rPr>
          <w:rFonts w:ascii="Times New Roman" w:eastAsia="Times New Roman" w:hAnsi="Times New Roman" w:cs="Times New Roman"/>
          <w:sz w:val="24"/>
          <w:szCs w:val="24"/>
        </w:rPr>
        <w:t xml:space="preserve">gibi </w:t>
      </w:r>
      <w:r w:rsidR="00D114C1">
        <w:rPr>
          <w:rFonts w:ascii="Times New Roman" w:eastAsia="Times New Roman" w:hAnsi="Times New Roman" w:cs="Times New Roman"/>
          <w:sz w:val="24"/>
          <w:szCs w:val="24"/>
        </w:rPr>
        <w:t>müdahal</w:t>
      </w:r>
      <w:r w:rsidR="007543E8">
        <w:rPr>
          <w:rFonts w:ascii="Times New Roman" w:eastAsia="Times New Roman" w:hAnsi="Times New Roman" w:cs="Times New Roman"/>
          <w:sz w:val="24"/>
          <w:szCs w:val="24"/>
        </w:rPr>
        <w:t>eler</w:t>
      </w:r>
      <w:r w:rsidR="00E1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312">
        <w:rPr>
          <w:rFonts w:ascii="Times New Roman" w:eastAsia="Times New Roman" w:hAnsi="Times New Roman" w:cs="Times New Roman"/>
          <w:sz w:val="24"/>
          <w:szCs w:val="24"/>
        </w:rPr>
        <w:t>bipolar</w:t>
      </w:r>
      <w:proofErr w:type="spellEnd"/>
      <w:r w:rsidR="00C44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0356">
        <w:rPr>
          <w:rFonts w:ascii="Times New Roman" w:eastAsia="Times New Roman" w:hAnsi="Times New Roman" w:cs="Times New Roman"/>
          <w:sz w:val="24"/>
          <w:szCs w:val="24"/>
        </w:rPr>
        <w:t xml:space="preserve">bozukluğunda </w:t>
      </w:r>
      <w:proofErr w:type="spellStart"/>
      <w:r w:rsidR="00E10356">
        <w:rPr>
          <w:rFonts w:ascii="Times New Roman" w:eastAsia="Times New Roman" w:hAnsi="Times New Roman" w:cs="Times New Roman"/>
          <w:sz w:val="24"/>
          <w:szCs w:val="24"/>
        </w:rPr>
        <w:t>psikososyal</w:t>
      </w:r>
      <w:proofErr w:type="spellEnd"/>
      <w:r w:rsidR="00E10356">
        <w:rPr>
          <w:rFonts w:ascii="Times New Roman" w:eastAsia="Times New Roman" w:hAnsi="Times New Roman" w:cs="Times New Roman"/>
          <w:sz w:val="24"/>
          <w:szCs w:val="24"/>
        </w:rPr>
        <w:t xml:space="preserve"> müdahaleler içerisinde yer almaktadır</w:t>
      </w:r>
      <w:r w:rsidR="00E53699" w:rsidRPr="00E53699">
        <w:rPr>
          <w:rFonts w:ascii="Times New Roman" w:hAnsi="Times New Roman"/>
          <w:sz w:val="24"/>
          <w:szCs w:val="24"/>
        </w:rPr>
        <w:t xml:space="preserve"> </w:t>
      </w:r>
      <w:r w:rsidR="00854EAF">
        <w:rPr>
          <w:rFonts w:ascii="Times New Roman" w:hAnsi="Times New Roman"/>
          <w:sz w:val="24"/>
          <w:szCs w:val="24"/>
        </w:rPr>
        <w:t>(</w:t>
      </w:r>
      <w:proofErr w:type="spellStart"/>
      <w:r w:rsidR="00854EAF">
        <w:rPr>
          <w:rFonts w:ascii="Times New Roman" w:hAnsi="Times New Roman"/>
          <w:sz w:val="24"/>
          <w:szCs w:val="24"/>
        </w:rPr>
        <w:t>Miklowitz</w:t>
      </w:r>
      <w:proofErr w:type="spellEnd"/>
      <w:r w:rsidR="00E53699">
        <w:rPr>
          <w:rFonts w:ascii="Times New Roman" w:hAnsi="Times New Roman"/>
          <w:sz w:val="24"/>
          <w:szCs w:val="24"/>
        </w:rPr>
        <w:t>, 2008)</w:t>
      </w:r>
      <w:r w:rsidR="00E103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4312">
        <w:rPr>
          <w:rFonts w:ascii="Times New Roman" w:eastAsia="Times New Roman" w:hAnsi="Times New Roman" w:cs="Times New Roman"/>
          <w:sz w:val="24"/>
          <w:szCs w:val="24"/>
        </w:rPr>
        <w:t xml:space="preserve"> Bu müdahalelerin </w:t>
      </w:r>
      <w:r w:rsidR="00D114C1">
        <w:rPr>
          <w:rFonts w:ascii="Times New Roman" w:eastAsia="Times New Roman" w:hAnsi="Times New Roman" w:cs="Times New Roman"/>
          <w:sz w:val="24"/>
          <w:szCs w:val="24"/>
        </w:rPr>
        <w:t>stresli yaşam olayları ile başa çıkma, hastanın veya ailesinin bilgilendirilmesi, düzenli bir yaşam akışının sürdürülmesi, yinelemelerin vaktinde tanınması, ilaç tedavilerine uyumun artırılması gibi hedefleri bulunmaktadır. Bunlara ek olarak</w:t>
      </w:r>
      <w:r w:rsidR="00F8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4C1">
        <w:rPr>
          <w:rFonts w:ascii="Times New Roman" w:eastAsia="Times New Roman" w:hAnsi="Times New Roman" w:cs="Times New Roman"/>
          <w:sz w:val="24"/>
          <w:szCs w:val="24"/>
        </w:rPr>
        <w:t>bu yaklaşımların</w:t>
      </w:r>
      <w:r w:rsidR="00F85408" w:rsidRPr="00F8648B">
        <w:rPr>
          <w:rFonts w:ascii="Times New Roman" w:eastAsia="Times New Roman" w:hAnsi="Times New Roman" w:cs="Times New Roman"/>
          <w:sz w:val="24"/>
          <w:szCs w:val="24"/>
        </w:rPr>
        <w:t xml:space="preserve"> hastaların mesleki ve sosyal işlevselliği ile yaşam kalitesini art</w:t>
      </w:r>
      <w:r w:rsidR="00F85408">
        <w:rPr>
          <w:rFonts w:ascii="Times New Roman" w:eastAsia="Times New Roman" w:hAnsi="Times New Roman" w:cs="Times New Roman"/>
          <w:sz w:val="24"/>
          <w:szCs w:val="24"/>
        </w:rPr>
        <w:t xml:space="preserve">tırdığı, yinelemeleri önleyerek </w:t>
      </w:r>
      <w:r w:rsidR="00D114C1">
        <w:rPr>
          <w:rFonts w:ascii="Times New Roman" w:eastAsia="Times New Roman" w:hAnsi="Times New Roman" w:cs="Times New Roman"/>
          <w:sz w:val="24"/>
          <w:szCs w:val="24"/>
        </w:rPr>
        <w:t>tedavi maliyetlerini</w:t>
      </w:r>
      <w:r w:rsidR="00F85408" w:rsidRPr="00F8648B">
        <w:rPr>
          <w:rFonts w:ascii="Times New Roman" w:eastAsia="Times New Roman" w:hAnsi="Times New Roman" w:cs="Times New Roman"/>
          <w:sz w:val="24"/>
          <w:szCs w:val="24"/>
        </w:rPr>
        <w:t xml:space="preserve"> azalttığı</w:t>
      </w:r>
      <w:r w:rsidR="00D114C1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F85408" w:rsidRPr="00F8648B">
        <w:rPr>
          <w:rFonts w:ascii="Times New Roman" w:eastAsia="Times New Roman" w:hAnsi="Times New Roman" w:cs="Times New Roman"/>
          <w:sz w:val="24"/>
          <w:szCs w:val="24"/>
        </w:rPr>
        <w:t xml:space="preserve"> gösterilmiştir</w:t>
      </w:r>
      <w:r w:rsidR="00F854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5408" w:rsidRPr="002C5399">
        <w:rPr>
          <w:rFonts w:ascii="Times New Roman" w:eastAsia="Times New Roman" w:hAnsi="Times New Roman" w:cs="Times New Roman"/>
          <w:noProof/>
          <w:sz w:val="24"/>
          <w:szCs w:val="24"/>
        </w:rPr>
        <w:t>(Dean</w:t>
      </w:r>
      <w:r w:rsidR="006E7E7D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F85408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6E7E7D" w:rsidRPr="00F472DC">
        <w:rPr>
          <w:rFonts w:ascii="Times New Roman" w:hAnsi="Times New Roman"/>
          <w:sz w:val="24"/>
          <w:szCs w:val="24"/>
        </w:rPr>
        <w:t>Gerner</w:t>
      </w:r>
      <w:proofErr w:type="spellEnd"/>
      <w:r w:rsidR="00854EAF">
        <w:rPr>
          <w:rFonts w:ascii="Times New Roman" w:hAnsi="Times New Roman"/>
          <w:sz w:val="24"/>
          <w:szCs w:val="24"/>
        </w:rPr>
        <w:t>,</w:t>
      </w:r>
      <w:r w:rsidR="00C96AB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96ABB" w:rsidRPr="003C7C0F">
        <w:rPr>
          <w:rFonts w:ascii="Times New Roman" w:hAnsi="Times New Roman"/>
          <w:sz w:val="24"/>
          <w:szCs w:val="24"/>
        </w:rPr>
        <w:t>&amp;</w:t>
      </w:r>
      <w:r w:rsidR="00F85408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6E7E7D" w:rsidRPr="00F472DC">
        <w:rPr>
          <w:rFonts w:ascii="Times New Roman" w:hAnsi="Times New Roman"/>
          <w:sz w:val="24"/>
          <w:szCs w:val="24"/>
        </w:rPr>
        <w:t>Gerner</w:t>
      </w:r>
      <w:proofErr w:type="spellEnd"/>
      <w:r w:rsidR="006E7E7D">
        <w:rPr>
          <w:rFonts w:ascii="Times New Roman" w:hAnsi="Times New Roman"/>
          <w:sz w:val="24"/>
          <w:szCs w:val="24"/>
        </w:rPr>
        <w:t>,</w:t>
      </w:r>
      <w:r w:rsidR="006E7E7D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85408" w:rsidRPr="002C5399">
        <w:rPr>
          <w:rFonts w:ascii="Times New Roman" w:eastAsia="Times New Roman" w:hAnsi="Times New Roman" w:cs="Times New Roman"/>
          <w:noProof/>
          <w:sz w:val="24"/>
          <w:szCs w:val="24"/>
        </w:rPr>
        <w:t>2004)</w:t>
      </w:r>
      <w:r w:rsidR="00F85408" w:rsidRPr="00F864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39E5" w:rsidRDefault="00366574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Psikoeğitim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bilgilendirme, </w:t>
      </w:r>
      <w:r w:rsidR="00DE73B1">
        <w:rPr>
          <w:rFonts w:ascii="Times New Roman" w:eastAsia="Times New Roman" w:hAnsi="Times New Roman" w:cs="Times New Roman"/>
          <w:sz w:val="24"/>
          <w:szCs w:val="24"/>
        </w:rPr>
        <w:t xml:space="preserve">olası sorunlarla </w:t>
      </w:r>
      <w:r>
        <w:rPr>
          <w:rFonts w:ascii="Times New Roman" w:eastAsia="Times New Roman" w:hAnsi="Times New Roman" w:cs="Times New Roman"/>
          <w:sz w:val="24"/>
          <w:szCs w:val="24"/>
        </w:rPr>
        <w:t>başa</w:t>
      </w:r>
      <w:r w:rsidR="00D61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çıkma, </w:t>
      </w:r>
      <w:r w:rsidR="00DE73B1">
        <w:rPr>
          <w:rFonts w:ascii="Times New Roman" w:eastAsia="Times New Roman" w:hAnsi="Times New Roman" w:cs="Times New Roman"/>
          <w:sz w:val="24"/>
          <w:szCs w:val="24"/>
        </w:rPr>
        <w:t xml:space="preserve">destek olma gibi bazı özel içeriklere odaklanan, tedavi ve </w:t>
      </w:r>
      <w:proofErr w:type="gramStart"/>
      <w:r w:rsidR="00DE73B1">
        <w:rPr>
          <w:rFonts w:ascii="Times New Roman" w:eastAsia="Times New Roman" w:hAnsi="Times New Roman" w:cs="Times New Roman"/>
          <w:sz w:val="24"/>
          <w:szCs w:val="24"/>
        </w:rPr>
        <w:t>rehabilitasyon</w:t>
      </w:r>
      <w:proofErr w:type="gramEnd"/>
      <w:r w:rsidR="00DE73B1">
        <w:rPr>
          <w:rFonts w:ascii="Times New Roman" w:eastAsia="Times New Roman" w:hAnsi="Times New Roman" w:cs="Times New Roman"/>
          <w:sz w:val="24"/>
          <w:szCs w:val="24"/>
        </w:rPr>
        <w:t xml:space="preserve"> amacıyla yapılandırılmış </w:t>
      </w:r>
      <w:r w:rsidR="005A043F">
        <w:rPr>
          <w:rFonts w:ascii="Times New Roman" w:eastAsia="Times New Roman" w:hAnsi="Times New Roman" w:cs="Times New Roman"/>
          <w:sz w:val="24"/>
          <w:szCs w:val="24"/>
        </w:rPr>
        <w:t>programlar olarak düşünülebilir</w:t>
      </w:r>
      <w:r w:rsidR="00DE7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3B1" w:rsidRPr="00B03210">
        <w:rPr>
          <w:rFonts w:ascii="Times New Roman" w:eastAsia="Times New Roman" w:hAnsi="Times New Roman" w:cs="Times New Roman"/>
          <w:sz w:val="24"/>
          <w:szCs w:val="24"/>
        </w:rPr>
        <w:t>(Yurtsever</w:t>
      </w:r>
      <w:r w:rsidR="005A04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043F" w:rsidRPr="00961719">
        <w:rPr>
          <w:rFonts w:ascii="Times New Roman" w:hAnsi="Times New Roman"/>
          <w:sz w:val="24"/>
          <w:szCs w:val="24"/>
        </w:rPr>
        <w:t>Kutlar</w:t>
      </w:r>
      <w:r w:rsidR="005A043F">
        <w:rPr>
          <w:rFonts w:ascii="Times New Roman" w:hAnsi="Times New Roman"/>
          <w:sz w:val="24"/>
          <w:szCs w:val="24"/>
        </w:rPr>
        <w:t>,</w:t>
      </w:r>
      <w:r w:rsidR="005A043F" w:rsidRPr="00961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43F" w:rsidRPr="00961719">
        <w:rPr>
          <w:rFonts w:ascii="Times New Roman" w:hAnsi="Times New Roman"/>
          <w:sz w:val="24"/>
          <w:szCs w:val="24"/>
        </w:rPr>
        <w:t>Tarlaci</w:t>
      </w:r>
      <w:proofErr w:type="spellEnd"/>
      <w:r w:rsidR="005A043F">
        <w:rPr>
          <w:rFonts w:ascii="Times New Roman" w:hAnsi="Times New Roman"/>
          <w:sz w:val="24"/>
          <w:szCs w:val="24"/>
        </w:rPr>
        <w:t>,</w:t>
      </w:r>
      <w:r w:rsidR="005A043F" w:rsidRPr="009617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043F">
        <w:rPr>
          <w:rFonts w:ascii="Times New Roman" w:hAnsi="Times New Roman"/>
          <w:sz w:val="24"/>
          <w:szCs w:val="24"/>
        </w:rPr>
        <w:t>Kamberyan</w:t>
      </w:r>
      <w:proofErr w:type="spellEnd"/>
      <w:r w:rsidR="005A043F">
        <w:rPr>
          <w:rFonts w:ascii="Times New Roman" w:hAnsi="Times New Roman"/>
          <w:sz w:val="24"/>
          <w:szCs w:val="24"/>
        </w:rPr>
        <w:t xml:space="preserve">, </w:t>
      </w:r>
      <w:r w:rsidR="005A043F" w:rsidRPr="003C7C0F">
        <w:rPr>
          <w:rFonts w:ascii="Times New Roman" w:hAnsi="Times New Roman"/>
          <w:sz w:val="24"/>
          <w:szCs w:val="24"/>
        </w:rPr>
        <w:t>&amp;</w:t>
      </w:r>
      <w:r w:rsidR="005A043F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A043F">
        <w:rPr>
          <w:rFonts w:ascii="Times New Roman" w:hAnsi="Times New Roman"/>
          <w:sz w:val="24"/>
          <w:szCs w:val="24"/>
        </w:rPr>
        <w:t>Yaman,</w:t>
      </w:r>
      <w:r w:rsidR="00DE73B1" w:rsidRPr="00B03210">
        <w:rPr>
          <w:rFonts w:ascii="Times New Roman" w:eastAsia="Times New Roman" w:hAnsi="Times New Roman" w:cs="Times New Roman"/>
          <w:sz w:val="24"/>
          <w:szCs w:val="24"/>
        </w:rPr>
        <w:t xml:space="preserve"> 2001)</w:t>
      </w:r>
      <w:r w:rsidR="005A04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7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9E5">
        <w:rPr>
          <w:rFonts w:ascii="Times New Roman" w:eastAsia="Times New Roman" w:hAnsi="Times New Roman" w:cs="Times New Roman"/>
          <w:sz w:val="24"/>
          <w:szCs w:val="24"/>
        </w:rPr>
        <w:t xml:space="preserve">Akut atakların tedavisi yapıldıktan veya hastaneden taburcu olduktan sonra </w:t>
      </w:r>
      <w:proofErr w:type="spellStart"/>
      <w:r w:rsidR="006839E5">
        <w:rPr>
          <w:rFonts w:ascii="Times New Roman" w:eastAsia="Times New Roman" w:hAnsi="Times New Roman" w:cs="Times New Roman"/>
          <w:sz w:val="24"/>
          <w:szCs w:val="24"/>
        </w:rPr>
        <w:t>bipolar</w:t>
      </w:r>
      <w:proofErr w:type="spellEnd"/>
      <w:r w:rsidR="006839E5">
        <w:rPr>
          <w:rFonts w:ascii="Times New Roman" w:eastAsia="Times New Roman" w:hAnsi="Times New Roman" w:cs="Times New Roman"/>
          <w:sz w:val="24"/>
          <w:szCs w:val="24"/>
        </w:rPr>
        <w:t xml:space="preserve"> bozukluğu olan hastaların topluma yeniden kazandırılması ve işlevselliklerinde kaybın daha az olması </w:t>
      </w:r>
      <w:r w:rsidR="000E60F7">
        <w:rPr>
          <w:rFonts w:ascii="Times New Roman" w:eastAsia="Times New Roman" w:hAnsi="Times New Roman" w:cs="Times New Roman"/>
          <w:sz w:val="24"/>
          <w:szCs w:val="24"/>
        </w:rPr>
        <w:t>amacıyla</w:t>
      </w:r>
      <w:r w:rsidR="006839E5">
        <w:rPr>
          <w:rFonts w:ascii="Times New Roman" w:eastAsia="Times New Roman" w:hAnsi="Times New Roman" w:cs="Times New Roman"/>
          <w:sz w:val="24"/>
          <w:szCs w:val="24"/>
        </w:rPr>
        <w:t xml:space="preserve"> farklı </w:t>
      </w:r>
      <w:proofErr w:type="spellStart"/>
      <w:r w:rsidR="006839E5">
        <w:rPr>
          <w:rFonts w:ascii="Times New Roman" w:eastAsia="Times New Roman" w:hAnsi="Times New Roman" w:cs="Times New Roman"/>
          <w:sz w:val="24"/>
          <w:szCs w:val="24"/>
        </w:rPr>
        <w:t>psikoeğitim</w:t>
      </w:r>
      <w:proofErr w:type="spellEnd"/>
      <w:r w:rsidR="006839E5">
        <w:rPr>
          <w:rFonts w:ascii="Times New Roman" w:eastAsia="Times New Roman" w:hAnsi="Times New Roman" w:cs="Times New Roman"/>
          <w:sz w:val="24"/>
          <w:szCs w:val="24"/>
        </w:rPr>
        <w:t xml:space="preserve"> programları geliştirilmiş ve uygulanmıştır. Araştırma sonuçları </w:t>
      </w:r>
      <w:proofErr w:type="spellStart"/>
      <w:r w:rsidR="000E60F7">
        <w:rPr>
          <w:rFonts w:ascii="Times New Roman" w:eastAsia="Times New Roman" w:hAnsi="Times New Roman" w:cs="Times New Roman"/>
          <w:sz w:val="24"/>
          <w:szCs w:val="24"/>
        </w:rPr>
        <w:t>psikoeğitim</w:t>
      </w:r>
      <w:proofErr w:type="spellEnd"/>
      <w:r w:rsidR="000E6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0F7">
        <w:rPr>
          <w:rFonts w:ascii="Times New Roman" w:eastAsia="Times New Roman" w:hAnsi="Times New Roman" w:cs="Times New Roman"/>
          <w:sz w:val="24"/>
          <w:szCs w:val="24"/>
        </w:rPr>
        <w:lastRenderedPageBreak/>
        <w:t>uygulamalarının</w:t>
      </w:r>
      <w:r w:rsidR="00683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0F7">
        <w:rPr>
          <w:rFonts w:ascii="Times New Roman" w:eastAsia="Times New Roman" w:hAnsi="Times New Roman" w:cs="Times New Roman"/>
          <w:sz w:val="24"/>
          <w:szCs w:val="24"/>
        </w:rPr>
        <w:t>atak sıklığını ve</w:t>
      </w:r>
      <w:r w:rsidR="006839E5">
        <w:rPr>
          <w:rFonts w:ascii="Times New Roman" w:eastAsia="Times New Roman" w:hAnsi="Times New Roman" w:cs="Times New Roman"/>
          <w:sz w:val="24"/>
          <w:szCs w:val="24"/>
        </w:rPr>
        <w:t xml:space="preserve"> hastanede yatış </w:t>
      </w:r>
      <w:r w:rsidR="000E60F7">
        <w:rPr>
          <w:rFonts w:ascii="Times New Roman" w:eastAsia="Times New Roman" w:hAnsi="Times New Roman" w:cs="Times New Roman"/>
          <w:sz w:val="24"/>
          <w:szCs w:val="24"/>
        </w:rPr>
        <w:t>sayısını azalttığı; tedaviye uyumu,  yaşam kalitesi ve hastanın işlevselliği</w:t>
      </w:r>
      <w:r w:rsidR="006839E5">
        <w:rPr>
          <w:rFonts w:ascii="Times New Roman" w:eastAsia="Times New Roman" w:hAnsi="Times New Roman" w:cs="Times New Roman"/>
          <w:sz w:val="24"/>
          <w:szCs w:val="24"/>
        </w:rPr>
        <w:t xml:space="preserve">ni artırdığı gösterilmiştir. </w:t>
      </w:r>
      <w:proofErr w:type="spellStart"/>
      <w:r w:rsidR="006839E5" w:rsidRPr="00F8648B">
        <w:rPr>
          <w:rFonts w:ascii="Times New Roman" w:eastAsia="Times New Roman" w:hAnsi="Times New Roman" w:cs="Times New Roman"/>
          <w:sz w:val="24"/>
          <w:szCs w:val="24"/>
        </w:rPr>
        <w:t>Psikoeğ</w:t>
      </w:r>
      <w:r w:rsidR="006839E5">
        <w:rPr>
          <w:rFonts w:ascii="Times New Roman" w:eastAsia="Times New Roman" w:hAnsi="Times New Roman" w:cs="Times New Roman"/>
          <w:sz w:val="24"/>
          <w:szCs w:val="24"/>
        </w:rPr>
        <w:t>itim</w:t>
      </w:r>
      <w:proofErr w:type="spellEnd"/>
      <w:r w:rsidR="006839E5">
        <w:rPr>
          <w:rFonts w:ascii="Times New Roman" w:eastAsia="Times New Roman" w:hAnsi="Times New Roman" w:cs="Times New Roman"/>
          <w:sz w:val="24"/>
          <w:szCs w:val="24"/>
        </w:rPr>
        <w:t>, kolay uygulanabilmesi</w:t>
      </w:r>
      <w:r w:rsidR="006839E5" w:rsidRPr="00F8648B">
        <w:rPr>
          <w:rFonts w:ascii="Times New Roman" w:eastAsia="Times New Roman" w:hAnsi="Times New Roman" w:cs="Times New Roman"/>
          <w:sz w:val="24"/>
          <w:szCs w:val="24"/>
        </w:rPr>
        <w:t xml:space="preserve"> ve maliyetinin uygun olması nedeniyle </w:t>
      </w:r>
      <w:r w:rsidR="00D8687B">
        <w:rPr>
          <w:rFonts w:ascii="Times New Roman" w:eastAsia="Times New Roman" w:hAnsi="Times New Roman" w:cs="Times New Roman"/>
          <w:sz w:val="24"/>
          <w:szCs w:val="24"/>
        </w:rPr>
        <w:t>Amerikan Psikiyatri Birliği Tedavi Kılavuzu’nda</w:t>
      </w:r>
      <w:r w:rsidR="006839E5" w:rsidRPr="00F8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450">
        <w:rPr>
          <w:rFonts w:ascii="Times New Roman" w:eastAsia="Times New Roman" w:hAnsi="Times New Roman" w:cs="Times New Roman"/>
          <w:sz w:val="24"/>
          <w:szCs w:val="24"/>
        </w:rPr>
        <w:t xml:space="preserve">ve Kanada </w:t>
      </w:r>
      <w:proofErr w:type="spellStart"/>
      <w:r w:rsidR="009A3450">
        <w:rPr>
          <w:rFonts w:ascii="Times New Roman" w:eastAsia="Times New Roman" w:hAnsi="Times New Roman" w:cs="Times New Roman"/>
          <w:sz w:val="24"/>
          <w:szCs w:val="24"/>
        </w:rPr>
        <w:t>Bipolar</w:t>
      </w:r>
      <w:proofErr w:type="spellEnd"/>
      <w:r w:rsidR="009A3450">
        <w:rPr>
          <w:rFonts w:ascii="Times New Roman" w:eastAsia="Times New Roman" w:hAnsi="Times New Roman" w:cs="Times New Roman"/>
          <w:sz w:val="24"/>
          <w:szCs w:val="24"/>
        </w:rPr>
        <w:t xml:space="preserve"> Bozukluk Tedavi Kılavuzu’nda </w:t>
      </w:r>
      <w:r w:rsidR="006839E5" w:rsidRPr="00F8648B">
        <w:rPr>
          <w:rFonts w:ascii="Times New Roman" w:eastAsia="Times New Roman" w:hAnsi="Times New Roman" w:cs="Times New Roman"/>
          <w:sz w:val="24"/>
          <w:szCs w:val="24"/>
        </w:rPr>
        <w:t xml:space="preserve">ilk uygulanacak </w:t>
      </w:r>
      <w:proofErr w:type="spellStart"/>
      <w:r w:rsidR="006839E5" w:rsidRPr="00F8648B">
        <w:rPr>
          <w:rFonts w:ascii="Times New Roman" w:eastAsia="Times New Roman" w:hAnsi="Times New Roman" w:cs="Times New Roman"/>
          <w:sz w:val="24"/>
          <w:szCs w:val="24"/>
        </w:rPr>
        <w:t>psikososyal</w:t>
      </w:r>
      <w:proofErr w:type="spellEnd"/>
      <w:r w:rsidR="006839E5" w:rsidRPr="00F8648B">
        <w:rPr>
          <w:rFonts w:ascii="Times New Roman" w:eastAsia="Times New Roman" w:hAnsi="Times New Roman" w:cs="Times New Roman"/>
          <w:sz w:val="24"/>
          <w:szCs w:val="24"/>
        </w:rPr>
        <w:t xml:space="preserve"> müdahale olarak önerilmektedir</w:t>
      </w:r>
      <w:r w:rsidR="00683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80A">
        <w:rPr>
          <w:rFonts w:ascii="Times New Roman" w:eastAsia="Times New Roman" w:hAnsi="Times New Roman" w:cs="Times New Roman"/>
          <w:noProof/>
          <w:sz w:val="24"/>
          <w:szCs w:val="24"/>
        </w:rPr>
        <w:t>(APA, 2016</w:t>
      </w:r>
      <w:r w:rsidR="009A3450">
        <w:rPr>
          <w:rFonts w:ascii="Times New Roman" w:eastAsia="Times New Roman" w:hAnsi="Times New Roman" w:cs="Times New Roman"/>
          <w:noProof/>
          <w:sz w:val="24"/>
          <w:szCs w:val="24"/>
        </w:rPr>
        <w:t>; CANMAT, 2013</w:t>
      </w:r>
      <w:r w:rsidR="006839E5" w:rsidRPr="002C5399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66152C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683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BF7" w:rsidRDefault="00D100FE" w:rsidP="00B522B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0FE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D100FE">
        <w:rPr>
          <w:rFonts w:ascii="Times New Roman" w:hAnsi="Times New Roman" w:cs="Times New Roman"/>
          <w:sz w:val="24"/>
          <w:szCs w:val="24"/>
        </w:rPr>
        <w:t xml:space="preserve"> bozukluk hastalarında </w:t>
      </w:r>
      <w:proofErr w:type="spellStart"/>
      <w:r w:rsidRPr="00D100FE">
        <w:rPr>
          <w:rFonts w:ascii="Times New Roman" w:hAnsi="Times New Roman" w:cs="Times New Roman"/>
          <w:sz w:val="24"/>
          <w:szCs w:val="24"/>
        </w:rPr>
        <w:t>ötimik</w:t>
      </w:r>
      <w:proofErr w:type="spellEnd"/>
      <w:r w:rsidRPr="00D100FE">
        <w:rPr>
          <w:rFonts w:ascii="Times New Roman" w:hAnsi="Times New Roman" w:cs="Times New Roman"/>
          <w:sz w:val="24"/>
          <w:szCs w:val="24"/>
        </w:rPr>
        <w:t xml:space="preserve"> dönemde dahi düşük işlevsellik ve bilişsel işlevlerde yavaşlama görülebilmektedir. </w:t>
      </w:r>
      <w:proofErr w:type="spellStart"/>
      <w:r w:rsidRPr="00D100FE">
        <w:rPr>
          <w:rFonts w:ascii="Times New Roman" w:hAnsi="Times New Roman" w:cs="Times New Roman"/>
          <w:sz w:val="24"/>
          <w:szCs w:val="24"/>
        </w:rPr>
        <w:t>Ötimik</w:t>
      </w:r>
      <w:proofErr w:type="spellEnd"/>
      <w:r w:rsidRPr="00D1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0FE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D100FE">
        <w:rPr>
          <w:rFonts w:ascii="Times New Roman" w:hAnsi="Times New Roman" w:cs="Times New Roman"/>
          <w:sz w:val="24"/>
          <w:szCs w:val="24"/>
        </w:rPr>
        <w:t xml:space="preserve"> bozukluk hastalarında uygulanan </w:t>
      </w:r>
      <w:proofErr w:type="spellStart"/>
      <w:r w:rsidRPr="00D100FE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D100FE">
        <w:rPr>
          <w:rFonts w:ascii="Times New Roman" w:hAnsi="Times New Roman" w:cs="Times New Roman"/>
          <w:sz w:val="24"/>
          <w:szCs w:val="24"/>
        </w:rPr>
        <w:t xml:space="preserve"> tedavilerin kalıntı </w:t>
      </w:r>
      <w:proofErr w:type="spellStart"/>
      <w:r w:rsidRPr="00D100FE">
        <w:rPr>
          <w:rFonts w:ascii="Times New Roman" w:hAnsi="Times New Roman" w:cs="Times New Roman"/>
          <w:sz w:val="24"/>
          <w:szCs w:val="24"/>
        </w:rPr>
        <w:t>duygudurum</w:t>
      </w:r>
      <w:proofErr w:type="spellEnd"/>
      <w:r w:rsidRPr="00D100FE">
        <w:rPr>
          <w:rFonts w:ascii="Times New Roman" w:hAnsi="Times New Roman" w:cs="Times New Roman"/>
          <w:sz w:val="24"/>
          <w:szCs w:val="24"/>
        </w:rPr>
        <w:t xml:space="preserve"> belirtilerini azalttığı ve işlevsellik düzeyini arttırdığı düşünülmektedir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Miziou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ark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2015)</w:t>
      </w:r>
      <w:r w:rsidRPr="00D100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00FE">
        <w:rPr>
          <w:rFonts w:ascii="Times New Roman" w:hAnsi="Times New Roman" w:cs="Times New Roman"/>
          <w:sz w:val="24"/>
          <w:szCs w:val="24"/>
        </w:rPr>
        <w:t>Ötimik</w:t>
      </w:r>
      <w:proofErr w:type="spellEnd"/>
      <w:r w:rsidRPr="00D10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0FE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Pr="00D100FE">
        <w:rPr>
          <w:rFonts w:ascii="Times New Roman" w:hAnsi="Times New Roman" w:cs="Times New Roman"/>
          <w:sz w:val="24"/>
          <w:szCs w:val="24"/>
        </w:rPr>
        <w:t xml:space="preserve"> bozukluk hastalarında yapılandırılmış </w:t>
      </w:r>
      <w:proofErr w:type="spellStart"/>
      <w:r w:rsidRPr="00D100FE">
        <w:rPr>
          <w:rFonts w:ascii="Times New Roman" w:hAnsi="Times New Roman" w:cs="Times New Roman"/>
          <w:sz w:val="24"/>
          <w:szCs w:val="24"/>
        </w:rPr>
        <w:t>psikososyal</w:t>
      </w:r>
      <w:proofErr w:type="spellEnd"/>
      <w:r w:rsidRPr="00D100FE">
        <w:rPr>
          <w:rFonts w:ascii="Times New Roman" w:hAnsi="Times New Roman" w:cs="Times New Roman"/>
          <w:sz w:val="24"/>
          <w:szCs w:val="24"/>
        </w:rPr>
        <w:t xml:space="preserve"> müdahale etkinliğini araştıran az sayıda çalışma bulunmaktadır. </w:t>
      </w:r>
      <w:r w:rsidR="0087111D">
        <w:rPr>
          <w:rFonts w:ascii="Times New Roman" w:hAnsi="Times New Roman" w:cs="Times New Roman"/>
          <w:sz w:val="24"/>
          <w:szCs w:val="24"/>
        </w:rPr>
        <w:t>Bu çalışmanın hipotezi</w:t>
      </w:r>
      <w:r w:rsidR="00527D8B">
        <w:rPr>
          <w:rFonts w:ascii="Times New Roman" w:hAnsi="Times New Roman" w:cs="Times New Roman"/>
          <w:sz w:val="24"/>
          <w:szCs w:val="24"/>
        </w:rPr>
        <w:t>,</w:t>
      </w:r>
      <w:r w:rsidR="0087111D">
        <w:rPr>
          <w:rFonts w:ascii="Times New Roman" w:hAnsi="Times New Roman" w:cs="Times New Roman"/>
          <w:sz w:val="24"/>
          <w:szCs w:val="24"/>
        </w:rPr>
        <w:t xml:space="preserve"> grup </w:t>
      </w:r>
      <w:proofErr w:type="spellStart"/>
      <w:r w:rsidR="0087111D">
        <w:rPr>
          <w:rFonts w:ascii="Times New Roman" w:hAnsi="Times New Roman" w:cs="Times New Roman"/>
          <w:sz w:val="24"/>
          <w:szCs w:val="24"/>
        </w:rPr>
        <w:t>psikoeğitimi</w:t>
      </w:r>
      <w:proofErr w:type="spellEnd"/>
      <w:r w:rsidR="0087111D">
        <w:rPr>
          <w:rFonts w:ascii="Times New Roman" w:hAnsi="Times New Roman" w:cs="Times New Roman"/>
          <w:sz w:val="24"/>
          <w:szCs w:val="24"/>
        </w:rPr>
        <w:t xml:space="preserve"> uygulanan hastalarda kalıntı </w:t>
      </w:r>
      <w:proofErr w:type="spellStart"/>
      <w:r w:rsidR="0087111D">
        <w:rPr>
          <w:rFonts w:ascii="Times New Roman" w:hAnsi="Times New Roman" w:cs="Times New Roman"/>
          <w:sz w:val="24"/>
          <w:szCs w:val="24"/>
        </w:rPr>
        <w:t>duygudurum</w:t>
      </w:r>
      <w:proofErr w:type="spellEnd"/>
      <w:r w:rsidR="0087111D">
        <w:rPr>
          <w:rFonts w:ascii="Times New Roman" w:hAnsi="Times New Roman" w:cs="Times New Roman"/>
          <w:sz w:val="24"/>
          <w:szCs w:val="24"/>
        </w:rPr>
        <w:t xml:space="preserve"> belirtilerinde artış olmayacağı ve işlevsellik puanlarının </w:t>
      </w:r>
      <w:proofErr w:type="spellStart"/>
      <w:r w:rsidR="0087111D">
        <w:rPr>
          <w:rFonts w:ascii="Times New Roman" w:hAnsi="Times New Roman" w:cs="Times New Roman"/>
          <w:sz w:val="24"/>
          <w:szCs w:val="24"/>
        </w:rPr>
        <w:t>psikoeğitim</w:t>
      </w:r>
      <w:proofErr w:type="spellEnd"/>
      <w:r w:rsidR="0087111D">
        <w:rPr>
          <w:rFonts w:ascii="Times New Roman" w:hAnsi="Times New Roman" w:cs="Times New Roman"/>
          <w:sz w:val="24"/>
          <w:szCs w:val="24"/>
        </w:rPr>
        <w:t xml:space="preserve"> uygulanmayan hastalara göre daha yüksek olacağı </w:t>
      </w:r>
      <w:r w:rsidR="00527D8B">
        <w:rPr>
          <w:rFonts w:ascii="Times New Roman" w:hAnsi="Times New Roman" w:cs="Times New Roman"/>
          <w:sz w:val="24"/>
          <w:szCs w:val="24"/>
        </w:rPr>
        <w:t>olarak belirlenmiştir</w:t>
      </w:r>
      <w:r w:rsidR="0087111D">
        <w:rPr>
          <w:rFonts w:ascii="Times New Roman" w:hAnsi="Times New Roman" w:cs="Times New Roman"/>
          <w:sz w:val="24"/>
          <w:szCs w:val="24"/>
        </w:rPr>
        <w:t xml:space="preserve">. </w:t>
      </w:r>
      <w:r w:rsidR="00A9440F" w:rsidRPr="00A9440F">
        <w:rPr>
          <w:rFonts w:ascii="Times New Roman" w:hAnsi="Times New Roman" w:cs="Times New Roman"/>
          <w:sz w:val="24"/>
          <w:szCs w:val="24"/>
        </w:rPr>
        <w:t xml:space="preserve">Bu </w:t>
      </w:r>
      <w:r w:rsidR="00A9440F">
        <w:rPr>
          <w:rFonts w:ascii="Times New Roman" w:hAnsi="Times New Roman" w:cs="Times New Roman"/>
          <w:sz w:val="24"/>
          <w:szCs w:val="24"/>
        </w:rPr>
        <w:t>hipotez doğrultusunda</w:t>
      </w:r>
      <w:r w:rsidR="00A9440F" w:rsidRPr="00A94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40F" w:rsidRPr="00A9440F">
        <w:rPr>
          <w:rFonts w:ascii="Times New Roman" w:hAnsi="Times New Roman" w:cs="Times New Roman"/>
          <w:sz w:val="24"/>
          <w:szCs w:val="24"/>
        </w:rPr>
        <w:t>öt</w:t>
      </w:r>
      <w:r w:rsidR="00A9440F">
        <w:rPr>
          <w:rFonts w:ascii="Times New Roman" w:hAnsi="Times New Roman" w:cs="Times New Roman"/>
          <w:sz w:val="24"/>
          <w:szCs w:val="24"/>
        </w:rPr>
        <w:t>imik</w:t>
      </w:r>
      <w:proofErr w:type="spellEnd"/>
      <w:r w:rsidR="00A94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40F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="00A9440F">
        <w:rPr>
          <w:rFonts w:ascii="Times New Roman" w:hAnsi="Times New Roman" w:cs="Times New Roman"/>
          <w:sz w:val="24"/>
          <w:szCs w:val="24"/>
        </w:rPr>
        <w:t xml:space="preserve"> bozukluk hastaları</w:t>
      </w:r>
      <w:r w:rsidR="00A9440F" w:rsidRPr="00A94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40F">
        <w:rPr>
          <w:rFonts w:ascii="Times New Roman" w:hAnsi="Times New Roman" w:cs="Times New Roman"/>
          <w:sz w:val="24"/>
          <w:szCs w:val="24"/>
        </w:rPr>
        <w:t>randomize</w:t>
      </w:r>
      <w:proofErr w:type="spellEnd"/>
      <w:r w:rsidR="00A9440F">
        <w:rPr>
          <w:rFonts w:ascii="Times New Roman" w:hAnsi="Times New Roman" w:cs="Times New Roman"/>
          <w:sz w:val="24"/>
          <w:szCs w:val="24"/>
        </w:rPr>
        <w:t xml:space="preserve"> olarak iki gruba ayrılmış ve </w:t>
      </w:r>
      <w:r w:rsidR="00A9440F" w:rsidRPr="00A9440F">
        <w:rPr>
          <w:rFonts w:ascii="Times New Roman" w:hAnsi="Times New Roman" w:cs="Times New Roman"/>
          <w:sz w:val="24"/>
          <w:szCs w:val="24"/>
        </w:rPr>
        <w:t xml:space="preserve">grup </w:t>
      </w:r>
      <w:proofErr w:type="spellStart"/>
      <w:r w:rsidR="00A9440F" w:rsidRPr="00A9440F">
        <w:rPr>
          <w:rFonts w:ascii="Times New Roman" w:hAnsi="Times New Roman" w:cs="Times New Roman"/>
          <w:sz w:val="24"/>
          <w:szCs w:val="24"/>
        </w:rPr>
        <w:t>psikoeğitim</w:t>
      </w:r>
      <w:proofErr w:type="spellEnd"/>
      <w:r w:rsidR="00A9440F">
        <w:rPr>
          <w:rFonts w:ascii="Times New Roman" w:hAnsi="Times New Roman" w:cs="Times New Roman"/>
          <w:sz w:val="24"/>
          <w:szCs w:val="24"/>
        </w:rPr>
        <w:t xml:space="preserve"> uygulamasının</w:t>
      </w:r>
      <w:r w:rsidR="00A9440F" w:rsidRPr="00A9440F">
        <w:rPr>
          <w:rFonts w:ascii="Times New Roman" w:hAnsi="Times New Roman" w:cs="Times New Roman"/>
          <w:sz w:val="24"/>
          <w:szCs w:val="24"/>
        </w:rPr>
        <w:t xml:space="preserve"> etkinliği araştırılmıştır.</w:t>
      </w:r>
    </w:p>
    <w:p w:rsidR="000547B9" w:rsidRPr="00A97E71" w:rsidRDefault="000547B9" w:rsidP="00961280">
      <w:pPr>
        <w:spacing w:line="480" w:lineRule="auto"/>
        <w:rPr>
          <w:rFonts w:ascii="Times New Roman" w:hAnsi="Times New Roman" w:cs="Times New Roman"/>
          <w:b/>
        </w:rPr>
      </w:pPr>
      <w:r w:rsidRPr="00A97E71">
        <w:rPr>
          <w:rFonts w:ascii="Times New Roman" w:hAnsi="Times New Roman" w:cs="Times New Roman"/>
          <w:b/>
        </w:rPr>
        <w:t xml:space="preserve">YÖNTEM </w:t>
      </w:r>
    </w:p>
    <w:p w:rsidR="000547B9" w:rsidRPr="00BA77F0" w:rsidRDefault="000547B9" w:rsidP="0096128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547B9" w:rsidRPr="00BA77F0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Toc472672081"/>
    </w:p>
    <w:bookmarkEnd w:id="1"/>
    <w:p w:rsidR="00DB6049" w:rsidRPr="00DB6049" w:rsidRDefault="00DB6049" w:rsidP="00961280">
      <w:pPr>
        <w:spacing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049">
        <w:rPr>
          <w:rFonts w:ascii="Times New Roman" w:hAnsi="Times New Roman" w:cs="Times New Roman"/>
          <w:b/>
          <w:sz w:val="24"/>
          <w:szCs w:val="24"/>
        </w:rPr>
        <w:lastRenderedPageBreak/>
        <w:t>Katılımcılar:</w:t>
      </w:r>
    </w:p>
    <w:p w:rsidR="00DB6049" w:rsidRDefault="000547B9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47B9">
        <w:rPr>
          <w:rFonts w:ascii="Times New Roman" w:hAnsi="Times New Roman" w:cs="Times New Roman"/>
          <w:sz w:val="24"/>
          <w:szCs w:val="24"/>
        </w:rPr>
        <w:t>Dışkapı</w:t>
      </w:r>
      <w:proofErr w:type="spellEnd"/>
      <w:r w:rsidRPr="000547B9">
        <w:rPr>
          <w:rFonts w:ascii="Times New Roman" w:hAnsi="Times New Roman" w:cs="Times New Roman"/>
          <w:sz w:val="24"/>
          <w:szCs w:val="24"/>
        </w:rPr>
        <w:t xml:space="preserve"> Yıldırım Beyazıt Eğitim ve Araştırma Hastanesi Ps</w:t>
      </w:r>
      <w:r>
        <w:rPr>
          <w:rFonts w:ascii="Times New Roman" w:hAnsi="Times New Roman" w:cs="Times New Roman"/>
          <w:sz w:val="24"/>
          <w:szCs w:val="24"/>
        </w:rPr>
        <w:t>ikiyatri Poliklini</w:t>
      </w:r>
      <w:r w:rsidR="00741958">
        <w:rPr>
          <w:rFonts w:ascii="Times New Roman" w:hAnsi="Times New Roman" w:cs="Times New Roman"/>
          <w:sz w:val="24"/>
          <w:szCs w:val="24"/>
        </w:rPr>
        <w:t>ği’nde</w:t>
      </w:r>
      <w:r w:rsidRPr="00054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D6C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bozukluk tanısı ile </w:t>
      </w:r>
      <w:r w:rsidRPr="000547B9">
        <w:rPr>
          <w:rFonts w:ascii="Times New Roman" w:hAnsi="Times New Roman" w:cs="Times New Roman"/>
          <w:sz w:val="24"/>
          <w:szCs w:val="24"/>
        </w:rPr>
        <w:t>izlene</w:t>
      </w:r>
      <w:r w:rsidR="00741958">
        <w:rPr>
          <w:rFonts w:ascii="Times New Roman" w:hAnsi="Times New Roman" w:cs="Times New Roman"/>
          <w:sz w:val="24"/>
          <w:szCs w:val="24"/>
        </w:rPr>
        <w:t xml:space="preserve">n </w:t>
      </w:r>
      <w:r w:rsidR="00012115" w:rsidRPr="003512DC">
        <w:rPr>
          <w:rFonts w:ascii="Times New Roman" w:hAnsi="Times New Roman" w:cs="Times New Roman"/>
          <w:sz w:val="24"/>
          <w:szCs w:val="24"/>
        </w:rPr>
        <w:t>18-65 yaşları arasında</w:t>
      </w:r>
      <w:r w:rsidR="00D40078">
        <w:rPr>
          <w:rFonts w:ascii="Times New Roman" w:hAnsi="Times New Roman" w:cs="Times New Roman"/>
          <w:sz w:val="24"/>
          <w:szCs w:val="24"/>
        </w:rPr>
        <w:t>ki</w:t>
      </w:r>
      <w:r w:rsidR="00012115" w:rsidRPr="003512DC">
        <w:rPr>
          <w:rFonts w:ascii="Times New Roman" w:hAnsi="Times New Roman" w:cs="Times New Roman"/>
          <w:sz w:val="24"/>
          <w:szCs w:val="24"/>
        </w:rPr>
        <w:t xml:space="preserve"> </w:t>
      </w:r>
      <w:r w:rsidR="00032425">
        <w:rPr>
          <w:rFonts w:ascii="Times New Roman" w:hAnsi="Times New Roman" w:cs="Times New Roman"/>
          <w:sz w:val="24"/>
          <w:szCs w:val="24"/>
        </w:rPr>
        <w:t>113 hasta</w:t>
      </w:r>
      <w:r w:rsidR="00D40078">
        <w:rPr>
          <w:rFonts w:ascii="Times New Roman" w:hAnsi="Times New Roman" w:cs="Times New Roman"/>
          <w:sz w:val="24"/>
          <w:szCs w:val="24"/>
        </w:rPr>
        <w:t xml:space="preserve"> çalışmaya alınmak amacıyla değerlendirilmiştir.</w:t>
      </w:r>
      <w:r w:rsidR="00D40078" w:rsidRPr="003512DC">
        <w:rPr>
          <w:rFonts w:ascii="Times New Roman" w:hAnsi="Times New Roman" w:cs="Times New Roman"/>
          <w:sz w:val="24"/>
          <w:szCs w:val="24"/>
        </w:rPr>
        <w:t xml:space="preserve"> </w:t>
      </w:r>
      <w:r w:rsidR="00006CCB">
        <w:rPr>
          <w:rFonts w:ascii="Times New Roman" w:hAnsi="Times New Roman" w:cs="Times New Roman"/>
          <w:sz w:val="24"/>
          <w:szCs w:val="24"/>
        </w:rPr>
        <w:t>Çalışmaya alınma ölçütleri,</w:t>
      </w:r>
      <w:r w:rsidR="00012115" w:rsidRPr="003512DC">
        <w:rPr>
          <w:rFonts w:ascii="Times New Roman" w:hAnsi="Times New Roman" w:cs="Times New Roman"/>
          <w:sz w:val="24"/>
          <w:szCs w:val="24"/>
        </w:rPr>
        <w:t xml:space="preserve"> en az ilkokul mezunu olmak, DSM-</w:t>
      </w:r>
      <w:proofErr w:type="spellStart"/>
      <w:r w:rsidR="00012115">
        <w:rPr>
          <w:rFonts w:ascii="Times New Roman" w:hAnsi="Times New Roman" w:cs="Times New Roman"/>
          <w:sz w:val="24"/>
          <w:szCs w:val="24"/>
        </w:rPr>
        <w:t>V</w:t>
      </w:r>
      <w:r w:rsidR="00012115" w:rsidRPr="003512DC">
        <w:rPr>
          <w:rFonts w:ascii="Times New Roman" w:hAnsi="Times New Roman" w:cs="Times New Roman"/>
          <w:sz w:val="24"/>
          <w:szCs w:val="24"/>
        </w:rPr>
        <w:t>’e</w:t>
      </w:r>
      <w:proofErr w:type="spellEnd"/>
      <w:r w:rsidR="00012115" w:rsidRPr="003512DC">
        <w:rPr>
          <w:rFonts w:ascii="Times New Roman" w:hAnsi="Times New Roman" w:cs="Times New Roman"/>
          <w:sz w:val="24"/>
          <w:szCs w:val="24"/>
        </w:rPr>
        <w:t xml:space="preserve"> göre </w:t>
      </w:r>
      <w:proofErr w:type="spellStart"/>
      <w:r w:rsidR="00012115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="00012115" w:rsidRPr="003512DC">
        <w:rPr>
          <w:rFonts w:ascii="Times New Roman" w:hAnsi="Times New Roman" w:cs="Times New Roman"/>
          <w:sz w:val="24"/>
          <w:szCs w:val="24"/>
        </w:rPr>
        <w:t xml:space="preserve"> bozukluk tanısı konmuş olmak, </w:t>
      </w:r>
      <w:r w:rsidR="00012115">
        <w:rPr>
          <w:rFonts w:ascii="Times New Roman" w:eastAsia="Times New Roman" w:hAnsi="Times New Roman" w:cs="Times New Roman"/>
          <w:sz w:val="24"/>
          <w:szCs w:val="24"/>
        </w:rPr>
        <w:t>e</w:t>
      </w:r>
      <w:r w:rsidR="00012115" w:rsidRPr="003512DC">
        <w:rPr>
          <w:rFonts w:ascii="Times New Roman" w:eastAsia="Times New Roman" w:hAnsi="Times New Roman" w:cs="Times New Roman"/>
          <w:sz w:val="24"/>
          <w:szCs w:val="24"/>
        </w:rPr>
        <w:t xml:space="preserve">n az son </w:t>
      </w:r>
      <w:r w:rsidR="00012115">
        <w:rPr>
          <w:rFonts w:ascii="Times New Roman" w:eastAsia="Times New Roman" w:hAnsi="Times New Roman" w:cs="Times New Roman"/>
          <w:sz w:val="24"/>
          <w:szCs w:val="24"/>
        </w:rPr>
        <w:t xml:space="preserve">altı aylık dönemde </w:t>
      </w:r>
      <w:proofErr w:type="spellStart"/>
      <w:r w:rsidR="00012115">
        <w:rPr>
          <w:rFonts w:ascii="Times New Roman" w:eastAsia="Times New Roman" w:hAnsi="Times New Roman" w:cs="Times New Roman"/>
          <w:sz w:val="24"/>
          <w:szCs w:val="24"/>
        </w:rPr>
        <w:t>ötimik</w:t>
      </w:r>
      <w:proofErr w:type="spellEnd"/>
      <w:r w:rsidR="00012115">
        <w:rPr>
          <w:rFonts w:ascii="Times New Roman" w:eastAsia="Times New Roman" w:hAnsi="Times New Roman" w:cs="Times New Roman"/>
          <w:sz w:val="24"/>
          <w:szCs w:val="24"/>
        </w:rPr>
        <w:t xml:space="preserve"> olmak</w:t>
      </w:r>
      <w:r w:rsidR="00E17409">
        <w:rPr>
          <w:rFonts w:ascii="Times New Roman" w:eastAsia="Times New Roman" w:hAnsi="Times New Roman" w:cs="Times New Roman"/>
          <w:sz w:val="24"/>
          <w:szCs w:val="24"/>
        </w:rPr>
        <w:t xml:space="preserve"> olarak belirlenmiştir. İlk defa </w:t>
      </w:r>
      <w:r w:rsidR="00E17409">
        <w:rPr>
          <w:rFonts w:ascii="Times New Roman" w:hAnsi="Times New Roman" w:cs="Times New Roman"/>
          <w:sz w:val="24"/>
          <w:szCs w:val="24"/>
        </w:rPr>
        <w:t xml:space="preserve">113 hasta çalışmaya uygunluk açısından değerlendirilmiştir. </w:t>
      </w:r>
      <w:r w:rsidR="003F6AED">
        <w:rPr>
          <w:rFonts w:ascii="Times New Roman" w:eastAsia="Times New Roman" w:hAnsi="Times New Roman" w:cs="Times New Roman"/>
          <w:sz w:val="24"/>
          <w:szCs w:val="24"/>
        </w:rPr>
        <w:t xml:space="preserve">Klinik değerlendirmede </w:t>
      </w:r>
      <w:proofErr w:type="spellStart"/>
      <w:r w:rsidR="003F6AED">
        <w:rPr>
          <w:rFonts w:ascii="Times New Roman" w:eastAsia="Times New Roman" w:hAnsi="Times New Roman" w:cs="Times New Roman"/>
          <w:sz w:val="24"/>
          <w:szCs w:val="24"/>
        </w:rPr>
        <w:t>manik</w:t>
      </w:r>
      <w:proofErr w:type="spellEnd"/>
      <w:r w:rsidR="003F6AED">
        <w:rPr>
          <w:rFonts w:ascii="Times New Roman" w:eastAsia="Times New Roman" w:hAnsi="Times New Roman" w:cs="Times New Roman"/>
          <w:sz w:val="24"/>
          <w:szCs w:val="24"/>
        </w:rPr>
        <w:t xml:space="preserve"> ya da depresif atak</w:t>
      </w:r>
      <w:r w:rsidR="00012115">
        <w:rPr>
          <w:rFonts w:ascii="Times New Roman" w:eastAsia="Times New Roman" w:hAnsi="Times New Roman" w:cs="Times New Roman"/>
          <w:sz w:val="24"/>
          <w:szCs w:val="24"/>
        </w:rPr>
        <w:t xml:space="preserve"> döneminde </w:t>
      </w:r>
      <w:r w:rsidR="00FF5EBE">
        <w:rPr>
          <w:rFonts w:ascii="Times New Roman" w:eastAsia="Times New Roman" w:hAnsi="Times New Roman" w:cs="Times New Roman"/>
          <w:sz w:val="24"/>
          <w:szCs w:val="24"/>
        </w:rPr>
        <w:t xml:space="preserve">olduğu belirlenen hastalar, YMRS&gt;6 ya da </w:t>
      </w:r>
      <w:r w:rsidR="00FF5EBE" w:rsidRPr="00BA77F0">
        <w:rPr>
          <w:rFonts w:ascii="Times New Roman" w:eastAsia="Times New Roman" w:hAnsi="Times New Roman" w:cs="Times New Roman"/>
          <w:sz w:val="24"/>
          <w:szCs w:val="24"/>
        </w:rPr>
        <w:t>HAM-D &gt;8</w:t>
      </w:r>
      <w:r w:rsidR="00FF5EBE">
        <w:rPr>
          <w:rFonts w:ascii="Times New Roman" w:eastAsia="Times New Roman" w:hAnsi="Times New Roman" w:cs="Times New Roman"/>
          <w:sz w:val="24"/>
          <w:szCs w:val="24"/>
        </w:rPr>
        <w:t xml:space="preserve"> puan alan hastalar,</w:t>
      </w:r>
      <w:r w:rsidR="00012115" w:rsidRPr="0035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EBE">
        <w:rPr>
          <w:rFonts w:ascii="Times New Roman" w:eastAsia="Times New Roman" w:hAnsi="Times New Roman" w:cs="Times New Roman"/>
          <w:sz w:val="24"/>
          <w:szCs w:val="24"/>
        </w:rPr>
        <w:t>zeka geriliği</w:t>
      </w:r>
      <w:r w:rsidR="00012115" w:rsidRPr="003512DC">
        <w:rPr>
          <w:rFonts w:ascii="Times New Roman" w:eastAsia="Times New Roman" w:hAnsi="Times New Roman" w:cs="Times New Roman"/>
          <w:sz w:val="24"/>
          <w:szCs w:val="24"/>
        </w:rPr>
        <w:t xml:space="preserve"> (IQ&lt;70) tanısı </w:t>
      </w:r>
      <w:r w:rsidR="00FF5EBE">
        <w:rPr>
          <w:rFonts w:ascii="Times New Roman" w:eastAsia="Times New Roman" w:hAnsi="Times New Roman" w:cs="Times New Roman"/>
          <w:sz w:val="24"/>
          <w:szCs w:val="24"/>
        </w:rPr>
        <w:t>bulunan</w:t>
      </w:r>
      <w:r w:rsidR="00012115" w:rsidRPr="0035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EBE">
        <w:rPr>
          <w:rFonts w:ascii="Times New Roman" w:eastAsia="Times New Roman" w:hAnsi="Times New Roman" w:cs="Times New Roman"/>
          <w:sz w:val="24"/>
          <w:szCs w:val="24"/>
        </w:rPr>
        <w:t>hastalar,</w:t>
      </w:r>
      <w:r w:rsidR="00012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88C">
        <w:rPr>
          <w:rFonts w:ascii="Times New Roman" w:eastAsia="Times New Roman" w:hAnsi="Times New Roman" w:cs="Times New Roman"/>
          <w:sz w:val="24"/>
          <w:szCs w:val="24"/>
        </w:rPr>
        <w:t xml:space="preserve">son 6 ay </w:t>
      </w:r>
      <w:r w:rsidR="00C668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içerisinde madde </w:t>
      </w:r>
      <w:r w:rsidR="00A81541">
        <w:rPr>
          <w:rFonts w:ascii="Times New Roman" w:eastAsia="Times New Roman" w:hAnsi="Times New Roman" w:cs="Times New Roman"/>
          <w:sz w:val="24"/>
          <w:szCs w:val="24"/>
        </w:rPr>
        <w:t>kötüye kullanımı olan</w:t>
      </w:r>
      <w:r w:rsidR="00C6688C">
        <w:rPr>
          <w:rFonts w:ascii="Times New Roman" w:eastAsia="Times New Roman" w:hAnsi="Times New Roman" w:cs="Times New Roman"/>
          <w:sz w:val="24"/>
          <w:szCs w:val="24"/>
        </w:rPr>
        <w:t xml:space="preserve"> hastalar, </w:t>
      </w:r>
      <w:r w:rsidR="00FF5EBE" w:rsidRPr="003512DC">
        <w:rPr>
          <w:rFonts w:ascii="Times New Roman" w:eastAsia="Times New Roman" w:hAnsi="Times New Roman" w:cs="Times New Roman"/>
          <w:sz w:val="24"/>
          <w:szCs w:val="24"/>
        </w:rPr>
        <w:t xml:space="preserve">genel tıbbi duruma bağlı </w:t>
      </w:r>
      <w:proofErr w:type="spellStart"/>
      <w:r w:rsidR="00FF5EBE" w:rsidRPr="003512DC">
        <w:rPr>
          <w:rFonts w:ascii="Times New Roman" w:eastAsia="Times New Roman" w:hAnsi="Times New Roman" w:cs="Times New Roman"/>
          <w:sz w:val="24"/>
          <w:szCs w:val="24"/>
        </w:rPr>
        <w:t>duygudurum</w:t>
      </w:r>
      <w:proofErr w:type="spellEnd"/>
      <w:r w:rsidR="00FF5EBE" w:rsidRPr="003512DC">
        <w:rPr>
          <w:rFonts w:ascii="Times New Roman" w:eastAsia="Times New Roman" w:hAnsi="Times New Roman" w:cs="Times New Roman"/>
          <w:sz w:val="24"/>
          <w:szCs w:val="24"/>
        </w:rPr>
        <w:t xml:space="preserve"> bo</w:t>
      </w:r>
      <w:r w:rsidR="00FF5EBE">
        <w:rPr>
          <w:rFonts w:ascii="Times New Roman" w:eastAsia="Times New Roman" w:hAnsi="Times New Roman" w:cs="Times New Roman"/>
          <w:sz w:val="24"/>
          <w:szCs w:val="24"/>
        </w:rPr>
        <w:t>zuklu</w:t>
      </w:r>
      <w:r w:rsidR="00CA463A">
        <w:rPr>
          <w:rFonts w:ascii="Times New Roman" w:eastAsia="Times New Roman" w:hAnsi="Times New Roman" w:cs="Times New Roman"/>
          <w:sz w:val="24"/>
          <w:szCs w:val="24"/>
        </w:rPr>
        <w:t xml:space="preserve">ğu olan hastalar </w:t>
      </w:r>
      <w:r w:rsidR="0001211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CA4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115">
        <w:rPr>
          <w:rFonts w:ascii="Times New Roman" w:eastAsia="Times New Roman" w:hAnsi="Times New Roman" w:cs="Times New Roman"/>
          <w:sz w:val="24"/>
          <w:szCs w:val="24"/>
        </w:rPr>
        <w:t>bilişsel</w:t>
      </w:r>
      <w:r w:rsidR="00012115" w:rsidRPr="003512DC">
        <w:rPr>
          <w:rFonts w:ascii="Times New Roman" w:eastAsia="Times New Roman" w:hAnsi="Times New Roman" w:cs="Times New Roman"/>
          <w:sz w:val="24"/>
          <w:szCs w:val="24"/>
        </w:rPr>
        <w:t xml:space="preserve"> bozukluğu (</w:t>
      </w:r>
      <w:proofErr w:type="spellStart"/>
      <w:r w:rsidR="00012115" w:rsidRPr="003512DC">
        <w:rPr>
          <w:rFonts w:ascii="Times New Roman" w:eastAsia="Times New Roman" w:hAnsi="Times New Roman" w:cs="Times New Roman"/>
          <w:sz w:val="24"/>
          <w:szCs w:val="24"/>
        </w:rPr>
        <w:t>deliryum</w:t>
      </w:r>
      <w:proofErr w:type="spellEnd"/>
      <w:r w:rsidR="00012115" w:rsidRPr="003512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2115" w:rsidRPr="003512DC">
        <w:rPr>
          <w:rFonts w:ascii="Times New Roman" w:eastAsia="Times New Roman" w:hAnsi="Times New Roman" w:cs="Times New Roman"/>
          <w:sz w:val="24"/>
          <w:szCs w:val="24"/>
        </w:rPr>
        <w:t>demans</w:t>
      </w:r>
      <w:proofErr w:type="spellEnd"/>
      <w:r w:rsidR="00012115" w:rsidRPr="003512DC">
        <w:rPr>
          <w:rFonts w:ascii="Times New Roman" w:eastAsia="Times New Roman" w:hAnsi="Times New Roman" w:cs="Times New Roman"/>
          <w:sz w:val="24"/>
          <w:szCs w:val="24"/>
        </w:rPr>
        <w:t>) bulun</w:t>
      </w:r>
      <w:r w:rsidR="00CA463A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854EAF">
        <w:rPr>
          <w:rFonts w:ascii="Times New Roman" w:eastAsia="Times New Roman" w:hAnsi="Times New Roman" w:cs="Times New Roman"/>
          <w:sz w:val="24"/>
          <w:szCs w:val="24"/>
        </w:rPr>
        <w:t>20 hasta</w:t>
      </w:r>
      <w:r w:rsidR="00CA463A">
        <w:rPr>
          <w:rFonts w:ascii="Times New Roman" w:eastAsia="Times New Roman" w:hAnsi="Times New Roman" w:cs="Times New Roman"/>
          <w:sz w:val="24"/>
          <w:szCs w:val="24"/>
        </w:rPr>
        <w:t xml:space="preserve"> çalışmaya </w:t>
      </w:r>
      <w:proofErr w:type="gramStart"/>
      <w:r w:rsidR="00CA463A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 w:rsidR="00CA463A">
        <w:rPr>
          <w:rFonts w:ascii="Times New Roman" w:eastAsia="Times New Roman" w:hAnsi="Times New Roman" w:cs="Times New Roman"/>
          <w:sz w:val="24"/>
          <w:szCs w:val="24"/>
        </w:rPr>
        <w:t xml:space="preserve"> edilmemiştir. Geriye kalan 93 hastadan g</w:t>
      </w:r>
      <w:r w:rsidR="00F66D4D">
        <w:rPr>
          <w:rFonts w:ascii="Times New Roman" w:eastAsia="Times New Roman" w:hAnsi="Times New Roman" w:cs="Times New Roman"/>
          <w:sz w:val="24"/>
          <w:szCs w:val="24"/>
        </w:rPr>
        <w:t xml:space="preserve">rup </w:t>
      </w:r>
      <w:proofErr w:type="spellStart"/>
      <w:r w:rsidR="00F66D4D">
        <w:rPr>
          <w:rFonts w:ascii="Times New Roman" w:eastAsia="Times New Roman" w:hAnsi="Times New Roman" w:cs="Times New Roman"/>
          <w:sz w:val="24"/>
          <w:szCs w:val="24"/>
        </w:rPr>
        <w:t>psikoeğitimine</w:t>
      </w:r>
      <w:proofErr w:type="spellEnd"/>
      <w:r w:rsidR="00F66D4D">
        <w:rPr>
          <w:rFonts w:ascii="Times New Roman" w:eastAsia="Times New Roman" w:hAnsi="Times New Roman" w:cs="Times New Roman"/>
          <w:sz w:val="24"/>
          <w:szCs w:val="24"/>
        </w:rPr>
        <w:t xml:space="preserve"> katılmak istemeyen 33 hasta </w:t>
      </w:r>
      <w:r w:rsidR="00CA463A">
        <w:rPr>
          <w:rFonts w:ascii="Times New Roman" w:eastAsia="Times New Roman" w:hAnsi="Times New Roman" w:cs="Times New Roman"/>
          <w:sz w:val="24"/>
          <w:szCs w:val="24"/>
        </w:rPr>
        <w:t>da çalışm</w:t>
      </w:r>
      <w:r w:rsidR="0014474E">
        <w:rPr>
          <w:rFonts w:ascii="Times New Roman" w:eastAsia="Times New Roman" w:hAnsi="Times New Roman" w:cs="Times New Roman"/>
          <w:sz w:val="24"/>
          <w:szCs w:val="24"/>
        </w:rPr>
        <w:t xml:space="preserve">aya </w:t>
      </w:r>
      <w:r w:rsidR="00E35C3D">
        <w:rPr>
          <w:rFonts w:ascii="Times New Roman" w:eastAsia="Times New Roman" w:hAnsi="Times New Roman" w:cs="Times New Roman"/>
          <w:sz w:val="24"/>
          <w:szCs w:val="24"/>
        </w:rPr>
        <w:t xml:space="preserve">alınmamış </w:t>
      </w:r>
      <w:r w:rsidR="00F66D4D">
        <w:rPr>
          <w:rFonts w:ascii="Times New Roman" w:eastAsia="Times New Roman" w:hAnsi="Times New Roman" w:cs="Times New Roman"/>
          <w:sz w:val="24"/>
          <w:szCs w:val="24"/>
        </w:rPr>
        <w:t>ve toplam 60 hasta</w:t>
      </w:r>
      <w:r w:rsidRPr="00BA7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D4D">
        <w:rPr>
          <w:rFonts w:ascii="Times New Roman" w:eastAsia="Times New Roman" w:hAnsi="Times New Roman" w:cs="Times New Roman"/>
          <w:sz w:val="24"/>
          <w:szCs w:val="24"/>
        </w:rPr>
        <w:t>çalışmaya</w:t>
      </w:r>
      <w:r w:rsidR="00E35C3D" w:rsidRPr="00E3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65A5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 w:rsidR="00A565A5">
        <w:rPr>
          <w:rFonts w:ascii="Times New Roman" w:eastAsia="Times New Roman" w:hAnsi="Times New Roman" w:cs="Times New Roman"/>
          <w:sz w:val="24"/>
          <w:szCs w:val="24"/>
        </w:rPr>
        <w:t xml:space="preserve"> edil</w:t>
      </w:r>
      <w:r w:rsidR="00E35C3D">
        <w:rPr>
          <w:rFonts w:ascii="Times New Roman" w:eastAsia="Times New Roman" w:hAnsi="Times New Roman" w:cs="Times New Roman"/>
          <w:sz w:val="24"/>
          <w:szCs w:val="24"/>
        </w:rPr>
        <w:t>miş</w:t>
      </w:r>
      <w:r w:rsidR="00A565A5">
        <w:rPr>
          <w:rFonts w:ascii="Times New Roman" w:eastAsia="Times New Roman" w:hAnsi="Times New Roman" w:cs="Times New Roman"/>
          <w:sz w:val="24"/>
          <w:szCs w:val="24"/>
        </w:rPr>
        <w:t>tir</w:t>
      </w:r>
      <w:r w:rsidR="00F66D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2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AA5" w:rsidRPr="00A42AA5">
        <w:rPr>
          <w:rFonts w:ascii="Times New Roman" w:eastAsia="Times New Roman" w:hAnsi="Times New Roman" w:cs="Times New Roman"/>
          <w:sz w:val="24"/>
          <w:szCs w:val="24"/>
        </w:rPr>
        <w:t xml:space="preserve">Çalışma dışında kalan </w:t>
      </w:r>
      <w:r w:rsidR="00854EAF">
        <w:rPr>
          <w:rFonts w:ascii="Times New Roman" w:eastAsia="Times New Roman" w:hAnsi="Times New Roman" w:cs="Times New Roman"/>
          <w:sz w:val="24"/>
          <w:szCs w:val="24"/>
        </w:rPr>
        <w:t>33</w:t>
      </w:r>
      <w:r w:rsidR="00A42AA5">
        <w:rPr>
          <w:rFonts w:ascii="Times New Roman" w:eastAsia="Times New Roman" w:hAnsi="Times New Roman" w:cs="Times New Roman"/>
          <w:sz w:val="24"/>
          <w:szCs w:val="24"/>
        </w:rPr>
        <w:t xml:space="preserve"> hasta ile</w:t>
      </w:r>
      <w:r w:rsidR="00A42AA5" w:rsidRPr="00A42AA5">
        <w:rPr>
          <w:rFonts w:ascii="Times New Roman" w:eastAsia="Times New Roman" w:hAnsi="Times New Roman" w:cs="Times New Roman"/>
          <w:sz w:val="24"/>
          <w:szCs w:val="24"/>
        </w:rPr>
        <w:t xml:space="preserve"> çalışmaya alınan </w:t>
      </w:r>
      <w:r w:rsidR="00A42AA5">
        <w:rPr>
          <w:rFonts w:ascii="Times New Roman" w:eastAsia="Times New Roman" w:hAnsi="Times New Roman" w:cs="Times New Roman"/>
          <w:sz w:val="24"/>
          <w:szCs w:val="24"/>
        </w:rPr>
        <w:t>60 hasta arasında</w:t>
      </w:r>
      <w:r w:rsidR="00A42AA5" w:rsidRPr="00A42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AA5">
        <w:rPr>
          <w:rFonts w:ascii="Times New Roman" w:eastAsia="Times New Roman" w:hAnsi="Times New Roman" w:cs="Times New Roman"/>
          <w:sz w:val="24"/>
          <w:szCs w:val="24"/>
        </w:rPr>
        <w:t>yaş, cinsiyet, eğitim düzeyi ve sosyoekonomik düzey açısından anlamlı bir farklılık bulunmam</w:t>
      </w:r>
      <w:r w:rsidR="00514D4D">
        <w:rPr>
          <w:rFonts w:ascii="Times New Roman" w:eastAsia="Times New Roman" w:hAnsi="Times New Roman" w:cs="Times New Roman"/>
          <w:sz w:val="24"/>
          <w:szCs w:val="24"/>
        </w:rPr>
        <w:t xml:space="preserve">aktadır. </w:t>
      </w:r>
      <w:r w:rsidR="00A42AA5">
        <w:rPr>
          <w:rFonts w:ascii="Times New Roman" w:eastAsia="Times New Roman" w:hAnsi="Times New Roman" w:cs="Times New Roman"/>
          <w:sz w:val="24"/>
          <w:szCs w:val="24"/>
        </w:rPr>
        <w:t xml:space="preserve">Çalışmaya katılmayı kabul eden </w:t>
      </w:r>
      <w:r w:rsidR="00A42AA5">
        <w:rPr>
          <w:rFonts w:ascii="Times New Roman" w:hAnsi="Times New Roman" w:cs="Times New Roman"/>
          <w:sz w:val="24"/>
          <w:szCs w:val="24"/>
        </w:rPr>
        <w:t>t</w:t>
      </w:r>
      <w:r w:rsidR="00A60019">
        <w:rPr>
          <w:rFonts w:ascii="Times New Roman" w:hAnsi="Times New Roman" w:cs="Times New Roman"/>
          <w:sz w:val="24"/>
          <w:szCs w:val="24"/>
        </w:rPr>
        <w:t>oplam 60</w:t>
      </w:r>
      <w:r w:rsidR="00F66D4D">
        <w:rPr>
          <w:rFonts w:ascii="Times New Roman" w:hAnsi="Times New Roman" w:cs="Times New Roman"/>
          <w:sz w:val="24"/>
          <w:szCs w:val="24"/>
        </w:rPr>
        <w:t xml:space="preserve"> </w:t>
      </w:r>
      <w:r w:rsidR="00A42AA5">
        <w:rPr>
          <w:rFonts w:ascii="Times New Roman" w:hAnsi="Times New Roman" w:cs="Times New Roman"/>
          <w:sz w:val="24"/>
          <w:szCs w:val="24"/>
        </w:rPr>
        <w:t>hasta</w:t>
      </w:r>
      <w:r w:rsidR="00F66D4D">
        <w:rPr>
          <w:rFonts w:ascii="Times New Roman" w:hAnsi="Times New Roman" w:cs="Times New Roman"/>
          <w:sz w:val="24"/>
          <w:szCs w:val="24"/>
        </w:rPr>
        <w:t xml:space="preserve"> </w:t>
      </w:r>
      <w:r w:rsidR="001A6A61" w:rsidRPr="001A6A61">
        <w:rPr>
          <w:rFonts w:ascii="Times New Roman" w:hAnsi="Times New Roman" w:cs="Times New Roman"/>
          <w:sz w:val="24"/>
          <w:szCs w:val="24"/>
        </w:rPr>
        <w:t>yazılı bilgilendirilmiş onam</w:t>
      </w:r>
      <w:r w:rsidR="007D5193">
        <w:rPr>
          <w:rFonts w:ascii="Times New Roman" w:hAnsi="Times New Roman" w:cs="Times New Roman"/>
          <w:sz w:val="24"/>
          <w:szCs w:val="24"/>
        </w:rPr>
        <w:t>ları</w:t>
      </w:r>
      <w:r w:rsidR="001A6A61" w:rsidRPr="001A6A61">
        <w:rPr>
          <w:rFonts w:ascii="Times New Roman" w:hAnsi="Times New Roman" w:cs="Times New Roman"/>
          <w:sz w:val="24"/>
          <w:szCs w:val="24"/>
        </w:rPr>
        <w:t xml:space="preserve"> </w:t>
      </w:r>
      <w:r w:rsidR="00AA19DE">
        <w:rPr>
          <w:rFonts w:ascii="Times New Roman" w:hAnsi="Times New Roman" w:cs="Times New Roman"/>
          <w:sz w:val="24"/>
          <w:szCs w:val="24"/>
        </w:rPr>
        <w:t>alın</w:t>
      </w:r>
      <w:r w:rsidR="007D5193">
        <w:rPr>
          <w:rFonts w:ascii="Times New Roman" w:hAnsi="Times New Roman" w:cs="Times New Roman"/>
          <w:sz w:val="24"/>
          <w:szCs w:val="24"/>
        </w:rPr>
        <w:t>dıktan sonra</w:t>
      </w:r>
      <w:r w:rsidR="006B5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D4D">
        <w:rPr>
          <w:rFonts w:ascii="Times New Roman" w:hAnsi="Times New Roman" w:cs="Times New Roman"/>
          <w:sz w:val="24"/>
          <w:szCs w:val="24"/>
        </w:rPr>
        <w:t>randomize</w:t>
      </w:r>
      <w:proofErr w:type="spellEnd"/>
      <w:r w:rsidR="00F66D4D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="00C65274">
        <w:rPr>
          <w:rFonts w:ascii="Times New Roman" w:eastAsia="Times New Roman" w:hAnsi="Times New Roman" w:cs="Times New Roman"/>
          <w:sz w:val="24"/>
          <w:szCs w:val="24"/>
        </w:rPr>
        <w:t>psikoeğitim</w:t>
      </w:r>
      <w:proofErr w:type="spellEnd"/>
      <w:r w:rsidR="00C65274">
        <w:rPr>
          <w:rFonts w:ascii="Times New Roman" w:eastAsia="Times New Roman" w:hAnsi="Times New Roman" w:cs="Times New Roman"/>
          <w:sz w:val="24"/>
          <w:szCs w:val="24"/>
        </w:rPr>
        <w:t xml:space="preserve"> grubu (n=30) ve kontrol grubu (n=30) olacak şekilde iki gruba ayrılmıştır. </w:t>
      </w:r>
    </w:p>
    <w:p w:rsidR="00DB6049" w:rsidRPr="00DB6049" w:rsidRDefault="002A4061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Grup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Psikoeğitim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Uygulaması</w:t>
      </w:r>
      <w:r w:rsidR="00DB6049" w:rsidRPr="00DB604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25673" w:rsidRDefault="000B7C2F" w:rsidP="00DB6049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Psikoeğitim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grubundaki</w:t>
      </w:r>
      <w:r w:rsidR="001A6A61" w:rsidRPr="00E63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AD7">
        <w:rPr>
          <w:rFonts w:ascii="Times New Roman" w:hAnsi="Times New Roman" w:cs="Times New Roman"/>
          <w:sz w:val="24"/>
          <w:szCs w:val="24"/>
        </w:rPr>
        <w:t>30 hastaya</w:t>
      </w:r>
      <w:r w:rsidR="00012115" w:rsidRPr="00212AD7">
        <w:rPr>
          <w:rFonts w:ascii="Times New Roman" w:hAnsi="Times New Roman" w:cs="Times New Roman"/>
          <w:sz w:val="24"/>
          <w:szCs w:val="24"/>
        </w:rPr>
        <w:t xml:space="preserve"> medikal tedavinin yanında </w:t>
      </w:r>
      <w:r w:rsidR="00482294">
        <w:rPr>
          <w:rFonts w:ascii="Times New Roman" w:hAnsi="Times New Roman" w:cs="Times New Roman"/>
          <w:sz w:val="24"/>
          <w:szCs w:val="24"/>
        </w:rPr>
        <w:t>altışar kişilik gruplar içerisinde</w:t>
      </w:r>
      <w:r w:rsidR="00482294" w:rsidRPr="0000289A">
        <w:rPr>
          <w:rFonts w:ascii="Times New Roman" w:hAnsi="Times New Roman" w:cs="Times New Roman"/>
          <w:sz w:val="24"/>
          <w:szCs w:val="24"/>
        </w:rPr>
        <w:t xml:space="preserve"> 16 seans </w:t>
      </w:r>
      <w:r w:rsidR="00482294">
        <w:rPr>
          <w:rFonts w:ascii="Times New Roman" w:hAnsi="Times New Roman" w:cs="Times New Roman"/>
          <w:sz w:val="24"/>
          <w:szCs w:val="24"/>
        </w:rPr>
        <w:t xml:space="preserve">olarak </w:t>
      </w:r>
      <w:r w:rsidR="00482294" w:rsidRPr="0000289A">
        <w:rPr>
          <w:rFonts w:ascii="Times New Roman" w:hAnsi="Times New Roman" w:cs="Times New Roman"/>
          <w:sz w:val="24"/>
          <w:szCs w:val="24"/>
        </w:rPr>
        <w:t>hafta</w:t>
      </w:r>
      <w:r w:rsidR="00482294">
        <w:rPr>
          <w:rFonts w:ascii="Times New Roman" w:hAnsi="Times New Roman" w:cs="Times New Roman"/>
          <w:sz w:val="24"/>
          <w:szCs w:val="24"/>
        </w:rPr>
        <w:t>lık</w:t>
      </w:r>
      <w:r w:rsidR="00482294" w:rsidRPr="0000289A">
        <w:rPr>
          <w:rFonts w:ascii="Times New Roman" w:hAnsi="Times New Roman" w:cs="Times New Roman"/>
          <w:sz w:val="24"/>
          <w:szCs w:val="24"/>
        </w:rPr>
        <w:t xml:space="preserve"> yapılandırılmış</w:t>
      </w:r>
      <w:r w:rsidR="00482294" w:rsidRPr="00212AD7">
        <w:rPr>
          <w:rFonts w:ascii="Times New Roman" w:hAnsi="Times New Roman" w:cs="Times New Roman"/>
          <w:sz w:val="24"/>
          <w:szCs w:val="24"/>
        </w:rPr>
        <w:t xml:space="preserve"> </w:t>
      </w:r>
      <w:r w:rsidR="00012115" w:rsidRPr="00212AD7">
        <w:rPr>
          <w:rFonts w:ascii="Times New Roman" w:hAnsi="Times New Roman" w:cs="Times New Roman"/>
          <w:sz w:val="24"/>
          <w:szCs w:val="24"/>
        </w:rPr>
        <w:t xml:space="preserve">grup </w:t>
      </w:r>
      <w:proofErr w:type="spellStart"/>
      <w:r w:rsidR="00012115" w:rsidRPr="00212AD7">
        <w:rPr>
          <w:rFonts w:ascii="Times New Roman" w:hAnsi="Times New Roman" w:cs="Times New Roman"/>
          <w:sz w:val="24"/>
          <w:szCs w:val="24"/>
        </w:rPr>
        <w:t>psikoeğitimi</w:t>
      </w:r>
      <w:proofErr w:type="spellEnd"/>
      <w:r w:rsidR="00012115" w:rsidRPr="00212AD7">
        <w:rPr>
          <w:rFonts w:ascii="Times New Roman" w:hAnsi="Times New Roman" w:cs="Times New Roman"/>
          <w:sz w:val="24"/>
          <w:szCs w:val="24"/>
        </w:rPr>
        <w:t xml:space="preserve"> </w:t>
      </w:r>
      <w:r w:rsidR="002A4061">
        <w:rPr>
          <w:rFonts w:ascii="Times New Roman" w:hAnsi="Times New Roman" w:cs="Times New Roman"/>
          <w:sz w:val="24"/>
          <w:szCs w:val="24"/>
        </w:rPr>
        <w:t xml:space="preserve">G.A. ve S.O.G. tarafından </w:t>
      </w:r>
      <w:r w:rsidR="00482294">
        <w:rPr>
          <w:rFonts w:ascii="Times New Roman" w:hAnsi="Times New Roman" w:cs="Times New Roman"/>
          <w:sz w:val="24"/>
          <w:szCs w:val="24"/>
        </w:rPr>
        <w:t xml:space="preserve">uygulanmıştır. Kontrol grubundaki </w:t>
      </w:r>
      <w:r w:rsidR="00012115" w:rsidRPr="00212AD7">
        <w:rPr>
          <w:rFonts w:ascii="Times New Roman" w:hAnsi="Times New Roman" w:cs="Times New Roman"/>
          <w:sz w:val="24"/>
          <w:szCs w:val="24"/>
        </w:rPr>
        <w:t xml:space="preserve">30 hastanın </w:t>
      </w:r>
      <w:r w:rsidR="00482294" w:rsidRPr="00212AD7">
        <w:rPr>
          <w:rFonts w:ascii="Times New Roman" w:hAnsi="Times New Roman" w:cs="Times New Roman"/>
          <w:sz w:val="24"/>
          <w:szCs w:val="24"/>
        </w:rPr>
        <w:t xml:space="preserve">ise </w:t>
      </w:r>
      <w:r w:rsidR="00012115" w:rsidRPr="00212AD7">
        <w:rPr>
          <w:rFonts w:ascii="Times New Roman" w:hAnsi="Times New Roman" w:cs="Times New Roman"/>
          <w:sz w:val="24"/>
          <w:szCs w:val="24"/>
        </w:rPr>
        <w:t>medikal tedavisine devam edilmiş</w:t>
      </w:r>
      <w:r w:rsidR="00482294" w:rsidRPr="00212AD7">
        <w:rPr>
          <w:rFonts w:ascii="Times New Roman" w:hAnsi="Times New Roman" w:cs="Times New Roman"/>
          <w:sz w:val="24"/>
          <w:szCs w:val="24"/>
        </w:rPr>
        <w:t xml:space="preserve">tir. </w:t>
      </w:r>
      <w:r w:rsidR="00AD0657" w:rsidRPr="00C82094">
        <w:rPr>
          <w:rFonts w:ascii="Times New Roman" w:hAnsi="Times New Roman" w:cs="Times New Roman"/>
          <w:sz w:val="24"/>
          <w:szCs w:val="24"/>
        </w:rPr>
        <w:t xml:space="preserve">Hastalara uygulanacak </w:t>
      </w:r>
      <w:proofErr w:type="spellStart"/>
      <w:r w:rsidR="00AD0657" w:rsidRPr="00C82094">
        <w:rPr>
          <w:rFonts w:ascii="Times New Roman" w:hAnsi="Times New Roman" w:cs="Times New Roman"/>
          <w:sz w:val="24"/>
          <w:szCs w:val="24"/>
        </w:rPr>
        <w:t>psikoeğitim</w:t>
      </w:r>
      <w:proofErr w:type="spellEnd"/>
      <w:r w:rsidR="00AD0657" w:rsidRPr="00C82094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="003208F7" w:rsidRPr="00C82094">
        <w:rPr>
          <w:rFonts w:ascii="Times New Roman" w:hAnsi="Times New Roman" w:cs="Times New Roman"/>
          <w:sz w:val="24"/>
          <w:szCs w:val="24"/>
        </w:rPr>
        <w:t>literatürde</w:t>
      </w:r>
      <w:proofErr w:type="gramEnd"/>
      <w:r w:rsidR="003208F7" w:rsidRPr="00C82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8F7" w:rsidRPr="00C82094">
        <w:rPr>
          <w:rFonts w:ascii="Times New Roman" w:hAnsi="Times New Roman" w:cs="Times New Roman"/>
          <w:sz w:val="24"/>
          <w:szCs w:val="24"/>
        </w:rPr>
        <w:t>bipolar</w:t>
      </w:r>
      <w:proofErr w:type="spellEnd"/>
      <w:r w:rsidR="003208F7" w:rsidRPr="00C82094">
        <w:rPr>
          <w:rFonts w:ascii="Times New Roman" w:hAnsi="Times New Roman" w:cs="Times New Roman"/>
          <w:sz w:val="24"/>
          <w:szCs w:val="24"/>
        </w:rPr>
        <w:t xml:space="preserve"> bozukluk için geliştirilen programlar gözden geçirilerek</w:t>
      </w:r>
      <w:r w:rsidR="00280129" w:rsidRPr="00C82094">
        <w:rPr>
          <w:rFonts w:ascii="Times New Roman" w:hAnsi="Times New Roman" w:cs="Times New Roman"/>
          <w:sz w:val="24"/>
          <w:szCs w:val="24"/>
        </w:rPr>
        <w:t xml:space="preserve"> hastalığı tanıma ve tedavi sürecini iy</w:t>
      </w:r>
      <w:r w:rsidR="004272A6" w:rsidRPr="00C82094">
        <w:rPr>
          <w:rFonts w:ascii="Times New Roman" w:hAnsi="Times New Roman" w:cs="Times New Roman"/>
          <w:sz w:val="24"/>
          <w:szCs w:val="24"/>
        </w:rPr>
        <w:t xml:space="preserve">i yönetmelerini sağlamak üzere </w:t>
      </w:r>
      <w:r w:rsidR="000A11D6">
        <w:rPr>
          <w:rFonts w:ascii="Times New Roman" w:hAnsi="Times New Roman" w:cs="Times New Roman"/>
          <w:sz w:val="24"/>
          <w:szCs w:val="24"/>
        </w:rPr>
        <w:t>oluşturulmuştur</w:t>
      </w:r>
      <w:r w:rsidR="003208F7" w:rsidRPr="00C82094">
        <w:rPr>
          <w:rFonts w:ascii="Times New Roman" w:hAnsi="Times New Roman" w:cs="Times New Roman"/>
          <w:sz w:val="24"/>
          <w:szCs w:val="24"/>
        </w:rPr>
        <w:t xml:space="preserve"> </w:t>
      </w:r>
      <w:r w:rsidR="000D32A1" w:rsidRPr="002D6619">
        <w:rPr>
          <w:rFonts w:ascii="Times New Roman" w:hAnsi="Times New Roman" w:cs="Times New Roman"/>
          <w:sz w:val="24"/>
          <w:szCs w:val="24"/>
        </w:rPr>
        <w:t>(</w:t>
      </w:r>
      <w:r w:rsidR="00983E6D">
        <w:rPr>
          <w:rFonts w:ascii="Times New Roman" w:hAnsi="Times New Roman" w:cs="Times New Roman"/>
          <w:bCs/>
          <w:sz w:val="24"/>
          <w:szCs w:val="24"/>
        </w:rPr>
        <w:t xml:space="preserve">Smith, </w:t>
      </w:r>
      <w:proofErr w:type="spellStart"/>
      <w:r w:rsidR="00983E6D">
        <w:rPr>
          <w:rFonts w:ascii="Times New Roman" w:hAnsi="Times New Roman" w:cs="Times New Roman"/>
          <w:bCs/>
          <w:sz w:val="24"/>
          <w:szCs w:val="24"/>
        </w:rPr>
        <w:t>Jones</w:t>
      </w:r>
      <w:proofErr w:type="spellEnd"/>
      <w:r w:rsidR="00983E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3E6D" w:rsidRPr="00983E6D">
        <w:rPr>
          <w:rFonts w:ascii="Times New Roman" w:hAnsi="Times New Roman" w:cs="Times New Roman"/>
          <w:bCs/>
          <w:sz w:val="24"/>
          <w:szCs w:val="24"/>
        </w:rPr>
        <w:t>&amp;</w:t>
      </w:r>
      <w:r w:rsidR="00983E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3E6D">
        <w:rPr>
          <w:rFonts w:ascii="Times New Roman" w:hAnsi="Times New Roman" w:cs="Times New Roman"/>
          <w:bCs/>
          <w:sz w:val="24"/>
          <w:szCs w:val="24"/>
        </w:rPr>
        <w:t>Simpson</w:t>
      </w:r>
      <w:proofErr w:type="spellEnd"/>
      <w:r w:rsidR="00983E6D">
        <w:rPr>
          <w:rFonts w:ascii="Times New Roman" w:hAnsi="Times New Roman" w:cs="Times New Roman"/>
          <w:bCs/>
          <w:sz w:val="24"/>
          <w:szCs w:val="24"/>
        </w:rPr>
        <w:t>, 2010</w:t>
      </w:r>
      <w:r w:rsidR="00C82094" w:rsidRPr="00252683">
        <w:rPr>
          <w:rFonts w:ascii="Times New Roman" w:hAnsi="Times New Roman" w:cs="Times New Roman"/>
          <w:sz w:val="24"/>
          <w:szCs w:val="24"/>
        </w:rPr>
        <w:t>)</w:t>
      </w:r>
      <w:r w:rsidR="000A11D6" w:rsidRPr="00252683">
        <w:rPr>
          <w:rFonts w:ascii="Times New Roman" w:hAnsi="Times New Roman" w:cs="Times New Roman"/>
          <w:sz w:val="24"/>
          <w:szCs w:val="24"/>
        </w:rPr>
        <w:t>.</w:t>
      </w:r>
      <w:r w:rsidR="00C82094" w:rsidRPr="00252683">
        <w:rPr>
          <w:rFonts w:ascii="Times New Roman" w:hAnsi="Times New Roman" w:cs="Times New Roman"/>
          <w:sz w:val="24"/>
          <w:szCs w:val="24"/>
        </w:rPr>
        <w:t xml:space="preserve"> </w:t>
      </w:r>
      <w:r w:rsidR="00C36523" w:rsidRPr="00252683">
        <w:rPr>
          <w:rFonts w:ascii="Times New Roman" w:hAnsi="Times New Roman" w:cs="Times New Roman"/>
          <w:sz w:val="24"/>
          <w:szCs w:val="24"/>
        </w:rPr>
        <w:t xml:space="preserve">Daha çok hastanın aynı anda programa </w:t>
      </w:r>
      <w:proofErr w:type="gramStart"/>
      <w:r w:rsidR="00C36523" w:rsidRPr="00252683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C36523" w:rsidRPr="00252683">
        <w:rPr>
          <w:rFonts w:ascii="Times New Roman" w:hAnsi="Times New Roman" w:cs="Times New Roman"/>
          <w:sz w:val="24"/>
          <w:szCs w:val="24"/>
        </w:rPr>
        <w:t xml:space="preserve"> edilmesine ve katıl</w:t>
      </w:r>
      <w:r w:rsidR="00C36523" w:rsidRPr="00C82094">
        <w:rPr>
          <w:rFonts w:ascii="Times New Roman" w:hAnsi="Times New Roman" w:cs="Times New Roman"/>
          <w:sz w:val="24"/>
          <w:szCs w:val="24"/>
        </w:rPr>
        <w:t xml:space="preserve">ımcıların aynı hastalığa sahip olması nedeniyle etkileşimi artırmaya olanak vermesi nedeniyle program grup düzeninde yapılmıştır. </w:t>
      </w:r>
      <w:r w:rsidR="00C75DE5" w:rsidRPr="00C82094">
        <w:rPr>
          <w:rFonts w:ascii="Times New Roman" w:eastAsia="Times New Roman" w:hAnsi="Times New Roman" w:cs="Times New Roman"/>
          <w:sz w:val="24"/>
          <w:szCs w:val="24"/>
        </w:rPr>
        <w:t xml:space="preserve">Seansların süresi 90 dakika </w:t>
      </w:r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>olarak belirlenmiştir</w:t>
      </w:r>
      <w:r w:rsidR="00C75DE5" w:rsidRPr="00C820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>Seanslarda</w:t>
      </w:r>
      <w:bookmarkStart w:id="2" w:name="OLE_LINK20"/>
      <w:bookmarkStart w:id="3" w:name="OLE_LINK21"/>
      <w:r w:rsidR="00C75DE5" w:rsidRPr="00C82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>hastalıkla ilgili genel bilgiler</w:t>
      </w:r>
      <w:bookmarkStart w:id="4" w:name="OLE_LINK22"/>
      <w:bookmarkStart w:id="5" w:name="OLE_LINK23"/>
      <w:bookmarkEnd w:id="2"/>
      <w:bookmarkEnd w:id="3"/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>, atak dönemlerinin belirtiler</w:t>
      </w:r>
      <w:bookmarkEnd w:id="4"/>
      <w:bookmarkEnd w:id="5"/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>i</w:t>
      </w:r>
      <w:bookmarkStart w:id="6" w:name="OLE_LINK16"/>
      <w:bookmarkStart w:id="7" w:name="OLE_LINK17"/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2833">
        <w:rPr>
          <w:rFonts w:ascii="Times New Roman" w:eastAsia="Times New Roman" w:hAnsi="Times New Roman" w:cs="Times New Roman"/>
          <w:sz w:val="24"/>
          <w:szCs w:val="24"/>
        </w:rPr>
        <w:t>bipolar</w:t>
      </w:r>
      <w:proofErr w:type="spellEnd"/>
      <w:r w:rsidR="00DD2833">
        <w:rPr>
          <w:rFonts w:ascii="Times New Roman" w:eastAsia="Times New Roman" w:hAnsi="Times New Roman" w:cs="Times New Roman"/>
          <w:sz w:val="24"/>
          <w:szCs w:val="24"/>
        </w:rPr>
        <w:t xml:space="preserve"> bozukluğun </w:t>
      </w:r>
      <w:proofErr w:type="spellStart"/>
      <w:r w:rsidR="00DD2833">
        <w:rPr>
          <w:rFonts w:ascii="Times New Roman" w:eastAsia="Times New Roman" w:hAnsi="Times New Roman" w:cs="Times New Roman"/>
          <w:sz w:val="24"/>
          <w:szCs w:val="24"/>
        </w:rPr>
        <w:t>et</w:t>
      </w:r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>yolojisi</w:t>
      </w:r>
      <w:bookmarkEnd w:id="6"/>
      <w:bookmarkEnd w:id="7"/>
      <w:proofErr w:type="spellEnd"/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>, hastalık seyri, sonlanışı ve kalıntı belirtiler, tedavide ilaçların rolü, etki ve y</w:t>
      </w:r>
      <w:bookmarkStart w:id="8" w:name="OLE_LINK24"/>
      <w:bookmarkStart w:id="9" w:name="OLE_LINK25"/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>an etki</w:t>
      </w:r>
      <w:r w:rsidR="00DD2833">
        <w:rPr>
          <w:rFonts w:ascii="Times New Roman" w:eastAsia="Times New Roman" w:hAnsi="Times New Roman" w:cs="Times New Roman"/>
          <w:sz w:val="24"/>
          <w:szCs w:val="24"/>
        </w:rPr>
        <w:t xml:space="preserve">leri, </w:t>
      </w:r>
      <w:proofErr w:type="spellStart"/>
      <w:r w:rsidR="00DD2833">
        <w:rPr>
          <w:rFonts w:ascii="Times New Roman" w:eastAsia="Times New Roman" w:hAnsi="Times New Roman" w:cs="Times New Roman"/>
          <w:sz w:val="24"/>
          <w:szCs w:val="24"/>
        </w:rPr>
        <w:t>duygudurum</w:t>
      </w:r>
      <w:proofErr w:type="spellEnd"/>
      <w:r w:rsidR="00DD2833">
        <w:rPr>
          <w:rFonts w:ascii="Times New Roman" w:eastAsia="Times New Roman" w:hAnsi="Times New Roman" w:cs="Times New Roman"/>
          <w:sz w:val="24"/>
          <w:szCs w:val="24"/>
        </w:rPr>
        <w:t xml:space="preserve"> düzenleyiciler</w:t>
      </w:r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>, rutin kan tetkiklerinin ve ilaç kan düzeylerinin belirlenmesinin önemi ve yöntemi</w:t>
      </w:r>
      <w:bookmarkEnd w:id="8"/>
      <w:bookmarkEnd w:id="9"/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 xml:space="preserve"> açıklanmıştır. Tedaviye uyumun önemi, tedaviyi bırakmayla ilgili riskler, ilaç dışı te</w:t>
      </w:r>
      <w:bookmarkStart w:id="10" w:name="OLE_LINK26"/>
      <w:bookmarkStart w:id="11" w:name="OLE_LINK27"/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>davi seçenekleri, yineleme işaretleri, erken belirtilere yönelik acil durum planı oluşturma</w:t>
      </w:r>
      <w:bookmarkStart w:id="12" w:name="OLE_LINK28"/>
      <w:bookmarkStart w:id="13" w:name="OLE_LINK29"/>
      <w:bookmarkEnd w:id="10"/>
      <w:bookmarkEnd w:id="11"/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>biyoritim</w:t>
      </w:r>
      <w:proofErr w:type="spellEnd"/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 xml:space="preserve"> ve sosyal ritmin </w:t>
      </w:r>
      <w:proofErr w:type="spellStart"/>
      <w:r w:rsidR="00DD2833">
        <w:rPr>
          <w:rFonts w:ascii="Times New Roman" w:eastAsia="Times New Roman" w:hAnsi="Times New Roman" w:cs="Times New Roman"/>
          <w:sz w:val="24"/>
          <w:szCs w:val="24"/>
        </w:rPr>
        <w:t>bipolar</w:t>
      </w:r>
      <w:proofErr w:type="spellEnd"/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 xml:space="preserve"> bozukluktaki rolü</w:t>
      </w:r>
      <w:bookmarkEnd w:id="12"/>
      <w:bookmarkEnd w:id="13"/>
      <w:r w:rsidR="00B25673" w:rsidRPr="00C82094">
        <w:rPr>
          <w:rFonts w:ascii="Times New Roman" w:eastAsia="Times New Roman" w:hAnsi="Times New Roman" w:cs="Times New Roman"/>
          <w:sz w:val="24"/>
          <w:szCs w:val="24"/>
        </w:rPr>
        <w:t xml:space="preserve"> tartışılmıştır. </w:t>
      </w:r>
      <w:r w:rsidR="00493FC9" w:rsidRPr="00C82094">
        <w:rPr>
          <w:rFonts w:ascii="Times New Roman" w:eastAsia="Times New Roman" w:hAnsi="Times New Roman" w:cs="Times New Roman"/>
          <w:sz w:val="24"/>
          <w:szCs w:val="24"/>
        </w:rPr>
        <w:t xml:space="preserve">Kontrol grubundaki hastaların mevcut poliklinik takiplerine devam edilmiş, ek herhangi bir </w:t>
      </w:r>
      <w:proofErr w:type="spellStart"/>
      <w:r w:rsidR="00493FC9" w:rsidRPr="00C82094">
        <w:rPr>
          <w:rFonts w:ascii="Times New Roman" w:eastAsia="Times New Roman" w:hAnsi="Times New Roman" w:cs="Times New Roman"/>
          <w:sz w:val="24"/>
          <w:szCs w:val="24"/>
        </w:rPr>
        <w:t>psikososyal</w:t>
      </w:r>
      <w:proofErr w:type="spellEnd"/>
      <w:r w:rsidR="00493FC9" w:rsidRPr="00C82094">
        <w:rPr>
          <w:rFonts w:ascii="Times New Roman" w:eastAsia="Times New Roman" w:hAnsi="Times New Roman" w:cs="Times New Roman"/>
          <w:sz w:val="24"/>
          <w:szCs w:val="24"/>
        </w:rPr>
        <w:t xml:space="preserve"> müdahale yapılmamıştır.</w:t>
      </w:r>
      <w:r w:rsidR="00CF1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A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Çalışmanın sonlanmasının ardından grup </w:t>
      </w:r>
      <w:proofErr w:type="spellStart"/>
      <w:r w:rsidR="00CF1A33">
        <w:rPr>
          <w:rFonts w:ascii="Times New Roman" w:eastAsia="Times New Roman" w:hAnsi="Times New Roman" w:cs="Times New Roman"/>
          <w:sz w:val="24"/>
          <w:szCs w:val="24"/>
        </w:rPr>
        <w:t>psikoeğitimi</w:t>
      </w:r>
      <w:proofErr w:type="spellEnd"/>
      <w:r w:rsidR="00CF1A33">
        <w:rPr>
          <w:rFonts w:ascii="Times New Roman" w:eastAsia="Times New Roman" w:hAnsi="Times New Roman" w:cs="Times New Roman"/>
          <w:sz w:val="24"/>
          <w:szCs w:val="24"/>
        </w:rPr>
        <w:t xml:space="preserve"> uygulanmayan hastalara </w:t>
      </w:r>
      <w:r w:rsidR="00CF1A33" w:rsidRPr="00CF1A33">
        <w:rPr>
          <w:rFonts w:ascii="Times New Roman" w:eastAsia="Times New Roman" w:hAnsi="Times New Roman" w:cs="Times New Roman"/>
          <w:sz w:val="24"/>
          <w:szCs w:val="24"/>
        </w:rPr>
        <w:t xml:space="preserve">daha sonra </w:t>
      </w:r>
      <w:proofErr w:type="spellStart"/>
      <w:r w:rsidR="00CF1A33" w:rsidRPr="00CF1A33">
        <w:rPr>
          <w:rFonts w:ascii="Times New Roman" w:eastAsia="Times New Roman" w:hAnsi="Times New Roman" w:cs="Times New Roman"/>
          <w:sz w:val="24"/>
          <w:szCs w:val="24"/>
        </w:rPr>
        <w:t>psikoeğitim</w:t>
      </w:r>
      <w:proofErr w:type="spellEnd"/>
      <w:r w:rsidR="00CF1A33" w:rsidRPr="00CF1A33">
        <w:rPr>
          <w:rFonts w:ascii="Times New Roman" w:eastAsia="Times New Roman" w:hAnsi="Times New Roman" w:cs="Times New Roman"/>
          <w:sz w:val="24"/>
          <w:szCs w:val="24"/>
        </w:rPr>
        <w:t xml:space="preserve"> olanağı verilmiş</w:t>
      </w:r>
      <w:r w:rsidR="00CF1A33">
        <w:rPr>
          <w:rFonts w:ascii="Times New Roman" w:eastAsia="Times New Roman" w:hAnsi="Times New Roman" w:cs="Times New Roman"/>
          <w:sz w:val="24"/>
          <w:szCs w:val="24"/>
        </w:rPr>
        <w:t>tir.</w:t>
      </w:r>
    </w:p>
    <w:p w:rsidR="00E2747C" w:rsidRPr="00E2747C" w:rsidRDefault="00DB6049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Veri To</w:t>
      </w:r>
      <w:r w:rsidR="00184F49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lama Araçları</w:t>
      </w:r>
      <w:r w:rsidR="00E2747C" w:rsidRPr="00E274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2747C" w:rsidRDefault="00E2747C" w:rsidP="0096128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72672083"/>
      <w:bookmarkStart w:id="15" w:name="OLE_LINK30"/>
      <w:bookmarkStart w:id="16" w:name="OLE_LINK31"/>
      <w:bookmarkStart w:id="17" w:name="OLE_LINK32"/>
      <w:bookmarkStart w:id="18" w:name="OLE_LINK33"/>
      <w:bookmarkStart w:id="19" w:name="OLE_LINK1"/>
      <w:bookmarkStart w:id="20" w:name="OLE_LINK2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Psikoeğitim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öncesinde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psikoeğitim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müdahalesinin tamamlandığı 16. haftada tüm hastalara </w:t>
      </w:r>
      <w:proofErr w:type="spellStart"/>
      <w:r w:rsidRPr="00C82094">
        <w:rPr>
          <w:rFonts w:ascii="Times New Roman" w:hAnsi="Times New Roman" w:cs="Times New Roman"/>
          <w:sz w:val="24"/>
          <w:szCs w:val="24"/>
        </w:rPr>
        <w:t>Sosyodemografik</w:t>
      </w:r>
      <w:proofErr w:type="spellEnd"/>
      <w:r w:rsidRPr="00C82094">
        <w:rPr>
          <w:rFonts w:ascii="Times New Roman" w:hAnsi="Times New Roman" w:cs="Times New Roman"/>
          <w:sz w:val="24"/>
          <w:szCs w:val="24"/>
        </w:rPr>
        <w:t xml:space="preserve"> Veri Formu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Hamilton Depresyon Derecelendirme Ölçeği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212AD7">
        <w:rPr>
          <w:rFonts w:ascii="Times New Roman" w:hAnsi="Times New Roman" w:cs="Times New Roman"/>
          <w:sz w:val="24"/>
          <w:szCs w:val="24"/>
        </w:rPr>
        <w:t>HAM-D),</w:t>
      </w:r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>Young</w:t>
      </w:r>
      <w:proofErr w:type="spellEnd"/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Mani Derecelendirme Ölçeği</w:t>
      </w:r>
      <w:r w:rsidRPr="00212AD7">
        <w:rPr>
          <w:rFonts w:ascii="Times New Roman" w:hAnsi="Times New Roman" w:cs="Times New Roman"/>
          <w:sz w:val="24"/>
          <w:szCs w:val="24"/>
        </w:rPr>
        <w:t xml:space="preserve"> (YMRS),</w:t>
      </w:r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>Bipolar</w:t>
      </w:r>
      <w:proofErr w:type="spellEnd"/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Bozuklukta İşlevsellik Ölçeği</w:t>
      </w:r>
      <w:r w:rsidRPr="00212AD7">
        <w:rPr>
          <w:rFonts w:ascii="Times New Roman" w:hAnsi="Times New Roman" w:cs="Times New Roman"/>
          <w:sz w:val="24"/>
          <w:szCs w:val="24"/>
        </w:rPr>
        <w:t xml:space="preserve"> (BBİ),</w:t>
      </w:r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Klinik Global İzlenim Ölçeği</w:t>
      </w:r>
      <w:r w:rsidRPr="00212AD7">
        <w:rPr>
          <w:rFonts w:ascii="Times New Roman" w:hAnsi="Times New Roman" w:cs="Times New Roman"/>
          <w:sz w:val="24"/>
          <w:szCs w:val="24"/>
        </w:rPr>
        <w:t xml:space="preserve"> (KGI), </w:t>
      </w:r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>İşlevselliğin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Genel Değerlendirilmesi Ölçeği</w:t>
      </w:r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212AD7">
        <w:rPr>
          <w:rFonts w:ascii="Times New Roman" w:hAnsi="Times New Roman" w:cs="Times New Roman"/>
          <w:sz w:val="24"/>
          <w:szCs w:val="24"/>
        </w:rPr>
        <w:t>IGD)</w:t>
      </w:r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>İçgörünün</w:t>
      </w:r>
      <w:proofErr w:type="spellEnd"/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Üç Bileşenini Değerlendirme Ölçeği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212AD7">
        <w:rPr>
          <w:rFonts w:ascii="Times New Roman" w:hAnsi="Times New Roman" w:cs="Times New Roman"/>
          <w:sz w:val="24"/>
          <w:szCs w:val="24"/>
        </w:rPr>
        <w:t>İÜBDÖ)</w:t>
      </w:r>
      <w:r w:rsidRPr="0000289A">
        <w:rPr>
          <w:rFonts w:ascii="Times New Roman" w:hAnsi="Times New Roman" w:cs="Times New Roman"/>
          <w:sz w:val="24"/>
          <w:szCs w:val="24"/>
        </w:rPr>
        <w:t xml:space="preserve"> </w:t>
      </w:r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ve </w:t>
      </w:r>
      <w:proofErr w:type="spellStart"/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>Morisky</w:t>
      </w:r>
      <w:proofErr w:type="spellEnd"/>
      <w:r w:rsidRPr="00C8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Tedaviye Uyum Ölçeği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uygulanmıştır.</w:t>
      </w:r>
      <w:proofErr w:type="gramEnd"/>
    </w:p>
    <w:p w:rsidR="00C328ED" w:rsidRDefault="00804B6E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1" w:name="_Toc472672086"/>
      <w:bookmarkEnd w:id="14"/>
      <w:r w:rsidRPr="00184F49">
        <w:rPr>
          <w:rFonts w:ascii="Times New Roman" w:eastAsia="Times New Roman" w:hAnsi="Times New Roman" w:cs="Times New Roman"/>
          <w:b/>
          <w:bCs/>
          <w:sz w:val="24"/>
          <w:szCs w:val="24"/>
        </w:rPr>
        <w:t>HAM-D</w:t>
      </w:r>
      <w:r w:rsidR="00C328ED" w:rsidRPr="00184F4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328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28ED" w:rsidRPr="0063154E">
        <w:rPr>
          <w:rFonts w:ascii="Times New Roman" w:eastAsia="Times New Roman" w:hAnsi="Times New Roman" w:cs="Times New Roman"/>
          <w:sz w:val="24"/>
          <w:szCs w:val="24"/>
        </w:rPr>
        <w:t>Hamilton tarafından oluşturulan ve Williams tarafından geliştirilen ölçek hastada depresyon düzeyini belirlemek ve şiddetindeki değişimi izlemek amacıyla kullanılır</w:t>
      </w:r>
      <w:r w:rsidR="00C328E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328ED" w:rsidRPr="00C328ED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9E459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Hamilton, 1963; </w:t>
      </w:r>
      <w:r w:rsidR="00C328ED" w:rsidRPr="00C328ED">
        <w:rPr>
          <w:rFonts w:ascii="Times New Roman" w:eastAsia="Times New Roman" w:hAnsi="Times New Roman" w:cs="Times New Roman"/>
          <w:noProof/>
          <w:sz w:val="24"/>
          <w:szCs w:val="24"/>
        </w:rPr>
        <w:t>Williams, 1978)</w:t>
      </w:r>
      <w:r w:rsidR="00C328ED" w:rsidRPr="0063154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C328ED" w:rsidRPr="0063154E">
        <w:rPr>
          <w:rFonts w:ascii="Times New Roman" w:eastAsia="Times New Roman" w:hAnsi="Times New Roman" w:cs="Times New Roman"/>
          <w:sz w:val="24"/>
          <w:szCs w:val="24"/>
        </w:rPr>
        <w:t>Türkçe formunun geçerlik ve güvenilirlik çalışması Akdemir ve ark.</w:t>
      </w:r>
      <w:r w:rsidR="00C3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610246">
        <w:rPr>
          <w:rFonts w:ascii="Times New Roman" w:eastAsia="Times New Roman" w:hAnsi="Times New Roman" w:cs="Times New Roman"/>
          <w:sz w:val="24"/>
          <w:szCs w:val="24"/>
        </w:rPr>
        <w:t>(</w:t>
      </w:r>
      <w:r w:rsidR="00610246" w:rsidRPr="00C328ED">
        <w:rPr>
          <w:rFonts w:ascii="Times New Roman" w:eastAsia="Times New Roman" w:hAnsi="Times New Roman" w:cs="Times New Roman"/>
          <w:noProof/>
          <w:sz w:val="24"/>
          <w:szCs w:val="24"/>
        </w:rPr>
        <w:t>1996</w:t>
      </w:r>
      <w:r w:rsidR="006102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 </w:t>
      </w:r>
      <w:r w:rsidR="00C328ED" w:rsidRPr="0063154E">
        <w:rPr>
          <w:rFonts w:ascii="Times New Roman" w:eastAsia="Times New Roman" w:hAnsi="Times New Roman" w:cs="Times New Roman"/>
          <w:sz w:val="24"/>
          <w:szCs w:val="24"/>
        </w:rPr>
        <w:t>tarafından yapılmıştır</w:t>
      </w:r>
      <w:r w:rsidR="006102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8ED" w:rsidRDefault="00184F49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4F49">
        <w:rPr>
          <w:rFonts w:ascii="Times New Roman" w:eastAsia="Times New Roman" w:hAnsi="Times New Roman" w:cs="Times New Roman"/>
          <w:b/>
          <w:bCs/>
          <w:sz w:val="24"/>
          <w:szCs w:val="24"/>
        </w:rPr>
        <w:t>YMRS</w:t>
      </w:r>
      <w:r w:rsidR="00C328ED" w:rsidRPr="00184F4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328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28ED" w:rsidRPr="0063154E"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spellEnd"/>
      <w:r w:rsidR="00C328ED" w:rsidRPr="0063154E">
        <w:rPr>
          <w:rFonts w:ascii="Times New Roman" w:eastAsia="Times New Roman" w:hAnsi="Times New Roman" w:cs="Times New Roman"/>
          <w:sz w:val="24"/>
          <w:szCs w:val="24"/>
        </w:rPr>
        <w:t xml:space="preserve"> ve arkadaşları tarafından geliştirilen ölçek, </w:t>
      </w:r>
      <w:r w:rsidR="00C328ED">
        <w:rPr>
          <w:rFonts w:ascii="Times New Roman" w:eastAsia="Times New Roman" w:hAnsi="Times New Roman" w:cs="Times New Roman"/>
          <w:sz w:val="24"/>
          <w:szCs w:val="24"/>
        </w:rPr>
        <w:t>mani</w:t>
      </w:r>
      <w:r w:rsidR="00C328ED" w:rsidRPr="0063154E">
        <w:rPr>
          <w:rFonts w:ascii="Times New Roman" w:eastAsia="Times New Roman" w:hAnsi="Times New Roman" w:cs="Times New Roman"/>
          <w:sz w:val="24"/>
          <w:szCs w:val="24"/>
        </w:rPr>
        <w:t xml:space="preserve"> atağının şiddetini ölçmek amacıyla kullanılmaktadır</w:t>
      </w:r>
      <w:r w:rsidR="00C328E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328ED" w:rsidRPr="00C328ED">
        <w:rPr>
          <w:rFonts w:ascii="Times New Roman" w:eastAsia="Times New Roman" w:hAnsi="Times New Roman" w:cs="Times New Roman"/>
          <w:noProof/>
          <w:sz w:val="24"/>
          <w:szCs w:val="24"/>
        </w:rPr>
        <w:t>(Young</w:t>
      </w:r>
      <w:r w:rsidR="006A25D3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C328ED" w:rsidRPr="00C328E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6A25D3" w:rsidRPr="007124AB">
        <w:rPr>
          <w:rFonts w:ascii="Times New Roman" w:hAnsi="Times New Roman"/>
          <w:sz w:val="24"/>
          <w:szCs w:val="24"/>
        </w:rPr>
        <w:t>Biggs</w:t>
      </w:r>
      <w:proofErr w:type="spellEnd"/>
      <w:r w:rsidR="006A25D3">
        <w:rPr>
          <w:rFonts w:ascii="Times New Roman" w:hAnsi="Times New Roman"/>
          <w:sz w:val="24"/>
          <w:szCs w:val="24"/>
        </w:rPr>
        <w:t>,</w:t>
      </w:r>
      <w:r w:rsidR="006A25D3" w:rsidRPr="00712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5D3" w:rsidRPr="007124AB">
        <w:rPr>
          <w:rFonts w:ascii="Times New Roman" w:hAnsi="Times New Roman"/>
          <w:sz w:val="24"/>
          <w:szCs w:val="24"/>
        </w:rPr>
        <w:t>Ziegler</w:t>
      </w:r>
      <w:proofErr w:type="spellEnd"/>
      <w:r w:rsidR="001C6DF6">
        <w:rPr>
          <w:rFonts w:ascii="Times New Roman" w:hAnsi="Times New Roman"/>
          <w:sz w:val="24"/>
          <w:szCs w:val="24"/>
        </w:rPr>
        <w:t>,</w:t>
      </w:r>
      <w:r w:rsidR="006A25D3">
        <w:rPr>
          <w:rFonts w:ascii="Times New Roman" w:hAnsi="Times New Roman"/>
          <w:sz w:val="24"/>
          <w:szCs w:val="24"/>
        </w:rPr>
        <w:t xml:space="preserve"> </w:t>
      </w:r>
      <w:r w:rsidR="006A25D3" w:rsidRPr="003C7C0F">
        <w:rPr>
          <w:rFonts w:ascii="Times New Roman" w:hAnsi="Times New Roman"/>
          <w:sz w:val="24"/>
          <w:szCs w:val="24"/>
        </w:rPr>
        <w:t>&amp;</w:t>
      </w:r>
      <w:r w:rsidR="006A25D3" w:rsidRPr="007124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25D3" w:rsidRPr="007124AB">
        <w:rPr>
          <w:rFonts w:ascii="Times New Roman" w:hAnsi="Times New Roman"/>
          <w:sz w:val="24"/>
          <w:szCs w:val="24"/>
        </w:rPr>
        <w:t>Meyer</w:t>
      </w:r>
      <w:proofErr w:type="spellEnd"/>
      <w:r w:rsidR="006A25D3">
        <w:rPr>
          <w:rFonts w:ascii="Times New Roman" w:hAnsi="Times New Roman"/>
          <w:sz w:val="24"/>
          <w:szCs w:val="24"/>
        </w:rPr>
        <w:t>,</w:t>
      </w:r>
      <w:r w:rsidR="006A25D3" w:rsidRPr="00C328E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328ED" w:rsidRPr="00C328ED">
        <w:rPr>
          <w:rFonts w:ascii="Times New Roman" w:eastAsia="Times New Roman" w:hAnsi="Times New Roman" w:cs="Times New Roman"/>
          <w:noProof/>
          <w:sz w:val="24"/>
          <w:szCs w:val="24"/>
        </w:rPr>
        <w:t>1978)</w:t>
      </w:r>
      <w:r w:rsidR="00C328ED" w:rsidRPr="0063154E">
        <w:rPr>
          <w:rFonts w:ascii="Times New Roman" w:eastAsia="Times New Roman" w:hAnsi="Times New Roman" w:cs="Times New Roman"/>
          <w:sz w:val="24"/>
          <w:szCs w:val="24"/>
        </w:rPr>
        <w:t xml:space="preserve">. Türkçe formunun geçerlik ve güvenilirlik çalışması </w:t>
      </w:r>
      <w:r w:rsidR="004A25C8" w:rsidRPr="00C328ED">
        <w:rPr>
          <w:rFonts w:ascii="Times New Roman" w:eastAsia="Times New Roman" w:hAnsi="Times New Roman" w:cs="Times New Roman"/>
          <w:noProof/>
          <w:sz w:val="24"/>
          <w:szCs w:val="24"/>
        </w:rPr>
        <w:t>Karadağ</w:t>
      </w:r>
      <w:r w:rsidR="004A25C8">
        <w:rPr>
          <w:rFonts w:ascii="Times New Roman" w:hAnsi="Times New Roman"/>
          <w:sz w:val="24"/>
          <w:szCs w:val="24"/>
        </w:rPr>
        <w:t xml:space="preserve">, Oral, Aran Yalçın </w:t>
      </w:r>
      <w:r w:rsidR="004A25C8" w:rsidRPr="003C7C0F">
        <w:rPr>
          <w:rFonts w:ascii="Times New Roman" w:hAnsi="Times New Roman"/>
          <w:sz w:val="24"/>
          <w:szCs w:val="24"/>
        </w:rPr>
        <w:t>&amp;</w:t>
      </w:r>
      <w:r w:rsidR="004A25C8" w:rsidRPr="0004147F">
        <w:rPr>
          <w:rFonts w:ascii="Times New Roman" w:hAnsi="Times New Roman"/>
          <w:sz w:val="24"/>
          <w:szCs w:val="24"/>
        </w:rPr>
        <w:t xml:space="preserve"> Erten</w:t>
      </w:r>
      <w:r w:rsidR="004A25C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D577D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4A25C8" w:rsidRPr="00C328ED">
        <w:rPr>
          <w:rFonts w:ascii="Times New Roman" w:eastAsia="Times New Roman" w:hAnsi="Times New Roman" w:cs="Times New Roman"/>
          <w:noProof/>
          <w:sz w:val="24"/>
          <w:szCs w:val="24"/>
        </w:rPr>
        <w:t>2001</w:t>
      </w:r>
      <w:r w:rsidR="00AD577D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4A2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8ED" w:rsidRPr="0063154E">
        <w:rPr>
          <w:rFonts w:ascii="Times New Roman" w:eastAsia="Times New Roman" w:hAnsi="Times New Roman" w:cs="Times New Roman"/>
          <w:sz w:val="24"/>
          <w:szCs w:val="24"/>
        </w:rPr>
        <w:t>tarafından yapılmıştır</w:t>
      </w:r>
      <w:r w:rsidR="001C6D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732" w:rsidRDefault="00D70BE1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E1">
        <w:rPr>
          <w:rFonts w:ascii="Times New Roman" w:eastAsia="Times New Roman" w:hAnsi="Times New Roman" w:cs="Times New Roman"/>
          <w:b/>
          <w:bCs/>
          <w:sz w:val="24"/>
          <w:szCs w:val="24"/>
        </w:rPr>
        <w:t>BBİ</w:t>
      </w:r>
      <w:r w:rsidR="005D2BA5" w:rsidRPr="00D70BE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D2B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1808">
        <w:rPr>
          <w:rFonts w:ascii="Times New Roman" w:eastAsia="Times New Roman" w:hAnsi="Times New Roman" w:cs="Times New Roman"/>
          <w:sz w:val="24"/>
          <w:szCs w:val="24"/>
        </w:rPr>
        <w:t>Bipolar</w:t>
      </w:r>
      <w:proofErr w:type="spellEnd"/>
      <w:r w:rsidR="005D2BA5" w:rsidRPr="0063154E">
        <w:rPr>
          <w:rFonts w:ascii="Times New Roman" w:eastAsia="Times New Roman" w:hAnsi="Times New Roman" w:cs="Times New Roman"/>
          <w:sz w:val="24"/>
          <w:szCs w:val="24"/>
        </w:rPr>
        <w:t xml:space="preserve"> Bozukluğu olan hastaların işlevsellik düzeylerini ölçmek için kullanılan </w:t>
      </w:r>
      <w:r w:rsidR="005D2BA5">
        <w:rPr>
          <w:rFonts w:ascii="Times New Roman" w:eastAsia="Times New Roman" w:hAnsi="Times New Roman" w:cs="Times New Roman"/>
          <w:sz w:val="24"/>
          <w:szCs w:val="24"/>
        </w:rPr>
        <w:t>ölçek</w:t>
      </w:r>
      <w:r w:rsidR="001C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BA5">
        <w:rPr>
          <w:rFonts w:ascii="Times New Roman" w:eastAsia="Times New Roman" w:hAnsi="Times New Roman" w:cs="Times New Roman"/>
          <w:sz w:val="24"/>
          <w:szCs w:val="24"/>
        </w:rPr>
        <w:t>Aydemir ve ark.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(2007)</w:t>
      </w:r>
      <w:r w:rsidR="005D2BA5" w:rsidRPr="0063154E">
        <w:rPr>
          <w:rFonts w:ascii="Times New Roman" w:eastAsia="Times New Roman" w:hAnsi="Times New Roman" w:cs="Times New Roman"/>
          <w:sz w:val="24"/>
          <w:szCs w:val="24"/>
        </w:rPr>
        <w:t xml:space="preserve"> tarafından geliştirilmiştir. Duygusal işlevsellik, zihinsel işlevsellik, cinsel işlevsellik</w:t>
      </w:r>
      <w:r w:rsidR="005D2BA5">
        <w:rPr>
          <w:rFonts w:ascii="Times New Roman" w:eastAsia="Times New Roman" w:hAnsi="Times New Roman" w:cs="Times New Roman"/>
          <w:sz w:val="24"/>
          <w:szCs w:val="24"/>
        </w:rPr>
        <w:t>, damgalanma</w:t>
      </w:r>
      <w:r w:rsidR="005D2BA5" w:rsidRPr="0063154E">
        <w:rPr>
          <w:rFonts w:ascii="Times New Roman" w:eastAsia="Times New Roman" w:hAnsi="Times New Roman" w:cs="Times New Roman"/>
          <w:sz w:val="24"/>
          <w:szCs w:val="24"/>
        </w:rPr>
        <w:t xml:space="preserve">, içe kapanıklık, ev içi ilişkiler, arkadaşlarıyla ilişkiler, toplumsal etkinliklere katılım, günlük etkinlikler ve hobiler, </w:t>
      </w:r>
      <w:proofErr w:type="gramStart"/>
      <w:r w:rsidR="005D2BA5" w:rsidRPr="0063154E">
        <w:rPr>
          <w:rFonts w:ascii="Times New Roman" w:eastAsia="Times New Roman" w:hAnsi="Times New Roman" w:cs="Times New Roman"/>
          <w:sz w:val="24"/>
          <w:szCs w:val="24"/>
        </w:rPr>
        <w:t>inisiyatif</w:t>
      </w:r>
      <w:proofErr w:type="gramEnd"/>
      <w:r w:rsidR="005D2BA5" w:rsidRPr="0063154E">
        <w:rPr>
          <w:rFonts w:ascii="Times New Roman" w:eastAsia="Times New Roman" w:hAnsi="Times New Roman" w:cs="Times New Roman"/>
          <w:sz w:val="24"/>
          <w:szCs w:val="24"/>
        </w:rPr>
        <w:t xml:space="preserve"> alma ve potansiyelini kullanabilme ve iş/meslek şeklinde 11 alt ölçekten oluşmaktadır. </w:t>
      </w:r>
      <w:bookmarkStart w:id="22" w:name="_Toc472672087"/>
    </w:p>
    <w:bookmarkEnd w:id="22"/>
    <w:p w:rsidR="000547B9" w:rsidRPr="0063154E" w:rsidRDefault="007D5DB4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5D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İGD</w:t>
      </w:r>
      <w:r w:rsidR="000547B9" w:rsidRPr="007D5D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End w:id="21"/>
      <w:r w:rsidR="00E658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5CC6" w:rsidRPr="0063154E">
        <w:rPr>
          <w:rFonts w:ascii="Times New Roman" w:eastAsia="Times New Roman" w:hAnsi="Times New Roman" w:cs="Times New Roman"/>
          <w:sz w:val="24"/>
          <w:szCs w:val="24"/>
        </w:rPr>
        <w:t>Luborsky</w:t>
      </w:r>
      <w:proofErr w:type="spellEnd"/>
      <w:r w:rsidR="00155CC6" w:rsidRPr="00631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CC6">
        <w:rPr>
          <w:rFonts w:ascii="Times New Roman" w:eastAsia="Times New Roman" w:hAnsi="Times New Roman" w:cs="Times New Roman"/>
          <w:sz w:val="24"/>
          <w:szCs w:val="24"/>
        </w:rPr>
        <w:t xml:space="preserve">(1962) </w:t>
      </w:r>
      <w:r w:rsidR="00155CC6" w:rsidRPr="0063154E">
        <w:rPr>
          <w:rFonts w:ascii="Times New Roman" w:eastAsia="Times New Roman" w:hAnsi="Times New Roman" w:cs="Times New Roman"/>
          <w:sz w:val="24"/>
          <w:szCs w:val="24"/>
        </w:rPr>
        <w:t xml:space="preserve">tarafından geliştirilen </w:t>
      </w:r>
      <w:r w:rsidR="000547B9" w:rsidRPr="0063154E">
        <w:rPr>
          <w:rFonts w:ascii="Times New Roman" w:eastAsia="Times New Roman" w:hAnsi="Times New Roman" w:cs="Times New Roman"/>
          <w:sz w:val="24"/>
          <w:szCs w:val="24"/>
        </w:rPr>
        <w:t>hastanın psikolojik, sosyal ve mesleki işlev</w:t>
      </w:r>
      <w:r w:rsidR="00155CC6">
        <w:rPr>
          <w:rFonts w:ascii="Times New Roman" w:eastAsia="Times New Roman" w:hAnsi="Times New Roman" w:cs="Times New Roman"/>
          <w:sz w:val="24"/>
          <w:szCs w:val="24"/>
        </w:rPr>
        <w:t xml:space="preserve">selliğini genel olarak </w:t>
      </w:r>
      <w:r w:rsidR="000547B9" w:rsidRPr="0063154E">
        <w:rPr>
          <w:rFonts w:ascii="Times New Roman" w:eastAsia="Times New Roman" w:hAnsi="Times New Roman" w:cs="Times New Roman"/>
          <w:sz w:val="24"/>
          <w:szCs w:val="24"/>
        </w:rPr>
        <w:t>değerlendir</w:t>
      </w:r>
      <w:r w:rsidR="00155CC6">
        <w:rPr>
          <w:rFonts w:ascii="Times New Roman" w:eastAsia="Times New Roman" w:hAnsi="Times New Roman" w:cs="Times New Roman"/>
          <w:sz w:val="24"/>
          <w:szCs w:val="24"/>
        </w:rPr>
        <w:t xml:space="preserve">en bir </w:t>
      </w:r>
      <w:r w:rsidR="000547B9" w:rsidRPr="0063154E">
        <w:rPr>
          <w:rFonts w:ascii="Times New Roman" w:eastAsia="Times New Roman" w:hAnsi="Times New Roman" w:cs="Times New Roman"/>
          <w:sz w:val="24"/>
          <w:szCs w:val="24"/>
        </w:rPr>
        <w:t>ölçektir</w:t>
      </w:r>
      <w:r w:rsidR="004C034A">
        <w:rPr>
          <w:rFonts w:ascii="Times New Roman" w:eastAsia="Times New Roman" w:hAnsi="Times New Roman" w:cs="Times New Roman"/>
          <w:sz w:val="24"/>
          <w:szCs w:val="24"/>
        </w:rPr>
        <w:t>. K</w:t>
      </w:r>
      <w:r w:rsidR="004C034A" w:rsidRPr="0063154E">
        <w:rPr>
          <w:rFonts w:ascii="Times New Roman" w:eastAsia="Times New Roman" w:hAnsi="Times New Roman" w:cs="Times New Roman"/>
          <w:sz w:val="24"/>
          <w:szCs w:val="24"/>
        </w:rPr>
        <w:t xml:space="preserve">işinin genel uyum düzeyi 0-100 arasında </w:t>
      </w:r>
      <w:r w:rsidR="004C034A">
        <w:rPr>
          <w:rFonts w:ascii="Times New Roman" w:eastAsia="Times New Roman" w:hAnsi="Times New Roman" w:cs="Times New Roman"/>
          <w:sz w:val="24"/>
          <w:szCs w:val="24"/>
        </w:rPr>
        <w:t>değerlendirilirken y</w:t>
      </w:r>
      <w:r w:rsidR="004C034A" w:rsidRPr="0063154E">
        <w:rPr>
          <w:rFonts w:ascii="Times New Roman" w:eastAsia="Times New Roman" w:hAnsi="Times New Roman" w:cs="Times New Roman"/>
          <w:sz w:val="24"/>
          <w:szCs w:val="24"/>
        </w:rPr>
        <w:t>üksek puanlar işlevselliğin daha iyi olduğunu gösterir</w:t>
      </w:r>
      <w:r w:rsidR="004C0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7B9" w:rsidRDefault="004C034A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3" w:name="_Toc472672091"/>
      <w:r w:rsidRPr="004C034A">
        <w:rPr>
          <w:rFonts w:ascii="Times New Roman" w:eastAsia="Times New Roman" w:hAnsi="Times New Roman" w:cs="Times New Roman"/>
          <w:b/>
          <w:bCs/>
          <w:sz w:val="24"/>
          <w:szCs w:val="24"/>
        </w:rPr>
        <w:t>İÜBDÖ</w:t>
      </w:r>
      <w:r w:rsidR="000547B9" w:rsidRPr="004C034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End w:id="23"/>
      <w:r w:rsidR="00E658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12EC">
        <w:rPr>
          <w:rFonts w:ascii="Times New Roman" w:eastAsia="Times New Roman" w:hAnsi="Times New Roman" w:cs="Times New Roman"/>
          <w:sz w:val="24"/>
          <w:szCs w:val="24"/>
        </w:rPr>
        <w:t>Klinisyen</w:t>
      </w:r>
      <w:proofErr w:type="spellEnd"/>
      <w:r w:rsidR="001012EC">
        <w:rPr>
          <w:rFonts w:ascii="Times New Roman" w:eastAsia="Times New Roman" w:hAnsi="Times New Roman" w:cs="Times New Roman"/>
          <w:sz w:val="24"/>
          <w:szCs w:val="24"/>
        </w:rPr>
        <w:t xml:space="preserve"> tarafından uygulanan </w:t>
      </w:r>
      <w:r w:rsidR="001012EC" w:rsidRPr="0063154E">
        <w:rPr>
          <w:rFonts w:ascii="Times New Roman" w:eastAsia="Times New Roman" w:hAnsi="Times New Roman" w:cs="Times New Roman"/>
          <w:sz w:val="24"/>
          <w:szCs w:val="24"/>
        </w:rPr>
        <w:t xml:space="preserve">yarı yapılandırılmış </w:t>
      </w:r>
      <w:r w:rsidR="001012EC">
        <w:rPr>
          <w:rFonts w:ascii="Times New Roman" w:eastAsia="Times New Roman" w:hAnsi="Times New Roman" w:cs="Times New Roman"/>
          <w:sz w:val="24"/>
          <w:szCs w:val="24"/>
        </w:rPr>
        <w:t>bir ölçektir,</w:t>
      </w:r>
      <w:r w:rsidR="001012EC" w:rsidRPr="00631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47B9">
        <w:rPr>
          <w:rFonts w:ascii="Times New Roman" w:eastAsia="Times New Roman" w:hAnsi="Times New Roman" w:cs="Times New Roman"/>
          <w:sz w:val="24"/>
          <w:szCs w:val="24"/>
        </w:rPr>
        <w:t>içgörü</w:t>
      </w:r>
      <w:r w:rsidR="001012EC">
        <w:rPr>
          <w:rFonts w:ascii="Times New Roman" w:eastAsia="Times New Roman" w:hAnsi="Times New Roman" w:cs="Times New Roman"/>
          <w:sz w:val="24"/>
          <w:szCs w:val="24"/>
        </w:rPr>
        <w:t>nün</w:t>
      </w:r>
      <w:proofErr w:type="spellEnd"/>
      <w:r w:rsidR="00E65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7B9" w:rsidRPr="0063154E">
        <w:rPr>
          <w:rFonts w:ascii="Times New Roman" w:eastAsia="Times New Roman" w:hAnsi="Times New Roman" w:cs="Times New Roman"/>
          <w:sz w:val="24"/>
          <w:szCs w:val="24"/>
        </w:rPr>
        <w:t xml:space="preserve">tedaviye uyum, hastalığın farkında olma ve </w:t>
      </w:r>
      <w:proofErr w:type="spellStart"/>
      <w:r w:rsidR="000547B9" w:rsidRPr="0063154E">
        <w:rPr>
          <w:rFonts w:ascii="Times New Roman" w:eastAsia="Times New Roman" w:hAnsi="Times New Roman" w:cs="Times New Roman"/>
          <w:sz w:val="24"/>
          <w:szCs w:val="24"/>
        </w:rPr>
        <w:t>psikotik</w:t>
      </w:r>
      <w:proofErr w:type="spellEnd"/>
      <w:r w:rsidR="000547B9" w:rsidRPr="0063154E">
        <w:rPr>
          <w:rFonts w:ascii="Times New Roman" w:eastAsia="Times New Roman" w:hAnsi="Times New Roman" w:cs="Times New Roman"/>
          <w:sz w:val="24"/>
          <w:szCs w:val="24"/>
        </w:rPr>
        <w:t xml:space="preserve"> yaşantıları doğru tanıma </w:t>
      </w:r>
      <w:r w:rsidR="001012EC">
        <w:rPr>
          <w:rFonts w:ascii="Times New Roman" w:eastAsia="Times New Roman" w:hAnsi="Times New Roman" w:cs="Times New Roman"/>
          <w:sz w:val="24"/>
          <w:szCs w:val="24"/>
        </w:rPr>
        <w:t xml:space="preserve">bileşenleri bulunmaktadır </w:t>
      </w:r>
      <w:r w:rsidR="001012EC" w:rsidRPr="002C5399">
        <w:rPr>
          <w:rFonts w:ascii="Times New Roman" w:eastAsia="Times New Roman" w:hAnsi="Times New Roman" w:cs="Times New Roman"/>
          <w:noProof/>
          <w:sz w:val="24"/>
          <w:szCs w:val="24"/>
        </w:rPr>
        <w:t>(David, 1990)</w:t>
      </w:r>
      <w:r w:rsidR="000547B9" w:rsidRPr="006315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547B9" w:rsidRPr="0063154E">
        <w:rPr>
          <w:rFonts w:ascii="Times New Roman" w:eastAsia="Times New Roman" w:hAnsi="Times New Roman" w:cs="Times New Roman"/>
          <w:sz w:val="24"/>
          <w:szCs w:val="24"/>
        </w:rPr>
        <w:t>Türkçe güvenilirlik ve geçerlik araştırması Aslan ve ark</w:t>
      </w:r>
      <w:r w:rsidR="00A976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47B9" w:rsidRPr="00631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0547B9" w:rsidRPr="0063154E">
        <w:rPr>
          <w:rFonts w:ascii="Times New Roman" w:eastAsia="Times New Roman" w:hAnsi="Times New Roman" w:cs="Times New Roman"/>
          <w:sz w:val="24"/>
          <w:szCs w:val="24"/>
        </w:rPr>
        <w:t>(2001) tarafından yapılmıştır</w:t>
      </w:r>
      <w:bookmarkStart w:id="24" w:name="_Toc472672092"/>
      <w:r w:rsidR="00A9767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0547B9" w:rsidRDefault="000547B9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97671">
        <w:rPr>
          <w:rFonts w:ascii="Times New Roman" w:eastAsia="Times New Roman" w:hAnsi="Times New Roman" w:cs="Times New Roman"/>
          <w:b/>
          <w:bCs/>
          <w:sz w:val="24"/>
          <w:szCs w:val="24"/>
        </w:rPr>
        <w:t>Morisky</w:t>
      </w:r>
      <w:proofErr w:type="spellEnd"/>
      <w:r w:rsidRPr="00A97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Tedaviye Uyum Ölçeği:</w:t>
      </w:r>
      <w:bookmarkEnd w:id="24"/>
      <w:r w:rsidR="00A4479A" w:rsidRPr="00A97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154E">
        <w:rPr>
          <w:rFonts w:ascii="Times New Roman" w:eastAsia="Times New Roman" w:hAnsi="Times New Roman" w:cs="Times New Roman"/>
          <w:sz w:val="24"/>
          <w:szCs w:val="24"/>
        </w:rPr>
        <w:t>İlaç uyumunu ölçmek amacıyla hastanın kendisinin doldurduğu bir ölçektir</w:t>
      </w:r>
      <w:r w:rsidR="00AF4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C4A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(Morisky </w:t>
      </w:r>
      <w:r w:rsidR="00AF4C4A" w:rsidRPr="00AF4C4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&amp; </w:t>
      </w:r>
      <w:r w:rsidR="00AF4C4A" w:rsidRPr="002C5399">
        <w:rPr>
          <w:rFonts w:ascii="Times New Roman" w:eastAsia="Times New Roman" w:hAnsi="Times New Roman" w:cs="Times New Roman"/>
          <w:noProof/>
          <w:sz w:val="24"/>
          <w:szCs w:val="24"/>
        </w:rPr>
        <w:t>D</w:t>
      </w:r>
      <w:r w:rsidR="00AF4C4A">
        <w:rPr>
          <w:rFonts w:ascii="Times New Roman" w:eastAsia="Times New Roman" w:hAnsi="Times New Roman" w:cs="Times New Roman"/>
          <w:noProof/>
          <w:sz w:val="24"/>
          <w:szCs w:val="24"/>
        </w:rPr>
        <w:t>iMatteo</w:t>
      </w:r>
      <w:r w:rsidR="00AF4C4A" w:rsidRPr="002C5399">
        <w:rPr>
          <w:rFonts w:ascii="Times New Roman" w:eastAsia="Times New Roman" w:hAnsi="Times New Roman" w:cs="Times New Roman"/>
          <w:noProof/>
          <w:sz w:val="24"/>
          <w:szCs w:val="24"/>
        </w:rPr>
        <w:t>, 2011)</w:t>
      </w:r>
      <w:r w:rsidRPr="006315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15"/>
      <w:bookmarkEnd w:id="16"/>
      <w:r w:rsidRPr="0063154E">
        <w:rPr>
          <w:rFonts w:ascii="Times New Roman" w:eastAsia="Times New Roman" w:hAnsi="Times New Roman" w:cs="Times New Roman"/>
          <w:sz w:val="24"/>
          <w:szCs w:val="24"/>
        </w:rPr>
        <w:t xml:space="preserve">Ülkemizde </w:t>
      </w:r>
      <w:proofErr w:type="spellStart"/>
      <w:r w:rsidR="00171808">
        <w:rPr>
          <w:rFonts w:ascii="Times New Roman" w:eastAsia="Times New Roman" w:hAnsi="Times New Roman" w:cs="Times New Roman"/>
          <w:sz w:val="24"/>
          <w:szCs w:val="24"/>
        </w:rPr>
        <w:t>bipolar</w:t>
      </w:r>
      <w:proofErr w:type="spellEnd"/>
      <w:r w:rsidR="00171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154E">
        <w:rPr>
          <w:rFonts w:ascii="Times New Roman" w:eastAsia="Times New Roman" w:hAnsi="Times New Roman" w:cs="Times New Roman"/>
          <w:sz w:val="24"/>
          <w:szCs w:val="24"/>
        </w:rPr>
        <w:t>duygudurum</w:t>
      </w:r>
      <w:proofErr w:type="spellEnd"/>
      <w:r w:rsidRPr="0063154E">
        <w:rPr>
          <w:rFonts w:ascii="Times New Roman" w:eastAsia="Times New Roman" w:hAnsi="Times New Roman" w:cs="Times New Roman"/>
          <w:sz w:val="24"/>
          <w:szCs w:val="24"/>
        </w:rPr>
        <w:t xml:space="preserve"> bozukluğu için geçerlik ve güvenilirlik 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alışması </w:t>
      </w:r>
      <w:r w:rsidRPr="0063154E">
        <w:rPr>
          <w:rFonts w:ascii="Times New Roman" w:eastAsia="Times New Roman" w:hAnsi="Times New Roman" w:cs="Times New Roman"/>
          <w:sz w:val="24"/>
          <w:szCs w:val="24"/>
        </w:rPr>
        <w:t>yapılmıştır</w:t>
      </w:r>
      <w:r w:rsidR="00A44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31E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(Bahar </w:t>
      </w:r>
      <w:r w:rsidR="002A331E">
        <w:rPr>
          <w:rFonts w:ascii="Times New Roman" w:eastAsia="Times New Roman" w:hAnsi="Times New Roman" w:cs="Times New Roman"/>
          <w:noProof/>
          <w:sz w:val="24"/>
          <w:szCs w:val="24"/>
        </w:rPr>
        <w:t>ve ark.</w:t>
      </w:r>
      <w:r w:rsidR="002A331E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2014)</w:t>
      </w:r>
      <w:r w:rsidRPr="0063154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5" w:name="_Toc472672093"/>
      <w:bookmarkEnd w:id="17"/>
      <w:bookmarkEnd w:id="18"/>
      <w:bookmarkEnd w:id="19"/>
      <w:bookmarkEnd w:id="20"/>
    </w:p>
    <w:p w:rsidR="000547B9" w:rsidRPr="006A12A9" w:rsidRDefault="000547B9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_Toc472672095"/>
      <w:bookmarkEnd w:id="25"/>
      <w:r w:rsidRPr="006A12A9">
        <w:rPr>
          <w:rFonts w:ascii="Times New Roman" w:eastAsia="Times New Roman" w:hAnsi="Times New Roman" w:cs="Times New Roman"/>
          <w:b/>
          <w:bCs/>
          <w:sz w:val="24"/>
          <w:szCs w:val="24"/>
        </w:rPr>
        <w:t>İstatistiksel analiz</w:t>
      </w:r>
      <w:bookmarkEnd w:id="26"/>
    </w:p>
    <w:p w:rsidR="00E2747C" w:rsidRDefault="00776F45" w:rsidP="00961280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Araştırma verisi SPSS-</w:t>
      </w:r>
      <w:r w:rsidR="000547B9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0547B9" w:rsidRPr="006A12A9">
        <w:rPr>
          <w:rFonts w:ascii="Times New Roman" w:eastAsia="Times New Roman" w:hAnsi="Times New Roman" w:cs="Times New Roman"/>
          <w:sz w:val="24"/>
          <w:szCs w:val="24"/>
        </w:rPr>
        <w:t>ar</w:t>
      </w:r>
      <w:r w:rsidR="000547B9">
        <w:rPr>
          <w:rFonts w:ascii="Times New Roman" w:eastAsia="Times New Roman" w:hAnsi="Times New Roman" w:cs="Times New Roman"/>
          <w:sz w:val="24"/>
          <w:szCs w:val="24"/>
        </w:rPr>
        <w:t>acılığıyla değerlendirilmiştir</w:t>
      </w:r>
      <w:r w:rsidR="00BA2E30">
        <w:rPr>
          <w:rFonts w:ascii="Times New Roman" w:eastAsia="Times New Roman" w:hAnsi="Times New Roman" w:cs="Times New Roman"/>
          <w:sz w:val="24"/>
          <w:szCs w:val="24"/>
        </w:rPr>
        <w:t xml:space="preserve"> (IBM, 2013)</w:t>
      </w:r>
      <w:r w:rsidR="000547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5FE8" w:rsidRPr="00365FE8">
        <w:rPr>
          <w:rFonts w:ascii="Times New Roman" w:eastAsia="Times New Roman" w:hAnsi="Times New Roman" w:cs="Times New Roman"/>
          <w:sz w:val="24"/>
          <w:szCs w:val="24"/>
        </w:rPr>
        <w:t xml:space="preserve">Tanımlayıcı istatistikler ortalama (±) standart sapma ve yüzde olarak </w:t>
      </w:r>
      <w:r w:rsidR="0028772F">
        <w:rPr>
          <w:rFonts w:ascii="Times New Roman" w:eastAsia="Times New Roman" w:hAnsi="Times New Roman" w:cs="Times New Roman"/>
          <w:sz w:val="24"/>
          <w:szCs w:val="24"/>
        </w:rPr>
        <w:t>verilmiş,</w:t>
      </w:r>
      <w:r w:rsidR="00365FE8" w:rsidRPr="00365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A5C">
        <w:rPr>
          <w:rFonts w:ascii="Times New Roman" w:eastAsia="Times New Roman" w:hAnsi="Times New Roman" w:cs="Times New Roman"/>
          <w:sz w:val="24"/>
          <w:szCs w:val="24"/>
        </w:rPr>
        <w:t>k</w:t>
      </w:r>
      <w:r w:rsidR="0028772F" w:rsidRPr="00365FE8">
        <w:rPr>
          <w:rFonts w:ascii="Times New Roman" w:eastAsia="Times New Roman" w:hAnsi="Times New Roman" w:cs="Times New Roman"/>
          <w:sz w:val="24"/>
          <w:szCs w:val="24"/>
        </w:rPr>
        <w:t xml:space="preserve">ategorik değişkenler </w:t>
      </w:r>
      <w:r w:rsidR="00442A5C">
        <w:rPr>
          <w:rFonts w:ascii="Times New Roman" w:eastAsia="Times New Roman" w:hAnsi="Times New Roman" w:cs="Times New Roman"/>
          <w:sz w:val="24"/>
          <w:szCs w:val="24"/>
        </w:rPr>
        <w:t>arasındaki karşılaştırma</w:t>
      </w:r>
      <w:r w:rsidR="0028772F" w:rsidRPr="00365FE8">
        <w:rPr>
          <w:rFonts w:ascii="Times New Roman" w:eastAsia="Times New Roman" w:hAnsi="Times New Roman" w:cs="Times New Roman"/>
          <w:sz w:val="24"/>
          <w:szCs w:val="24"/>
        </w:rPr>
        <w:t xml:space="preserve"> ki-kare test</w:t>
      </w:r>
      <w:r w:rsidR="00442A5C">
        <w:rPr>
          <w:rFonts w:ascii="Times New Roman" w:eastAsia="Times New Roman" w:hAnsi="Times New Roman" w:cs="Times New Roman"/>
          <w:sz w:val="24"/>
          <w:szCs w:val="24"/>
        </w:rPr>
        <w:t>i</w:t>
      </w:r>
      <w:r w:rsidR="0028772F" w:rsidRPr="00365FE8">
        <w:rPr>
          <w:rFonts w:ascii="Times New Roman" w:eastAsia="Times New Roman" w:hAnsi="Times New Roman" w:cs="Times New Roman"/>
          <w:sz w:val="24"/>
          <w:szCs w:val="24"/>
        </w:rPr>
        <w:t xml:space="preserve"> ile </w:t>
      </w:r>
      <w:r w:rsidR="00442A5C">
        <w:rPr>
          <w:rFonts w:ascii="Times New Roman" w:eastAsia="Times New Roman" w:hAnsi="Times New Roman" w:cs="Times New Roman"/>
          <w:sz w:val="24"/>
          <w:szCs w:val="24"/>
        </w:rPr>
        <w:t>yapılmıştır</w:t>
      </w:r>
      <w:r w:rsidR="0028772F" w:rsidRPr="00365F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2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931">
        <w:rPr>
          <w:rFonts w:ascii="Times New Roman" w:eastAsia="Times New Roman" w:hAnsi="Times New Roman" w:cs="Times New Roman"/>
          <w:sz w:val="24"/>
          <w:szCs w:val="24"/>
        </w:rPr>
        <w:t xml:space="preserve">Araştırmadan elde edilen veriler </w:t>
      </w:r>
      <w:r w:rsidR="00365FE8" w:rsidRPr="00365FE8">
        <w:rPr>
          <w:rFonts w:ascii="Times New Roman" w:eastAsia="Times New Roman" w:hAnsi="Times New Roman" w:cs="Times New Roman"/>
          <w:sz w:val="24"/>
          <w:szCs w:val="24"/>
        </w:rPr>
        <w:t>parametrik test ön şartları</w:t>
      </w:r>
      <w:r w:rsidR="00006931">
        <w:rPr>
          <w:rFonts w:ascii="Times New Roman" w:eastAsia="Times New Roman" w:hAnsi="Times New Roman" w:cs="Times New Roman"/>
          <w:sz w:val="24"/>
          <w:szCs w:val="24"/>
        </w:rPr>
        <w:t>nı sağlamadığı için</w:t>
      </w:r>
      <w:r w:rsidR="00365FE8" w:rsidRPr="00365FE8">
        <w:rPr>
          <w:rFonts w:ascii="Times New Roman" w:eastAsia="Times New Roman" w:hAnsi="Times New Roman" w:cs="Times New Roman"/>
          <w:sz w:val="24"/>
          <w:szCs w:val="24"/>
        </w:rPr>
        <w:t xml:space="preserve"> sürekli değişkenlerin veri analizinde </w:t>
      </w:r>
      <w:proofErr w:type="spellStart"/>
      <w:r w:rsidR="00006931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="00006931">
        <w:rPr>
          <w:rFonts w:ascii="Times New Roman" w:eastAsia="Times New Roman" w:hAnsi="Times New Roman" w:cs="Times New Roman"/>
          <w:sz w:val="24"/>
          <w:szCs w:val="24"/>
        </w:rPr>
        <w:t xml:space="preserve">-parametrik </w:t>
      </w:r>
      <w:r w:rsidR="00365FE8" w:rsidRPr="00365FE8">
        <w:rPr>
          <w:rFonts w:ascii="Times New Roman" w:eastAsia="Times New Roman" w:hAnsi="Times New Roman" w:cs="Times New Roman"/>
          <w:sz w:val="24"/>
          <w:szCs w:val="24"/>
        </w:rPr>
        <w:t xml:space="preserve">Mann </w:t>
      </w:r>
      <w:proofErr w:type="spellStart"/>
      <w:r w:rsidR="00365FE8" w:rsidRPr="00365FE8">
        <w:rPr>
          <w:rFonts w:ascii="Times New Roman" w:eastAsia="Times New Roman" w:hAnsi="Times New Roman" w:cs="Times New Roman"/>
          <w:sz w:val="24"/>
          <w:szCs w:val="24"/>
        </w:rPr>
        <w:t>Whitney</w:t>
      </w:r>
      <w:proofErr w:type="spellEnd"/>
      <w:r w:rsidR="00365FE8" w:rsidRPr="00365FE8">
        <w:rPr>
          <w:rFonts w:ascii="Times New Roman" w:eastAsia="Times New Roman" w:hAnsi="Times New Roman" w:cs="Times New Roman"/>
          <w:sz w:val="24"/>
          <w:szCs w:val="24"/>
        </w:rPr>
        <w:t>-U</w:t>
      </w:r>
      <w:r w:rsidR="00924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FE8" w:rsidRPr="00365FE8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proofErr w:type="spellStart"/>
      <w:r w:rsidR="00365FE8" w:rsidRPr="00365FE8">
        <w:rPr>
          <w:rFonts w:ascii="Times New Roman" w:eastAsia="Times New Roman" w:hAnsi="Times New Roman" w:cs="Times New Roman"/>
          <w:sz w:val="24"/>
          <w:szCs w:val="24"/>
        </w:rPr>
        <w:t>Wilcoxon</w:t>
      </w:r>
      <w:proofErr w:type="spellEnd"/>
      <w:r w:rsidR="00365FE8" w:rsidRPr="00365FE8">
        <w:rPr>
          <w:rFonts w:ascii="Times New Roman" w:eastAsia="Times New Roman" w:hAnsi="Times New Roman" w:cs="Times New Roman"/>
          <w:sz w:val="24"/>
          <w:szCs w:val="24"/>
        </w:rPr>
        <w:t xml:space="preserve"> test</w:t>
      </w:r>
      <w:r w:rsidR="00006931">
        <w:rPr>
          <w:rFonts w:ascii="Times New Roman" w:eastAsia="Times New Roman" w:hAnsi="Times New Roman" w:cs="Times New Roman"/>
          <w:sz w:val="24"/>
          <w:szCs w:val="24"/>
        </w:rPr>
        <w:t>ler</w:t>
      </w:r>
      <w:r w:rsidR="00365FE8" w:rsidRPr="00365FE8">
        <w:rPr>
          <w:rFonts w:ascii="Times New Roman" w:eastAsia="Times New Roman" w:hAnsi="Times New Roman" w:cs="Times New Roman"/>
          <w:sz w:val="24"/>
          <w:szCs w:val="24"/>
        </w:rPr>
        <w:t xml:space="preserve">i kullanılmıştır. </w:t>
      </w:r>
      <w:r w:rsidR="000547B9" w:rsidRPr="00DF04E9">
        <w:rPr>
          <w:rFonts w:ascii="Times New Roman" w:eastAsia="Times New Roman" w:hAnsi="Times New Roman" w:cs="Times New Roman"/>
          <w:sz w:val="24"/>
          <w:szCs w:val="24"/>
        </w:rPr>
        <w:t>İstatistiksel anlamlılık düzeyi</w:t>
      </w:r>
      <w:r w:rsidR="000547B9">
        <w:rPr>
          <w:rFonts w:ascii="Times New Roman" w:eastAsia="Times New Roman" w:hAnsi="Times New Roman" w:cs="Times New Roman"/>
          <w:sz w:val="24"/>
          <w:szCs w:val="24"/>
        </w:rPr>
        <w:t xml:space="preserve"> p≤0.05 olarak kabul edilmiştir.</w:t>
      </w:r>
      <w:r w:rsidR="00E2747C" w:rsidRPr="00E27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C8" w:rsidRDefault="006515C8" w:rsidP="0096128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15C8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7" w:name="_Toc472672096"/>
    </w:p>
    <w:p w:rsidR="006A12A9" w:rsidRDefault="006A12A9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2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BULGULAR</w:t>
      </w:r>
      <w:bookmarkEnd w:id="27"/>
    </w:p>
    <w:p w:rsidR="00476459" w:rsidRDefault="00476459" w:rsidP="00961280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  <w:sectPr w:rsidR="00476459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8" w:name="_Toc472672135"/>
    </w:p>
    <w:p w:rsidR="00F1498C" w:rsidRPr="00214455" w:rsidRDefault="001C736B" w:rsidP="00554D8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F1498C" w:rsidRPr="00214455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 çalışmada grup </w:t>
      </w:r>
      <w:proofErr w:type="spellStart"/>
      <w:r w:rsidR="00830259" w:rsidRPr="00830259">
        <w:rPr>
          <w:rFonts w:ascii="Times New Roman" w:hAnsi="Times New Roman" w:cs="Times New Roman"/>
          <w:sz w:val="24"/>
          <w:szCs w:val="24"/>
        </w:rPr>
        <w:t>psikoeğitim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0259" w:rsidRPr="00830259">
        <w:rPr>
          <w:rFonts w:ascii="Times New Roman" w:hAnsi="Times New Roman" w:cs="Times New Roman"/>
          <w:sz w:val="24"/>
          <w:szCs w:val="24"/>
        </w:rPr>
        <w:t xml:space="preserve"> alan </w:t>
      </w:r>
      <w:r>
        <w:rPr>
          <w:rFonts w:ascii="Times New Roman" w:hAnsi="Times New Roman" w:cs="Times New Roman"/>
          <w:sz w:val="24"/>
          <w:szCs w:val="24"/>
        </w:rPr>
        <w:t>grup ile kontrol grubu arasında</w:t>
      </w:r>
      <w:r w:rsidR="00830259" w:rsidRPr="00830259">
        <w:rPr>
          <w:rFonts w:ascii="Times New Roman" w:hAnsi="Times New Roman" w:cs="Times New Roman"/>
          <w:sz w:val="24"/>
          <w:szCs w:val="24"/>
        </w:rPr>
        <w:t xml:space="preserve"> </w:t>
      </w:r>
      <w:r w:rsidR="001F230D">
        <w:rPr>
          <w:rFonts w:ascii="Times New Roman" w:hAnsi="Times New Roman" w:cs="Times New Roman"/>
          <w:sz w:val="24"/>
          <w:szCs w:val="24"/>
        </w:rPr>
        <w:t>yaş, cinsiyet, eğitim düzeyi ve medeni durum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259" w:rsidRPr="00830259">
        <w:rPr>
          <w:rFonts w:ascii="Times New Roman" w:hAnsi="Times New Roman" w:cs="Times New Roman"/>
          <w:sz w:val="24"/>
          <w:szCs w:val="24"/>
        </w:rPr>
        <w:t>açısından anlamlı farklılık saptanmamıştır</w:t>
      </w:r>
      <w:r w:rsidR="009D3FBA">
        <w:rPr>
          <w:rFonts w:ascii="Times New Roman" w:hAnsi="Times New Roman" w:cs="Times New Roman"/>
          <w:sz w:val="24"/>
          <w:szCs w:val="24"/>
        </w:rPr>
        <w:t xml:space="preserve"> (</w:t>
      </w:r>
      <w:r w:rsidR="00272256">
        <w:rPr>
          <w:rFonts w:ascii="Times New Roman" w:eastAsia="Times New Roman" w:hAnsi="Times New Roman" w:cs="Times New Roman"/>
          <w:bCs/>
          <w:sz w:val="24"/>
          <w:szCs w:val="24"/>
        </w:rPr>
        <w:t>p&gt;0.</w:t>
      </w:r>
      <w:r w:rsidR="009D3FBA">
        <w:rPr>
          <w:rFonts w:ascii="Times New Roman" w:eastAsia="Times New Roman" w:hAnsi="Times New Roman" w:cs="Times New Roman"/>
          <w:bCs/>
          <w:sz w:val="24"/>
          <w:szCs w:val="24"/>
        </w:rPr>
        <w:t>05)</w:t>
      </w:r>
      <w:r w:rsidR="00830259" w:rsidRPr="00830259">
        <w:rPr>
          <w:rFonts w:ascii="Times New Roman" w:hAnsi="Times New Roman" w:cs="Times New Roman"/>
          <w:sz w:val="24"/>
          <w:szCs w:val="24"/>
        </w:rPr>
        <w:t>.</w:t>
      </w:r>
      <w:bookmarkEnd w:id="28"/>
      <w:r w:rsidR="0070353C">
        <w:rPr>
          <w:rFonts w:ascii="Times New Roman" w:hAnsi="Times New Roman" w:cs="Times New Roman"/>
          <w:sz w:val="24"/>
          <w:szCs w:val="24"/>
        </w:rPr>
        <w:t xml:space="preserve"> Ayrıca, </w:t>
      </w:r>
      <w:r w:rsidR="005149B6">
        <w:rPr>
          <w:rFonts w:ascii="Times New Roman" w:hAnsi="Times New Roman" w:cs="Times New Roman"/>
          <w:sz w:val="24"/>
          <w:szCs w:val="24"/>
        </w:rPr>
        <w:t xml:space="preserve">ilk değerlendirmede </w:t>
      </w:r>
      <w:r w:rsidR="00765429">
        <w:rPr>
          <w:rFonts w:ascii="Times New Roman" w:hAnsi="Times New Roman" w:cs="Times New Roman"/>
          <w:sz w:val="24"/>
          <w:szCs w:val="24"/>
        </w:rPr>
        <w:t>her i</w:t>
      </w:r>
      <w:r w:rsidR="00512C5C">
        <w:rPr>
          <w:rFonts w:ascii="Times New Roman" w:hAnsi="Times New Roman" w:cs="Times New Roman"/>
          <w:sz w:val="24"/>
          <w:szCs w:val="24"/>
        </w:rPr>
        <w:t xml:space="preserve">ki grubun </w:t>
      </w:r>
      <w:r w:rsidR="00765429" w:rsidRPr="007D5D66">
        <w:rPr>
          <w:rFonts w:ascii="Times New Roman" w:hAnsi="Times New Roman" w:cs="Times New Roman"/>
          <w:sz w:val="24"/>
          <w:szCs w:val="24"/>
        </w:rPr>
        <w:t>HAM-D</w:t>
      </w:r>
      <w:r w:rsidR="00765429">
        <w:rPr>
          <w:rFonts w:ascii="Times New Roman" w:hAnsi="Times New Roman" w:cs="Times New Roman"/>
          <w:sz w:val="24"/>
          <w:szCs w:val="24"/>
        </w:rPr>
        <w:t>,</w:t>
      </w:r>
      <w:r w:rsidR="00765429" w:rsidRPr="007D5D66">
        <w:rPr>
          <w:rFonts w:ascii="Times New Roman" w:hAnsi="Times New Roman" w:cs="Times New Roman"/>
          <w:sz w:val="24"/>
          <w:szCs w:val="24"/>
        </w:rPr>
        <w:t xml:space="preserve"> </w:t>
      </w:r>
      <w:r w:rsidR="00765429">
        <w:rPr>
          <w:rFonts w:ascii="Times New Roman" w:hAnsi="Times New Roman" w:cs="Times New Roman"/>
          <w:sz w:val="24"/>
          <w:szCs w:val="24"/>
        </w:rPr>
        <w:t xml:space="preserve">YMRS, </w:t>
      </w:r>
      <w:r w:rsidR="00AA2983" w:rsidRPr="007D5D66">
        <w:rPr>
          <w:rFonts w:ascii="Times New Roman" w:hAnsi="Times New Roman" w:cs="Times New Roman"/>
          <w:sz w:val="24"/>
          <w:szCs w:val="24"/>
        </w:rPr>
        <w:t>BBİ</w:t>
      </w:r>
      <w:r w:rsidR="00AA2983">
        <w:rPr>
          <w:rFonts w:ascii="Times New Roman" w:hAnsi="Times New Roman" w:cs="Times New Roman"/>
          <w:sz w:val="24"/>
          <w:szCs w:val="24"/>
        </w:rPr>
        <w:t>,</w:t>
      </w:r>
      <w:r w:rsidR="00AA2983" w:rsidRPr="007D5D66">
        <w:rPr>
          <w:rFonts w:ascii="Times New Roman" w:hAnsi="Times New Roman" w:cs="Times New Roman"/>
          <w:sz w:val="24"/>
          <w:szCs w:val="24"/>
        </w:rPr>
        <w:t xml:space="preserve"> </w:t>
      </w:r>
      <w:r w:rsidR="00765429">
        <w:rPr>
          <w:rFonts w:ascii="Times New Roman" w:hAnsi="Times New Roman" w:cs="Times New Roman"/>
          <w:sz w:val="24"/>
          <w:szCs w:val="24"/>
        </w:rPr>
        <w:t>KGİ, İGD ve</w:t>
      </w:r>
      <w:r w:rsidR="00AA2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983">
        <w:rPr>
          <w:rFonts w:ascii="Times New Roman" w:hAnsi="Times New Roman" w:cs="Times New Roman"/>
          <w:sz w:val="24"/>
          <w:szCs w:val="24"/>
        </w:rPr>
        <w:t>Morisky</w:t>
      </w:r>
      <w:proofErr w:type="spellEnd"/>
      <w:r w:rsidR="00AA2983">
        <w:rPr>
          <w:rFonts w:ascii="Times New Roman" w:hAnsi="Times New Roman" w:cs="Times New Roman"/>
          <w:sz w:val="24"/>
          <w:szCs w:val="24"/>
        </w:rPr>
        <w:t xml:space="preserve"> tedaviye uyum ölçek </w:t>
      </w:r>
      <w:r w:rsidR="00512C5C">
        <w:rPr>
          <w:rFonts w:ascii="Times New Roman" w:hAnsi="Times New Roman" w:cs="Times New Roman"/>
          <w:sz w:val="24"/>
          <w:szCs w:val="24"/>
        </w:rPr>
        <w:t xml:space="preserve">puanları arasında da </w:t>
      </w:r>
      <w:r w:rsidR="007D5D66" w:rsidRPr="007D5D66">
        <w:rPr>
          <w:rFonts w:ascii="Times New Roman" w:hAnsi="Times New Roman" w:cs="Times New Roman"/>
          <w:sz w:val="24"/>
          <w:szCs w:val="24"/>
        </w:rPr>
        <w:t xml:space="preserve">istatistiksel olarak anlamlı </w:t>
      </w:r>
      <w:r w:rsidR="00512C5C">
        <w:rPr>
          <w:rFonts w:ascii="Times New Roman" w:hAnsi="Times New Roman" w:cs="Times New Roman"/>
          <w:sz w:val="24"/>
          <w:szCs w:val="24"/>
        </w:rPr>
        <w:t>bir fark</w:t>
      </w:r>
      <w:r w:rsidR="007D5D66" w:rsidRPr="007D5D66">
        <w:rPr>
          <w:rFonts w:ascii="Times New Roman" w:hAnsi="Times New Roman" w:cs="Times New Roman"/>
          <w:sz w:val="24"/>
          <w:szCs w:val="24"/>
        </w:rPr>
        <w:t xml:space="preserve"> </w:t>
      </w:r>
      <w:r w:rsidR="00512C5C">
        <w:rPr>
          <w:rFonts w:ascii="Times New Roman" w:hAnsi="Times New Roman" w:cs="Times New Roman"/>
          <w:sz w:val="24"/>
          <w:szCs w:val="24"/>
        </w:rPr>
        <w:t>görülmemiştir</w:t>
      </w:r>
      <w:r w:rsidR="007518E2">
        <w:rPr>
          <w:rFonts w:ascii="Times New Roman" w:hAnsi="Times New Roman" w:cs="Times New Roman"/>
          <w:sz w:val="24"/>
          <w:szCs w:val="24"/>
        </w:rPr>
        <w:t xml:space="preserve"> </w:t>
      </w:r>
      <w:r w:rsidR="00512C5C">
        <w:rPr>
          <w:rFonts w:ascii="Times New Roman" w:hAnsi="Times New Roman" w:cs="Times New Roman"/>
          <w:sz w:val="24"/>
          <w:szCs w:val="24"/>
        </w:rPr>
        <w:t>(</w:t>
      </w:r>
      <w:r w:rsidR="00512C5C">
        <w:rPr>
          <w:rFonts w:ascii="Times New Roman" w:eastAsia="Times New Roman" w:hAnsi="Times New Roman" w:cs="Times New Roman"/>
          <w:bCs/>
          <w:sz w:val="24"/>
          <w:szCs w:val="24"/>
        </w:rPr>
        <w:t>p&gt;0.05)</w:t>
      </w:r>
      <w:r w:rsidR="00512C5C" w:rsidRPr="00830259">
        <w:rPr>
          <w:rFonts w:ascii="Times New Roman" w:hAnsi="Times New Roman" w:cs="Times New Roman"/>
          <w:sz w:val="24"/>
          <w:szCs w:val="24"/>
        </w:rPr>
        <w:t>.</w:t>
      </w:r>
      <w:r w:rsidR="00751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94D">
        <w:rPr>
          <w:rFonts w:ascii="Times New Roman" w:hAnsi="Times New Roman" w:cs="Times New Roman"/>
          <w:sz w:val="24"/>
          <w:szCs w:val="24"/>
        </w:rPr>
        <w:lastRenderedPageBreak/>
        <w:t>İçgörü</w:t>
      </w:r>
      <w:proofErr w:type="spellEnd"/>
      <w:r w:rsidR="00BC694D">
        <w:rPr>
          <w:rFonts w:ascii="Times New Roman" w:hAnsi="Times New Roman" w:cs="Times New Roman"/>
          <w:sz w:val="24"/>
          <w:szCs w:val="24"/>
        </w:rPr>
        <w:t xml:space="preserve"> düzeyi</w:t>
      </w:r>
      <w:r w:rsidR="004013C2">
        <w:rPr>
          <w:rFonts w:ascii="Times New Roman" w:eastAsia="Times New Roman" w:hAnsi="Times New Roman" w:cs="Times New Roman"/>
          <w:bCs/>
          <w:sz w:val="24"/>
          <w:szCs w:val="24"/>
        </w:rPr>
        <w:t xml:space="preserve"> ise </w:t>
      </w:r>
      <w:proofErr w:type="spellStart"/>
      <w:r w:rsidR="004013C2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="004013C2">
        <w:rPr>
          <w:rFonts w:ascii="Times New Roman" w:eastAsia="Times New Roman" w:hAnsi="Times New Roman" w:cs="Times New Roman"/>
          <w:bCs/>
          <w:sz w:val="24"/>
          <w:szCs w:val="24"/>
        </w:rPr>
        <w:t xml:space="preserve"> grubunda </w:t>
      </w:r>
      <w:r w:rsidR="004013C2" w:rsidRPr="000D7A6A">
        <w:rPr>
          <w:rFonts w:ascii="Times New Roman" w:eastAsia="Times New Roman" w:hAnsi="Times New Roman" w:cs="Times New Roman"/>
          <w:bCs/>
          <w:sz w:val="24"/>
          <w:szCs w:val="24"/>
        </w:rPr>
        <w:t>daha düşük saptanmıştır</w:t>
      </w:r>
      <w:r w:rsidR="006B70BC">
        <w:rPr>
          <w:rFonts w:ascii="Times New Roman" w:eastAsia="Times New Roman" w:hAnsi="Times New Roman" w:cs="Times New Roman"/>
          <w:bCs/>
          <w:sz w:val="24"/>
          <w:szCs w:val="24"/>
        </w:rPr>
        <w:t xml:space="preserve"> (z=3.179, p=0.</w:t>
      </w:r>
      <w:r w:rsidR="00BC694D">
        <w:rPr>
          <w:rFonts w:ascii="Times New Roman" w:eastAsia="Times New Roman" w:hAnsi="Times New Roman" w:cs="Times New Roman"/>
          <w:bCs/>
          <w:sz w:val="24"/>
          <w:szCs w:val="24"/>
        </w:rPr>
        <w:t>001)</w:t>
      </w:r>
      <w:r w:rsidR="004013C2" w:rsidRPr="000D7A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C69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18E2">
        <w:rPr>
          <w:rFonts w:ascii="Times New Roman" w:hAnsi="Times New Roman" w:cs="Times New Roman"/>
          <w:sz w:val="24"/>
          <w:szCs w:val="24"/>
        </w:rPr>
        <w:t xml:space="preserve">Grupların </w:t>
      </w:r>
      <w:proofErr w:type="spellStart"/>
      <w:r w:rsidR="007518E2">
        <w:rPr>
          <w:rFonts w:ascii="Times New Roman" w:hAnsi="Times New Roman" w:cs="Times New Roman"/>
          <w:sz w:val="24"/>
          <w:szCs w:val="24"/>
        </w:rPr>
        <w:t>sosyodemografik</w:t>
      </w:r>
      <w:proofErr w:type="spellEnd"/>
      <w:r w:rsidR="007518E2">
        <w:rPr>
          <w:rFonts w:ascii="Times New Roman" w:hAnsi="Times New Roman" w:cs="Times New Roman"/>
          <w:sz w:val="24"/>
          <w:szCs w:val="24"/>
        </w:rPr>
        <w:t xml:space="preserve"> </w:t>
      </w:r>
      <w:r w:rsidR="00FF7BAB">
        <w:rPr>
          <w:rFonts w:ascii="Times New Roman" w:hAnsi="Times New Roman" w:cs="Times New Roman"/>
          <w:sz w:val="24"/>
          <w:szCs w:val="24"/>
        </w:rPr>
        <w:t xml:space="preserve">ve </w:t>
      </w:r>
      <w:r w:rsidR="001F230D">
        <w:rPr>
          <w:rFonts w:ascii="Times New Roman" w:hAnsi="Times New Roman" w:cs="Times New Roman"/>
          <w:sz w:val="24"/>
          <w:szCs w:val="24"/>
        </w:rPr>
        <w:t xml:space="preserve">klinik </w:t>
      </w:r>
      <w:r w:rsidR="00FF7BAB">
        <w:rPr>
          <w:rFonts w:ascii="Times New Roman" w:hAnsi="Times New Roman" w:cs="Times New Roman"/>
          <w:sz w:val="24"/>
          <w:szCs w:val="24"/>
        </w:rPr>
        <w:t xml:space="preserve">özelliklerine ait veriler </w:t>
      </w:r>
      <w:r w:rsidR="00F14C78">
        <w:rPr>
          <w:rFonts w:ascii="Times New Roman" w:hAnsi="Times New Roman" w:cs="Times New Roman"/>
          <w:sz w:val="24"/>
          <w:szCs w:val="24"/>
        </w:rPr>
        <w:t>Tablo-1’dedir.</w:t>
      </w:r>
    </w:p>
    <w:p w:rsidR="000E5352" w:rsidRDefault="00D227D4" w:rsidP="00F14C78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9" w:name="_Toc472672148"/>
      <w:proofErr w:type="spellStart"/>
      <w:r w:rsidRPr="00D227D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Psikoeğitim</w:t>
      </w:r>
      <w:proofErr w:type="spellEnd"/>
      <w:r w:rsidRPr="00D227D4">
        <w:rPr>
          <w:rFonts w:ascii="Times New Roman" w:eastAsia="Times New Roman" w:hAnsi="Times New Roman" w:cs="Times New Roman"/>
          <w:bCs/>
          <w:sz w:val="24"/>
          <w:szCs w:val="24"/>
        </w:rPr>
        <w:t xml:space="preserve"> grubunda </w:t>
      </w:r>
      <w:proofErr w:type="spellStart"/>
      <w:r w:rsidRPr="00D227D4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Pr="00D227D4">
        <w:rPr>
          <w:rFonts w:ascii="Times New Roman" w:eastAsia="Times New Roman" w:hAnsi="Times New Roman" w:cs="Times New Roman"/>
          <w:bCs/>
          <w:sz w:val="24"/>
          <w:szCs w:val="24"/>
        </w:rPr>
        <w:t xml:space="preserve"> öncesi ve sonrasında HAM-D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227D4">
        <w:rPr>
          <w:rFonts w:ascii="Times New Roman" w:eastAsia="Times New Roman" w:hAnsi="Times New Roman" w:cs="Times New Roman"/>
          <w:bCs/>
          <w:sz w:val="24"/>
          <w:szCs w:val="24"/>
        </w:rPr>
        <w:t>YMRS</w:t>
      </w:r>
      <w:r w:rsidR="002873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r w:rsidRPr="00D227D4">
        <w:rPr>
          <w:rFonts w:ascii="Times New Roman" w:eastAsia="Times New Roman" w:hAnsi="Times New Roman" w:cs="Times New Roman"/>
          <w:bCs/>
          <w:sz w:val="24"/>
          <w:szCs w:val="24"/>
        </w:rPr>
        <w:t xml:space="preserve"> ilaç yan etkisi alt </w:t>
      </w:r>
      <w:r w:rsidR="00E26768">
        <w:rPr>
          <w:rFonts w:ascii="Times New Roman" w:eastAsia="Times New Roman" w:hAnsi="Times New Roman" w:cs="Times New Roman"/>
          <w:bCs/>
          <w:sz w:val="24"/>
          <w:szCs w:val="24"/>
        </w:rPr>
        <w:t>ölçekler</w:t>
      </w:r>
      <w:r w:rsidR="00A502F0">
        <w:rPr>
          <w:rFonts w:ascii="Times New Roman" w:eastAsia="Times New Roman" w:hAnsi="Times New Roman" w:cs="Times New Roman"/>
          <w:bCs/>
          <w:sz w:val="24"/>
          <w:szCs w:val="24"/>
        </w:rPr>
        <w:t>i, BBİ ö</w:t>
      </w:r>
      <w:r w:rsidR="00A502F0" w:rsidRPr="00A502F0">
        <w:rPr>
          <w:rFonts w:ascii="Times New Roman" w:eastAsia="Times New Roman" w:hAnsi="Times New Roman" w:cs="Times New Roman"/>
          <w:bCs/>
          <w:sz w:val="24"/>
          <w:szCs w:val="24"/>
        </w:rPr>
        <w:t>lçeğinin duygusal işlevsellik</w:t>
      </w:r>
      <w:r w:rsidR="00A502F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502F0" w:rsidRPr="00A502F0">
        <w:rPr>
          <w:rFonts w:ascii="Times New Roman" w:eastAsia="Times New Roman" w:hAnsi="Times New Roman" w:cs="Times New Roman"/>
          <w:bCs/>
          <w:sz w:val="24"/>
          <w:szCs w:val="24"/>
        </w:rPr>
        <w:t>zihinsel işlevsellik</w:t>
      </w:r>
      <w:r w:rsidR="00A502F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502F0" w:rsidRPr="00A502F0">
        <w:rPr>
          <w:rFonts w:ascii="Times New Roman" w:eastAsia="Times New Roman" w:hAnsi="Times New Roman" w:cs="Times New Roman"/>
          <w:bCs/>
          <w:sz w:val="24"/>
          <w:szCs w:val="24"/>
        </w:rPr>
        <w:t>cinsel işlevsellik</w:t>
      </w:r>
      <w:r w:rsidR="00A502F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578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502F0" w:rsidRPr="00A502F0">
        <w:rPr>
          <w:rFonts w:ascii="Times New Roman" w:eastAsia="Times New Roman" w:hAnsi="Times New Roman" w:cs="Times New Roman"/>
          <w:bCs/>
          <w:sz w:val="24"/>
          <w:szCs w:val="24"/>
        </w:rPr>
        <w:t>ev içi ilişkiler</w:t>
      </w:r>
      <w:r w:rsidR="00A502F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502F0" w:rsidRPr="00A502F0">
        <w:rPr>
          <w:rFonts w:ascii="Times New Roman" w:eastAsia="Times New Roman" w:hAnsi="Times New Roman" w:cs="Times New Roman"/>
          <w:bCs/>
          <w:sz w:val="24"/>
          <w:szCs w:val="24"/>
        </w:rPr>
        <w:t>arkadaş ilişkileri</w:t>
      </w:r>
      <w:r w:rsidR="00A502F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502F0" w:rsidRPr="00A502F0">
        <w:rPr>
          <w:rFonts w:ascii="Times New Roman" w:eastAsia="Times New Roman" w:hAnsi="Times New Roman" w:cs="Times New Roman"/>
          <w:bCs/>
          <w:sz w:val="24"/>
          <w:szCs w:val="24"/>
        </w:rPr>
        <w:t xml:space="preserve">toplumsal işlevsellik </w:t>
      </w:r>
      <w:r w:rsidR="00A502F0">
        <w:rPr>
          <w:rFonts w:ascii="Times New Roman" w:eastAsia="Times New Roman" w:hAnsi="Times New Roman" w:cs="Times New Roman"/>
          <w:bCs/>
          <w:sz w:val="24"/>
          <w:szCs w:val="24"/>
        </w:rPr>
        <w:t>alt ölçek</w:t>
      </w:r>
      <w:r w:rsidRPr="00D227D4">
        <w:rPr>
          <w:rFonts w:ascii="Times New Roman" w:eastAsia="Times New Roman" w:hAnsi="Times New Roman" w:cs="Times New Roman"/>
          <w:bCs/>
          <w:sz w:val="24"/>
          <w:szCs w:val="24"/>
        </w:rPr>
        <w:t xml:space="preserve"> puanlarında istatistiksel açıdan anlamlı farklılık saptanmamıştır.</w:t>
      </w:r>
      <w:r w:rsidR="008B44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B447A">
        <w:rPr>
          <w:rFonts w:ascii="Times New Roman" w:eastAsia="Times New Roman" w:hAnsi="Times New Roman" w:cs="Times New Roman"/>
          <w:bCs/>
          <w:sz w:val="24"/>
          <w:szCs w:val="24"/>
        </w:rPr>
        <w:t>Psikoeğitimle</w:t>
      </w:r>
      <w:proofErr w:type="spellEnd"/>
      <w:r w:rsidR="008B447A">
        <w:rPr>
          <w:rFonts w:ascii="Times New Roman" w:eastAsia="Times New Roman" w:hAnsi="Times New Roman" w:cs="Times New Roman"/>
          <w:bCs/>
          <w:sz w:val="24"/>
          <w:szCs w:val="24"/>
        </w:rPr>
        <w:t xml:space="preserve"> beraber </w:t>
      </w:r>
      <w:proofErr w:type="spellStart"/>
      <w:r w:rsidR="00A063D3">
        <w:rPr>
          <w:rFonts w:ascii="Times New Roman" w:eastAsia="Times New Roman" w:hAnsi="Times New Roman" w:cs="Times New Roman"/>
          <w:bCs/>
          <w:sz w:val="24"/>
          <w:szCs w:val="24"/>
        </w:rPr>
        <w:t>Morisky</w:t>
      </w:r>
      <w:proofErr w:type="spellEnd"/>
      <w:r w:rsidR="00A063D3">
        <w:rPr>
          <w:rFonts w:ascii="Times New Roman" w:eastAsia="Times New Roman" w:hAnsi="Times New Roman" w:cs="Times New Roman"/>
          <w:bCs/>
          <w:sz w:val="24"/>
          <w:szCs w:val="24"/>
        </w:rPr>
        <w:t xml:space="preserve"> tedaviye uyum ölçeği</w:t>
      </w:r>
      <w:r w:rsidR="00FB3E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227D4">
        <w:rPr>
          <w:rFonts w:ascii="Times New Roman" w:eastAsia="Times New Roman" w:hAnsi="Times New Roman" w:cs="Times New Roman"/>
          <w:bCs/>
          <w:sz w:val="24"/>
          <w:szCs w:val="24"/>
        </w:rPr>
        <w:t>puanlarında istatistiksel açıdan anlamlı ölçüde artış saptanmıştır</w:t>
      </w:r>
      <w:r w:rsidR="008B44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3E5C">
        <w:rPr>
          <w:rFonts w:ascii="Times New Roman" w:eastAsia="Times New Roman" w:hAnsi="Times New Roman" w:cs="Times New Roman"/>
          <w:bCs/>
          <w:sz w:val="24"/>
          <w:szCs w:val="24"/>
        </w:rPr>
        <w:t>(z= -4.106, p=0.</w:t>
      </w:r>
      <w:r w:rsidR="00FB3E5C" w:rsidRPr="00D227D4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FB3E5C">
        <w:rPr>
          <w:rFonts w:ascii="Times New Roman" w:eastAsia="Times New Roman" w:hAnsi="Times New Roman" w:cs="Times New Roman"/>
          <w:bCs/>
          <w:sz w:val="24"/>
          <w:szCs w:val="24"/>
        </w:rPr>
        <w:t>; z= -3.196, p=0.</w:t>
      </w:r>
      <w:r w:rsidR="00FB3E5C" w:rsidRPr="00D227D4">
        <w:rPr>
          <w:rFonts w:ascii="Times New Roman" w:eastAsia="Times New Roman" w:hAnsi="Times New Roman" w:cs="Times New Roman"/>
          <w:bCs/>
          <w:sz w:val="24"/>
          <w:szCs w:val="24"/>
        </w:rPr>
        <w:t>001</w:t>
      </w:r>
      <w:r w:rsidR="00FB3E5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FB3E5C" w:rsidRPr="00FB3E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3E5C" w:rsidRPr="00D227D4">
        <w:rPr>
          <w:rFonts w:ascii="Times New Roman" w:eastAsia="Times New Roman" w:hAnsi="Times New Roman" w:cs="Times New Roman"/>
          <w:bCs/>
          <w:sz w:val="24"/>
          <w:szCs w:val="24"/>
        </w:rPr>
        <w:t>z=-3.534, p=0,000)</w:t>
      </w:r>
      <w:r w:rsidR="00A063D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502F0" w:rsidRPr="00A502F0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="00A502F0" w:rsidRPr="00A502F0">
        <w:rPr>
          <w:rFonts w:ascii="Times New Roman" w:eastAsia="Times New Roman" w:hAnsi="Times New Roman" w:cs="Times New Roman"/>
          <w:bCs/>
          <w:sz w:val="24"/>
          <w:szCs w:val="24"/>
        </w:rPr>
        <w:t xml:space="preserve"> grubunda </w:t>
      </w:r>
      <w:proofErr w:type="spellStart"/>
      <w:r w:rsidR="00A502F0" w:rsidRPr="00A502F0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="00A502F0" w:rsidRPr="00A502F0">
        <w:rPr>
          <w:rFonts w:ascii="Times New Roman" w:eastAsia="Times New Roman" w:hAnsi="Times New Roman" w:cs="Times New Roman"/>
          <w:bCs/>
          <w:sz w:val="24"/>
          <w:szCs w:val="24"/>
        </w:rPr>
        <w:t xml:space="preserve"> öncesi ve sonrasında BBİ Ölçeğ</w:t>
      </w:r>
      <w:r w:rsidR="006B70BC">
        <w:rPr>
          <w:rFonts w:ascii="Times New Roman" w:eastAsia="Times New Roman" w:hAnsi="Times New Roman" w:cs="Times New Roman"/>
          <w:bCs/>
          <w:sz w:val="24"/>
          <w:szCs w:val="24"/>
        </w:rPr>
        <w:t>inin damgalanma</w:t>
      </w:r>
      <w:r w:rsidR="00A063D3">
        <w:rPr>
          <w:rFonts w:ascii="Times New Roman" w:eastAsia="Times New Roman" w:hAnsi="Times New Roman" w:cs="Times New Roman"/>
          <w:bCs/>
          <w:sz w:val="24"/>
          <w:szCs w:val="24"/>
        </w:rPr>
        <w:t xml:space="preserve">, içe kapanıklık </w:t>
      </w:r>
      <w:r w:rsidR="00A502F0" w:rsidRPr="00A502F0">
        <w:rPr>
          <w:rFonts w:ascii="Times New Roman" w:eastAsia="Times New Roman" w:hAnsi="Times New Roman" w:cs="Times New Roman"/>
          <w:bCs/>
          <w:sz w:val="24"/>
          <w:szCs w:val="24"/>
        </w:rPr>
        <w:t>(z= -2.117, p=0,034)</w:t>
      </w:r>
      <w:r w:rsidR="00A063D3">
        <w:rPr>
          <w:rFonts w:ascii="Times New Roman" w:eastAsia="Times New Roman" w:hAnsi="Times New Roman" w:cs="Times New Roman"/>
          <w:bCs/>
          <w:sz w:val="24"/>
          <w:szCs w:val="24"/>
        </w:rPr>
        <w:t>, günlük işlevsellik</w:t>
      </w:r>
      <w:r w:rsidR="00F26EE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F26EE0">
        <w:rPr>
          <w:rFonts w:ascii="Times New Roman" w:eastAsia="Times New Roman" w:hAnsi="Times New Roman" w:cs="Times New Roman"/>
          <w:bCs/>
          <w:sz w:val="24"/>
          <w:szCs w:val="24"/>
        </w:rPr>
        <w:t>inisiyatif</w:t>
      </w:r>
      <w:proofErr w:type="gramEnd"/>
      <w:r w:rsidR="00F26EE0">
        <w:rPr>
          <w:rFonts w:ascii="Times New Roman" w:eastAsia="Times New Roman" w:hAnsi="Times New Roman" w:cs="Times New Roman"/>
          <w:bCs/>
          <w:sz w:val="24"/>
          <w:szCs w:val="24"/>
        </w:rPr>
        <w:t xml:space="preserve"> alma </w:t>
      </w:r>
      <w:r w:rsidR="00A063D3">
        <w:rPr>
          <w:rFonts w:ascii="Times New Roman" w:eastAsia="Times New Roman" w:hAnsi="Times New Roman" w:cs="Times New Roman"/>
          <w:bCs/>
          <w:sz w:val="24"/>
          <w:szCs w:val="24"/>
        </w:rPr>
        <w:t xml:space="preserve">ve </w:t>
      </w:r>
      <w:r w:rsidR="006B32C9" w:rsidRPr="006B32C9">
        <w:rPr>
          <w:rFonts w:ascii="Times New Roman" w:eastAsia="Times New Roman" w:hAnsi="Times New Roman" w:cs="Times New Roman"/>
          <w:bCs/>
          <w:sz w:val="24"/>
          <w:szCs w:val="24"/>
        </w:rPr>
        <w:t>mesleki işlevsellik</w:t>
      </w:r>
      <w:r w:rsidR="006B70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32C9" w:rsidRPr="006B32C9">
        <w:rPr>
          <w:rFonts w:ascii="Times New Roman" w:eastAsia="Times New Roman" w:hAnsi="Times New Roman" w:cs="Times New Roman"/>
          <w:bCs/>
          <w:sz w:val="24"/>
          <w:szCs w:val="24"/>
        </w:rPr>
        <w:t>alt ölçeği puanlarında istatistiksel açıdan anlamlı ölçüde artış o</w:t>
      </w:r>
      <w:r w:rsidR="004874A7">
        <w:rPr>
          <w:rFonts w:ascii="Times New Roman" w:eastAsia="Times New Roman" w:hAnsi="Times New Roman" w:cs="Times New Roman"/>
          <w:bCs/>
          <w:sz w:val="24"/>
          <w:szCs w:val="24"/>
        </w:rPr>
        <w:t>lduğu saptanmıştır</w:t>
      </w:r>
      <w:r w:rsidR="006B70BC" w:rsidRPr="006B70BC">
        <w:rPr>
          <w:rFonts w:ascii="Times New Roman" w:hAnsi="Times New Roman" w:cs="Times New Roman"/>
          <w:sz w:val="24"/>
          <w:szCs w:val="24"/>
        </w:rPr>
        <w:t xml:space="preserve"> </w:t>
      </w:r>
      <w:r w:rsidR="004874A7">
        <w:rPr>
          <w:rFonts w:ascii="Times New Roman" w:eastAsia="Times New Roman" w:hAnsi="Times New Roman" w:cs="Times New Roman"/>
          <w:bCs/>
          <w:sz w:val="24"/>
          <w:szCs w:val="24"/>
        </w:rPr>
        <w:t>(z= -2.596, p=0.</w:t>
      </w:r>
      <w:r w:rsidR="004874A7" w:rsidRPr="00A502F0">
        <w:rPr>
          <w:rFonts w:ascii="Times New Roman" w:eastAsia="Times New Roman" w:hAnsi="Times New Roman" w:cs="Times New Roman"/>
          <w:bCs/>
          <w:sz w:val="24"/>
          <w:szCs w:val="24"/>
        </w:rPr>
        <w:t>009</w:t>
      </w:r>
      <w:r w:rsidR="004874A7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4874A7" w:rsidRPr="00A502F0">
        <w:rPr>
          <w:rFonts w:ascii="Times New Roman" w:eastAsia="Times New Roman" w:hAnsi="Times New Roman" w:cs="Times New Roman"/>
          <w:bCs/>
          <w:sz w:val="24"/>
          <w:szCs w:val="24"/>
        </w:rPr>
        <w:t>z= -2.724, p=0,006</w:t>
      </w:r>
      <w:r w:rsidR="004874A7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4874A7" w:rsidRPr="006B32C9">
        <w:rPr>
          <w:rFonts w:ascii="Times New Roman" w:eastAsia="Times New Roman" w:hAnsi="Times New Roman" w:cs="Times New Roman"/>
          <w:bCs/>
          <w:sz w:val="24"/>
          <w:szCs w:val="24"/>
        </w:rPr>
        <w:t>z= -2.816, p=0,005</w:t>
      </w:r>
      <w:r w:rsidR="004874A7">
        <w:rPr>
          <w:rFonts w:ascii="Times New Roman" w:eastAsia="Times New Roman" w:hAnsi="Times New Roman" w:cs="Times New Roman"/>
          <w:bCs/>
          <w:sz w:val="24"/>
          <w:szCs w:val="24"/>
        </w:rPr>
        <w:t>; z= -4.394, p=0.000).</w:t>
      </w:r>
    </w:p>
    <w:p w:rsidR="000E5352" w:rsidRDefault="006B70BC" w:rsidP="00961280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3634">
        <w:rPr>
          <w:rFonts w:ascii="Times New Roman" w:hAnsi="Times New Roman" w:cs="Times New Roman"/>
          <w:sz w:val="24"/>
          <w:szCs w:val="24"/>
        </w:rPr>
        <w:t xml:space="preserve">Kontrol grubunda başlangıçta ve </w:t>
      </w:r>
      <w:r>
        <w:rPr>
          <w:rFonts w:ascii="Times New Roman" w:hAnsi="Times New Roman" w:cs="Times New Roman"/>
          <w:sz w:val="24"/>
          <w:szCs w:val="24"/>
        </w:rPr>
        <w:t xml:space="preserve">16. haftada </w:t>
      </w:r>
      <w:r w:rsidRPr="006F3634">
        <w:rPr>
          <w:rFonts w:ascii="Times New Roman" w:hAnsi="Times New Roman" w:cs="Times New Roman"/>
          <w:sz w:val="24"/>
          <w:szCs w:val="24"/>
        </w:rPr>
        <w:t>uygulanan</w:t>
      </w:r>
      <w:r w:rsidR="002873B2">
        <w:rPr>
          <w:rFonts w:ascii="Times New Roman" w:hAnsi="Times New Roman" w:cs="Times New Roman"/>
          <w:sz w:val="24"/>
          <w:szCs w:val="24"/>
        </w:rPr>
        <w:t xml:space="preserve"> </w:t>
      </w:r>
      <w:r w:rsidRPr="006F3634">
        <w:rPr>
          <w:rFonts w:ascii="Times New Roman" w:hAnsi="Times New Roman" w:cs="Times New Roman"/>
          <w:sz w:val="24"/>
          <w:szCs w:val="24"/>
        </w:rPr>
        <w:t xml:space="preserve">ilaç yan etkisi alt ölçekleri puanlarında, İGD ölçeği, </w:t>
      </w:r>
      <w:proofErr w:type="spellStart"/>
      <w:r w:rsidRPr="006F3634">
        <w:rPr>
          <w:rFonts w:ascii="Times New Roman" w:hAnsi="Times New Roman" w:cs="Times New Roman"/>
          <w:sz w:val="24"/>
          <w:szCs w:val="24"/>
        </w:rPr>
        <w:t>Morisky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634">
        <w:rPr>
          <w:rFonts w:ascii="Times New Roman" w:hAnsi="Times New Roman" w:cs="Times New Roman"/>
          <w:sz w:val="24"/>
          <w:szCs w:val="24"/>
        </w:rPr>
        <w:t>tedaviye uyum ölçeği, BBİ ölçeğinin duygusal işlevsellik, zihinsel işlevsellik, cinsel işlevsellik, damgalanma, içe kapanıklık, ev içi ilişkiler alt ölçek puanlarında istatistiksel açıdan anlamlı farklılık saptanmamıştır.</w:t>
      </w:r>
      <w:r w:rsidR="00500125" w:rsidRPr="00500125">
        <w:rPr>
          <w:rFonts w:ascii="Times New Roman" w:hAnsi="Times New Roman" w:cs="Times New Roman"/>
          <w:sz w:val="24"/>
          <w:szCs w:val="24"/>
        </w:rPr>
        <w:t xml:space="preserve"> </w:t>
      </w:r>
      <w:r w:rsidR="00500125" w:rsidRPr="006F3634">
        <w:rPr>
          <w:rFonts w:ascii="Times New Roman" w:hAnsi="Times New Roman" w:cs="Times New Roman"/>
          <w:sz w:val="24"/>
          <w:szCs w:val="24"/>
        </w:rPr>
        <w:t xml:space="preserve">Kontrol grubunda </w:t>
      </w:r>
      <w:r w:rsidR="00500125">
        <w:rPr>
          <w:rFonts w:ascii="Times New Roman" w:hAnsi="Times New Roman" w:cs="Times New Roman"/>
          <w:sz w:val="24"/>
          <w:szCs w:val="24"/>
        </w:rPr>
        <w:t>ikinci değerlendirmede HAM-D ve</w:t>
      </w:r>
      <w:r w:rsidR="00500125" w:rsidRPr="006F3634">
        <w:rPr>
          <w:rFonts w:ascii="Times New Roman" w:hAnsi="Times New Roman" w:cs="Times New Roman"/>
          <w:sz w:val="24"/>
          <w:szCs w:val="24"/>
        </w:rPr>
        <w:t xml:space="preserve"> YMRS ölçeği</w:t>
      </w:r>
      <w:r w:rsidR="00500125">
        <w:rPr>
          <w:rFonts w:ascii="Times New Roman" w:hAnsi="Times New Roman" w:cs="Times New Roman"/>
          <w:sz w:val="24"/>
          <w:szCs w:val="24"/>
        </w:rPr>
        <w:t xml:space="preserve"> </w:t>
      </w:r>
      <w:r w:rsidR="003020A3">
        <w:rPr>
          <w:rFonts w:ascii="Times New Roman" w:hAnsi="Times New Roman" w:cs="Times New Roman"/>
          <w:sz w:val="24"/>
          <w:szCs w:val="24"/>
        </w:rPr>
        <w:t>puanları</w:t>
      </w:r>
      <w:r w:rsidR="009D542C">
        <w:rPr>
          <w:rFonts w:ascii="Times New Roman" w:hAnsi="Times New Roman" w:cs="Times New Roman"/>
          <w:sz w:val="24"/>
          <w:szCs w:val="24"/>
        </w:rPr>
        <w:t>nda yükselme</w:t>
      </w:r>
      <w:r w:rsidR="00500125" w:rsidRPr="006F3634">
        <w:rPr>
          <w:rFonts w:ascii="Times New Roman" w:hAnsi="Times New Roman" w:cs="Times New Roman"/>
          <w:sz w:val="24"/>
          <w:szCs w:val="24"/>
        </w:rPr>
        <w:t xml:space="preserve"> </w:t>
      </w:r>
      <w:r w:rsidR="009D542C">
        <w:rPr>
          <w:rFonts w:ascii="Times New Roman" w:hAnsi="Times New Roman" w:cs="Times New Roman"/>
          <w:sz w:val="24"/>
          <w:szCs w:val="24"/>
        </w:rPr>
        <w:t>görülmüştür</w:t>
      </w:r>
      <w:r w:rsidR="00500125">
        <w:rPr>
          <w:rFonts w:ascii="Times New Roman" w:hAnsi="Times New Roman" w:cs="Times New Roman"/>
          <w:sz w:val="24"/>
          <w:szCs w:val="24"/>
        </w:rPr>
        <w:t xml:space="preserve"> </w:t>
      </w:r>
      <w:r w:rsidR="00555D7C">
        <w:rPr>
          <w:rFonts w:ascii="Times New Roman" w:hAnsi="Times New Roman" w:cs="Times New Roman"/>
          <w:sz w:val="24"/>
          <w:szCs w:val="24"/>
        </w:rPr>
        <w:t>(z= -2.147, p=0.</w:t>
      </w:r>
      <w:r w:rsidR="00500125" w:rsidRPr="006F3634">
        <w:rPr>
          <w:rFonts w:ascii="Times New Roman" w:hAnsi="Times New Roman" w:cs="Times New Roman"/>
          <w:sz w:val="24"/>
          <w:szCs w:val="24"/>
        </w:rPr>
        <w:t>032</w:t>
      </w:r>
      <w:r w:rsidR="00555D7C">
        <w:rPr>
          <w:rFonts w:ascii="Times New Roman" w:hAnsi="Times New Roman" w:cs="Times New Roman"/>
          <w:sz w:val="24"/>
          <w:szCs w:val="24"/>
        </w:rPr>
        <w:t>; z= -3.566, p=0.</w:t>
      </w:r>
      <w:r w:rsidR="00500125">
        <w:rPr>
          <w:rFonts w:ascii="Times New Roman" w:hAnsi="Times New Roman" w:cs="Times New Roman"/>
          <w:sz w:val="24"/>
          <w:szCs w:val="24"/>
        </w:rPr>
        <w:t>000)</w:t>
      </w:r>
      <w:r w:rsidR="00500125" w:rsidRPr="006F3634">
        <w:rPr>
          <w:rFonts w:ascii="Times New Roman" w:hAnsi="Times New Roman" w:cs="Times New Roman"/>
          <w:sz w:val="24"/>
          <w:szCs w:val="24"/>
        </w:rPr>
        <w:t xml:space="preserve">. </w:t>
      </w:r>
      <w:r w:rsidR="009D542C">
        <w:rPr>
          <w:rFonts w:ascii="Times New Roman" w:hAnsi="Times New Roman" w:cs="Times New Roman"/>
          <w:sz w:val="24"/>
          <w:szCs w:val="24"/>
        </w:rPr>
        <w:t xml:space="preserve">16. haftadaki değerlendirmede </w:t>
      </w:r>
      <w:r w:rsidR="009D542C" w:rsidRPr="006F3634">
        <w:rPr>
          <w:rFonts w:ascii="Times New Roman" w:hAnsi="Times New Roman" w:cs="Times New Roman"/>
          <w:sz w:val="24"/>
          <w:szCs w:val="24"/>
        </w:rPr>
        <w:t xml:space="preserve">İÜBDÖ puanlarında istatistiksel açıdan anlamlı ölçüde azalma </w:t>
      </w:r>
      <w:r w:rsidR="00500125" w:rsidRPr="006F3634">
        <w:rPr>
          <w:rFonts w:ascii="Times New Roman" w:hAnsi="Times New Roman" w:cs="Times New Roman"/>
          <w:sz w:val="24"/>
          <w:szCs w:val="24"/>
        </w:rPr>
        <w:t>olduğu saptanmışt</w:t>
      </w:r>
      <w:r w:rsidR="00F26EE0">
        <w:rPr>
          <w:rFonts w:ascii="Times New Roman" w:hAnsi="Times New Roman" w:cs="Times New Roman"/>
          <w:sz w:val="24"/>
          <w:szCs w:val="24"/>
        </w:rPr>
        <w:t>ır. (z= -2.696, p=0.</w:t>
      </w:r>
      <w:r w:rsidR="00500125" w:rsidRPr="006F3634">
        <w:rPr>
          <w:rFonts w:ascii="Times New Roman" w:hAnsi="Times New Roman" w:cs="Times New Roman"/>
          <w:sz w:val="24"/>
          <w:szCs w:val="24"/>
        </w:rPr>
        <w:t>007</w:t>
      </w:r>
      <w:r w:rsidR="009D542C">
        <w:rPr>
          <w:rFonts w:ascii="Times New Roman" w:hAnsi="Times New Roman" w:cs="Times New Roman"/>
          <w:sz w:val="24"/>
          <w:szCs w:val="24"/>
        </w:rPr>
        <w:t>;</w:t>
      </w:r>
      <w:r w:rsidR="009D542C" w:rsidRPr="009D542C">
        <w:rPr>
          <w:rFonts w:ascii="Times New Roman" w:hAnsi="Times New Roman" w:cs="Times New Roman"/>
          <w:sz w:val="24"/>
          <w:szCs w:val="24"/>
        </w:rPr>
        <w:t xml:space="preserve"> </w:t>
      </w:r>
      <w:r w:rsidR="009D542C">
        <w:rPr>
          <w:rFonts w:ascii="Times New Roman" w:hAnsi="Times New Roman" w:cs="Times New Roman"/>
          <w:sz w:val="24"/>
          <w:szCs w:val="24"/>
        </w:rPr>
        <w:t>z= -2.365, p=0.018</w:t>
      </w:r>
      <w:r w:rsidR="00500125" w:rsidRPr="006F3634">
        <w:rPr>
          <w:rFonts w:ascii="Times New Roman" w:hAnsi="Times New Roman" w:cs="Times New Roman"/>
          <w:sz w:val="24"/>
          <w:szCs w:val="24"/>
        </w:rPr>
        <w:t>) sa</w:t>
      </w:r>
      <w:r w:rsidR="007B1E56">
        <w:rPr>
          <w:rFonts w:ascii="Times New Roman" w:hAnsi="Times New Roman" w:cs="Times New Roman"/>
          <w:sz w:val="24"/>
          <w:szCs w:val="24"/>
        </w:rPr>
        <w:t xml:space="preserve">ptanmıştır. </w:t>
      </w:r>
      <w:r w:rsidR="007B1E56" w:rsidRPr="006F3634">
        <w:rPr>
          <w:rFonts w:ascii="Times New Roman" w:hAnsi="Times New Roman" w:cs="Times New Roman"/>
          <w:sz w:val="24"/>
          <w:szCs w:val="24"/>
        </w:rPr>
        <w:t xml:space="preserve">Kontrol grubunda başlangıçta ve </w:t>
      </w:r>
      <w:r w:rsidR="005322F7">
        <w:rPr>
          <w:rFonts w:ascii="Times New Roman" w:hAnsi="Times New Roman" w:cs="Times New Roman"/>
          <w:sz w:val="24"/>
          <w:szCs w:val="24"/>
        </w:rPr>
        <w:t>16. haftada</w:t>
      </w:r>
      <w:r w:rsidR="007B1E56" w:rsidRPr="006F3634">
        <w:rPr>
          <w:rFonts w:ascii="Times New Roman" w:hAnsi="Times New Roman" w:cs="Times New Roman"/>
          <w:sz w:val="24"/>
          <w:szCs w:val="24"/>
        </w:rPr>
        <w:t xml:space="preserve"> uygulanan BBİ Ölçeğinin arkadaş ilişkileri</w:t>
      </w:r>
      <w:r w:rsidR="007B1E56">
        <w:rPr>
          <w:rFonts w:ascii="Times New Roman" w:hAnsi="Times New Roman" w:cs="Times New Roman"/>
          <w:sz w:val="24"/>
          <w:szCs w:val="24"/>
        </w:rPr>
        <w:t xml:space="preserve">, </w:t>
      </w:r>
      <w:r w:rsidR="007B1E56" w:rsidRPr="006F3634">
        <w:rPr>
          <w:rFonts w:ascii="Times New Roman" w:hAnsi="Times New Roman" w:cs="Times New Roman"/>
          <w:sz w:val="24"/>
          <w:szCs w:val="24"/>
        </w:rPr>
        <w:t>toplumsal işlevsellik</w:t>
      </w:r>
      <w:r w:rsidR="005322F7">
        <w:rPr>
          <w:rFonts w:ascii="Times New Roman" w:hAnsi="Times New Roman" w:cs="Times New Roman"/>
          <w:sz w:val="24"/>
          <w:szCs w:val="24"/>
        </w:rPr>
        <w:t xml:space="preserve"> </w:t>
      </w:r>
      <w:r w:rsidR="007B1E56">
        <w:rPr>
          <w:rFonts w:ascii="Times New Roman" w:hAnsi="Times New Roman" w:cs="Times New Roman"/>
          <w:sz w:val="24"/>
          <w:szCs w:val="24"/>
        </w:rPr>
        <w:t>ve</w:t>
      </w:r>
      <w:r w:rsidR="006674BD">
        <w:rPr>
          <w:rFonts w:ascii="Times New Roman" w:hAnsi="Times New Roman" w:cs="Times New Roman"/>
          <w:sz w:val="24"/>
          <w:szCs w:val="24"/>
        </w:rPr>
        <w:t xml:space="preserve"> </w:t>
      </w:r>
      <w:r w:rsidR="007B1E56" w:rsidRPr="006F3634">
        <w:rPr>
          <w:rFonts w:ascii="Times New Roman" w:hAnsi="Times New Roman" w:cs="Times New Roman"/>
          <w:sz w:val="24"/>
          <w:szCs w:val="24"/>
        </w:rPr>
        <w:t>günlük işlevsellik alt ölçeği</w:t>
      </w:r>
      <w:r w:rsidR="005322F7">
        <w:rPr>
          <w:rFonts w:ascii="Times New Roman" w:hAnsi="Times New Roman" w:cs="Times New Roman"/>
          <w:sz w:val="24"/>
          <w:szCs w:val="24"/>
        </w:rPr>
        <w:t xml:space="preserve"> </w:t>
      </w:r>
      <w:r w:rsidR="007B1E56" w:rsidRPr="006F3634">
        <w:rPr>
          <w:rFonts w:ascii="Times New Roman" w:hAnsi="Times New Roman" w:cs="Times New Roman"/>
          <w:sz w:val="24"/>
          <w:szCs w:val="24"/>
        </w:rPr>
        <w:t>puanlarında istatistiksel açıdan anlamlı ölçüde azalma saptanmıştır</w:t>
      </w:r>
      <w:r w:rsidR="005322F7">
        <w:rPr>
          <w:rFonts w:ascii="Times New Roman" w:hAnsi="Times New Roman" w:cs="Times New Roman"/>
          <w:sz w:val="24"/>
          <w:szCs w:val="24"/>
        </w:rPr>
        <w:t xml:space="preserve"> </w:t>
      </w:r>
      <w:r w:rsidR="005322F7" w:rsidRPr="006F3634">
        <w:rPr>
          <w:rFonts w:ascii="Times New Roman" w:hAnsi="Times New Roman" w:cs="Times New Roman"/>
          <w:sz w:val="24"/>
          <w:szCs w:val="24"/>
        </w:rPr>
        <w:t>(</w:t>
      </w:r>
      <w:r w:rsidR="005322F7">
        <w:rPr>
          <w:rFonts w:ascii="Times New Roman" w:hAnsi="Times New Roman" w:cs="Times New Roman"/>
          <w:sz w:val="24"/>
          <w:szCs w:val="24"/>
        </w:rPr>
        <w:t>z= -3.445, p=0.001; z= -3.526, p=0.</w:t>
      </w:r>
      <w:r w:rsidR="005322F7" w:rsidRPr="006F3634">
        <w:rPr>
          <w:rFonts w:ascii="Times New Roman" w:hAnsi="Times New Roman" w:cs="Times New Roman"/>
          <w:sz w:val="24"/>
          <w:szCs w:val="24"/>
        </w:rPr>
        <w:t>000</w:t>
      </w:r>
      <w:r w:rsidR="005322F7">
        <w:rPr>
          <w:rFonts w:ascii="Times New Roman" w:hAnsi="Times New Roman" w:cs="Times New Roman"/>
          <w:sz w:val="24"/>
          <w:szCs w:val="24"/>
        </w:rPr>
        <w:t>; z= -2.870, p=0.004)</w:t>
      </w:r>
      <w:r w:rsidR="007B1E56" w:rsidRPr="006F3634">
        <w:rPr>
          <w:rFonts w:ascii="Times New Roman" w:hAnsi="Times New Roman" w:cs="Times New Roman"/>
          <w:sz w:val="24"/>
          <w:szCs w:val="24"/>
        </w:rPr>
        <w:t xml:space="preserve">. </w:t>
      </w:r>
      <w:r w:rsidR="00583BB3">
        <w:rPr>
          <w:rFonts w:ascii="Times New Roman" w:hAnsi="Times New Roman" w:cs="Times New Roman"/>
          <w:sz w:val="24"/>
          <w:szCs w:val="24"/>
        </w:rPr>
        <w:t>Aynı grupta</w:t>
      </w:r>
      <w:r w:rsidR="007B1E56" w:rsidRPr="006F3634">
        <w:rPr>
          <w:rFonts w:ascii="Times New Roman" w:hAnsi="Times New Roman" w:cs="Times New Roman"/>
          <w:sz w:val="24"/>
          <w:szCs w:val="24"/>
        </w:rPr>
        <w:t xml:space="preserve"> </w:t>
      </w:r>
      <w:r w:rsidR="007B1E56">
        <w:rPr>
          <w:rFonts w:ascii="Times New Roman" w:hAnsi="Times New Roman" w:cs="Times New Roman"/>
          <w:sz w:val="24"/>
          <w:szCs w:val="24"/>
        </w:rPr>
        <w:t xml:space="preserve">BBİ Ölçeğinin </w:t>
      </w:r>
      <w:proofErr w:type="gramStart"/>
      <w:r w:rsidR="007B1E56">
        <w:rPr>
          <w:rFonts w:ascii="Times New Roman" w:hAnsi="Times New Roman" w:cs="Times New Roman"/>
          <w:sz w:val="24"/>
          <w:szCs w:val="24"/>
        </w:rPr>
        <w:t>inisiyatif</w:t>
      </w:r>
      <w:proofErr w:type="gramEnd"/>
      <w:r w:rsidR="007B1E56">
        <w:rPr>
          <w:rFonts w:ascii="Times New Roman" w:hAnsi="Times New Roman" w:cs="Times New Roman"/>
          <w:sz w:val="24"/>
          <w:szCs w:val="24"/>
        </w:rPr>
        <w:t xml:space="preserve"> alma</w:t>
      </w:r>
      <w:r w:rsidR="006674BD">
        <w:rPr>
          <w:rFonts w:ascii="Times New Roman" w:hAnsi="Times New Roman" w:cs="Times New Roman"/>
          <w:sz w:val="24"/>
          <w:szCs w:val="24"/>
        </w:rPr>
        <w:t xml:space="preserve"> </w:t>
      </w:r>
      <w:r w:rsidR="007B1E56">
        <w:rPr>
          <w:rFonts w:ascii="Times New Roman" w:hAnsi="Times New Roman" w:cs="Times New Roman"/>
          <w:sz w:val="24"/>
          <w:szCs w:val="24"/>
        </w:rPr>
        <w:t>ve</w:t>
      </w:r>
      <w:r w:rsidR="007B1E56" w:rsidRPr="006F3634">
        <w:rPr>
          <w:rFonts w:ascii="Times New Roman" w:hAnsi="Times New Roman" w:cs="Times New Roman"/>
          <w:sz w:val="24"/>
          <w:szCs w:val="24"/>
        </w:rPr>
        <w:t xml:space="preserve"> mesleki işlevsellik alt ölçeği puanlarında </w:t>
      </w:r>
      <w:r w:rsidR="00583BB3">
        <w:rPr>
          <w:rFonts w:ascii="Times New Roman" w:hAnsi="Times New Roman" w:cs="Times New Roman"/>
          <w:sz w:val="24"/>
          <w:szCs w:val="24"/>
        </w:rPr>
        <w:t xml:space="preserve">ise </w:t>
      </w:r>
      <w:r w:rsidR="007B1E56" w:rsidRPr="006F3634">
        <w:rPr>
          <w:rFonts w:ascii="Times New Roman" w:hAnsi="Times New Roman" w:cs="Times New Roman"/>
          <w:sz w:val="24"/>
          <w:szCs w:val="24"/>
        </w:rPr>
        <w:t>istatistiksel açıdan anlamlı artış saptanmıştır</w:t>
      </w:r>
      <w:r w:rsidR="00A7145D">
        <w:rPr>
          <w:rFonts w:ascii="Times New Roman" w:hAnsi="Times New Roman" w:cs="Times New Roman"/>
          <w:sz w:val="24"/>
          <w:szCs w:val="24"/>
        </w:rPr>
        <w:t xml:space="preserve"> </w:t>
      </w:r>
      <w:r w:rsidR="00A7145D" w:rsidRPr="006F3634">
        <w:rPr>
          <w:rFonts w:ascii="Times New Roman" w:hAnsi="Times New Roman" w:cs="Times New Roman"/>
          <w:sz w:val="24"/>
          <w:szCs w:val="24"/>
        </w:rPr>
        <w:t>(</w:t>
      </w:r>
      <w:r w:rsidR="00A7145D">
        <w:rPr>
          <w:rFonts w:ascii="Times New Roman" w:hAnsi="Times New Roman" w:cs="Times New Roman"/>
          <w:sz w:val="24"/>
          <w:szCs w:val="24"/>
        </w:rPr>
        <w:t>z= -2.352, p=0.</w:t>
      </w:r>
      <w:r w:rsidR="00A7145D" w:rsidRPr="006F3634">
        <w:rPr>
          <w:rFonts w:ascii="Times New Roman" w:hAnsi="Times New Roman" w:cs="Times New Roman"/>
          <w:sz w:val="24"/>
          <w:szCs w:val="24"/>
        </w:rPr>
        <w:t>019</w:t>
      </w:r>
      <w:r w:rsidR="00A7145D">
        <w:rPr>
          <w:rFonts w:ascii="Times New Roman" w:hAnsi="Times New Roman" w:cs="Times New Roman"/>
          <w:sz w:val="24"/>
          <w:szCs w:val="24"/>
        </w:rPr>
        <w:t xml:space="preserve">; </w:t>
      </w:r>
      <w:r w:rsidR="00732939">
        <w:rPr>
          <w:rFonts w:ascii="Times New Roman" w:hAnsi="Times New Roman" w:cs="Times New Roman"/>
          <w:sz w:val="24"/>
          <w:szCs w:val="24"/>
        </w:rPr>
        <w:t>z= -3.056, p=0.</w:t>
      </w:r>
      <w:r w:rsidR="00A7145D" w:rsidRPr="006F3634">
        <w:rPr>
          <w:rFonts w:ascii="Times New Roman" w:hAnsi="Times New Roman" w:cs="Times New Roman"/>
          <w:sz w:val="24"/>
          <w:szCs w:val="24"/>
        </w:rPr>
        <w:t>002)</w:t>
      </w:r>
      <w:r w:rsidR="007B1E56" w:rsidRPr="006F36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7B1" w:rsidRPr="00B522B1" w:rsidRDefault="007477EE" w:rsidP="00B522B1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C547B1" w:rsidRPr="00B522B1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Psikoeğ</w:t>
      </w:r>
      <w:r w:rsidR="00E049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grubu ile kontrol grubunun </w:t>
      </w:r>
      <w:r w:rsidR="00E0491A">
        <w:rPr>
          <w:rFonts w:ascii="Times New Roman" w:hAnsi="Times New Roman" w:cs="Times New Roman"/>
          <w:sz w:val="24"/>
          <w:szCs w:val="24"/>
        </w:rPr>
        <w:t xml:space="preserve">iki değerlendirmedeki </w:t>
      </w:r>
      <w:r w:rsidR="006D7B37" w:rsidRPr="00C4182A">
        <w:rPr>
          <w:rFonts w:ascii="Times New Roman" w:hAnsi="Times New Roman" w:cs="Times New Roman"/>
          <w:sz w:val="24"/>
          <w:szCs w:val="24"/>
        </w:rPr>
        <w:t>YMRS puan</w:t>
      </w:r>
      <w:r w:rsidR="00E04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değişim</w:t>
      </w:r>
      <w:r w:rsidR="00E0491A">
        <w:rPr>
          <w:rFonts w:ascii="Times New Roman" w:hAnsi="Times New Roman" w:cs="Times New Roman"/>
          <w:sz w:val="24"/>
          <w:szCs w:val="24"/>
        </w:rPr>
        <w:t>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D58">
        <w:rPr>
          <w:rFonts w:ascii="Times New Roman" w:hAnsi="Times New Roman" w:cs="Times New Roman"/>
          <w:sz w:val="24"/>
          <w:szCs w:val="24"/>
        </w:rPr>
        <w:t>anlamlı</w:t>
      </w:r>
      <w:r w:rsidR="00E0491A">
        <w:rPr>
          <w:rFonts w:ascii="Times New Roman" w:hAnsi="Times New Roman" w:cs="Times New Roman"/>
          <w:sz w:val="24"/>
          <w:szCs w:val="24"/>
        </w:rPr>
        <w:t xml:space="preserve"> fark</w:t>
      </w:r>
      <w:r w:rsidR="000D1D58">
        <w:rPr>
          <w:rFonts w:ascii="Times New Roman" w:hAnsi="Times New Roman" w:cs="Times New Roman"/>
          <w:sz w:val="24"/>
          <w:szCs w:val="24"/>
        </w:rPr>
        <w:t>lılık</w:t>
      </w:r>
      <w:r w:rsidR="00E0491A">
        <w:rPr>
          <w:rFonts w:ascii="Times New Roman" w:hAnsi="Times New Roman" w:cs="Times New Roman"/>
          <w:sz w:val="24"/>
          <w:szCs w:val="24"/>
        </w:rPr>
        <w:t xml:space="preserve"> </w:t>
      </w:r>
      <w:r w:rsidR="000D1D58">
        <w:rPr>
          <w:rFonts w:ascii="Times New Roman" w:hAnsi="Times New Roman" w:cs="Times New Roman"/>
          <w:sz w:val="24"/>
          <w:szCs w:val="24"/>
        </w:rPr>
        <w:t>göstermiştir</w:t>
      </w:r>
      <w:r w:rsidR="00E0491A">
        <w:rPr>
          <w:rFonts w:ascii="Times New Roman" w:hAnsi="Times New Roman" w:cs="Times New Roman"/>
          <w:sz w:val="24"/>
          <w:szCs w:val="24"/>
        </w:rPr>
        <w:t xml:space="preserve"> </w:t>
      </w:r>
      <w:r w:rsidR="006D7B37">
        <w:rPr>
          <w:rFonts w:ascii="Times New Roman" w:hAnsi="Times New Roman" w:cs="Times New Roman"/>
          <w:sz w:val="24"/>
          <w:szCs w:val="24"/>
        </w:rPr>
        <w:t>(F=6.917, p=0.</w:t>
      </w:r>
      <w:r w:rsidR="006D7B37" w:rsidRPr="00C4182A">
        <w:rPr>
          <w:rFonts w:ascii="Times New Roman" w:hAnsi="Times New Roman" w:cs="Times New Roman"/>
          <w:sz w:val="24"/>
          <w:szCs w:val="24"/>
        </w:rPr>
        <w:t>011)</w:t>
      </w:r>
      <w:r w:rsidR="006D7B37">
        <w:rPr>
          <w:rFonts w:ascii="Times New Roman" w:hAnsi="Times New Roman" w:cs="Times New Roman"/>
          <w:sz w:val="24"/>
          <w:szCs w:val="24"/>
        </w:rPr>
        <w:t>.</w:t>
      </w:r>
      <w:r w:rsidR="006D7B37" w:rsidRPr="00C4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B37" w:rsidRPr="00C4182A">
        <w:rPr>
          <w:rFonts w:ascii="Times New Roman" w:hAnsi="Times New Roman" w:cs="Times New Roman"/>
          <w:sz w:val="24"/>
          <w:szCs w:val="24"/>
        </w:rPr>
        <w:t>Psikoeğitim</w:t>
      </w:r>
      <w:proofErr w:type="spellEnd"/>
      <w:r w:rsidR="006D7B37" w:rsidRPr="00C4182A">
        <w:rPr>
          <w:rFonts w:ascii="Times New Roman" w:hAnsi="Times New Roman" w:cs="Times New Roman"/>
          <w:sz w:val="24"/>
          <w:szCs w:val="24"/>
        </w:rPr>
        <w:t xml:space="preserve"> grubunda YMRS ölçeği puanlarında anlamlı değişim olma</w:t>
      </w:r>
      <w:r w:rsidR="006D7B37">
        <w:rPr>
          <w:rFonts w:ascii="Times New Roman" w:hAnsi="Times New Roman" w:cs="Times New Roman"/>
          <w:sz w:val="24"/>
          <w:szCs w:val="24"/>
        </w:rPr>
        <w:t xml:space="preserve">masına rağmen; </w:t>
      </w:r>
      <w:r w:rsidR="006D7B37" w:rsidRPr="00C4182A">
        <w:rPr>
          <w:rFonts w:ascii="Times New Roman" w:hAnsi="Times New Roman" w:cs="Times New Roman"/>
          <w:sz w:val="24"/>
          <w:szCs w:val="24"/>
        </w:rPr>
        <w:t xml:space="preserve">kontrol grubunda YMRS ölçeği puanlarının anlamlı ölçüde arttığı </w:t>
      </w:r>
      <w:r w:rsidR="000D1D58">
        <w:rPr>
          <w:rFonts w:ascii="Times New Roman" w:hAnsi="Times New Roman" w:cs="Times New Roman"/>
          <w:sz w:val="24"/>
          <w:szCs w:val="24"/>
        </w:rPr>
        <w:t xml:space="preserve">saptanmıştır. </w:t>
      </w:r>
      <w:r w:rsidR="00F05C48" w:rsidRPr="00C4182A">
        <w:rPr>
          <w:rFonts w:ascii="Times New Roman" w:hAnsi="Times New Roman" w:cs="Times New Roman"/>
          <w:sz w:val="24"/>
          <w:szCs w:val="24"/>
        </w:rPr>
        <w:t>Kontrol grubunda İGD ölçeği puanlarında</w:t>
      </w:r>
      <w:r w:rsidR="00C72809">
        <w:rPr>
          <w:rFonts w:ascii="Times New Roman" w:hAnsi="Times New Roman" w:cs="Times New Roman"/>
          <w:sz w:val="24"/>
          <w:szCs w:val="24"/>
        </w:rPr>
        <w:t xml:space="preserve"> anlamlı değişim olmadığı halde</w:t>
      </w:r>
      <w:r w:rsidR="00F05C48" w:rsidRPr="00C4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C48" w:rsidRPr="00C4182A">
        <w:rPr>
          <w:rFonts w:ascii="Times New Roman" w:hAnsi="Times New Roman" w:cs="Times New Roman"/>
          <w:sz w:val="24"/>
          <w:szCs w:val="24"/>
        </w:rPr>
        <w:t>psikoeğitim</w:t>
      </w:r>
      <w:proofErr w:type="spellEnd"/>
      <w:r w:rsidR="00F05C48" w:rsidRPr="00C4182A">
        <w:rPr>
          <w:rFonts w:ascii="Times New Roman" w:hAnsi="Times New Roman" w:cs="Times New Roman"/>
          <w:sz w:val="24"/>
          <w:szCs w:val="24"/>
        </w:rPr>
        <w:t xml:space="preserve"> grubunda İGD ölçeği puanlarında </w:t>
      </w:r>
      <w:r w:rsidR="00F05C48">
        <w:rPr>
          <w:rFonts w:ascii="Times New Roman" w:hAnsi="Times New Roman" w:cs="Times New Roman"/>
          <w:sz w:val="24"/>
          <w:szCs w:val="24"/>
        </w:rPr>
        <w:t xml:space="preserve">anlamlı artış saptanmış ve iki grubun </w:t>
      </w:r>
      <w:r w:rsidR="006D7B37">
        <w:rPr>
          <w:rFonts w:ascii="Times New Roman" w:hAnsi="Times New Roman" w:cs="Times New Roman"/>
          <w:sz w:val="24"/>
          <w:szCs w:val="24"/>
        </w:rPr>
        <w:t xml:space="preserve">işlevsellik puanları </w:t>
      </w:r>
      <w:r w:rsidR="00F05C48">
        <w:rPr>
          <w:rFonts w:ascii="Times New Roman" w:hAnsi="Times New Roman" w:cs="Times New Roman"/>
          <w:sz w:val="24"/>
          <w:szCs w:val="24"/>
        </w:rPr>
        <w:t xml:space="preserve">arasındaki </w:t>
      </w:r>
      <w:r w:rsidR="00C72809">
        <w:rPr>
          <w:rFonts w:ascii="Times New Roman" w:hAnsi="Times New Roman" w:cs="Times New Roman"/>
          <w:sz w:val="24"/>
          <w:szCs w:val="24"/>
        </w:rPr>
        <w:t xml:space="preserve">değişim </w:t>
      </w:r>
      <w:r w:rsidR="00F05C48">
        <w:rPr>
          <w:rFonts w:ascii="Times New Roman" w:hAnsi="Times New Roman" w:cs="Times New Roman"/>
          <w:sz w:val="24"/>
          <w:szCs w:val="24"/>
        </w:rPr>
        <w:t>fark</w:t>
      </w:r>
      <w:r w:rsidR="00C72809">
        <w:rPr>
          <w:rFonts w:ascii="Times New Roman" w:hAnsi="Times New Roman" w:cs="Times New Roman"/>
          <w:sz w:val="24"/>
          <w:szCs w:val="24"/>
        </w:rPr>
        <w:t>ı</w:t>
      </w:r>
      <w:r w:rsidR="00F05C48">
        <w:rPr>
          <w:rFonts w:ascii="Times New Roman" w:hAnsi="Times New Roman" w:cs="Times New Roman"/>
          <w:sz w:val="24"/>
          <w:szCs w:val="24"/>
        </w:rPr>
        <w:t xml:space="preserve"> anlamlıdır</w:t>
      </w:r>
      <w:r w:rsidR="006D7B37">
        <w:rPr>
          <w:rFonts w:ascii="Times New Roman" w:hAnsi="Times New Roman" w:cs="Times New Roman"/>
          <w:sz w:val="24"/>
          <w:szCs w:val="24"/>
        </w:rPr>
        <w:t xml:space="preserve"> (F=4.016, p=0.</w:t>
      </w:r>
      <w:r w:rsidR="006D7B37" w:rsidRPr="00C4182A">
        <w:rPr>
          <w:rFonts w:ascii="Times New Roman" w:hAnsi="Times New Roman" w:cs="Times New Roman"/>
          <w:sz w:val="24"/>
          <w:szCs w:val="24"/>
        </w:rPr>
        <w:t>05)</w:t>
      </w:r>
      <w:r w:rsidR="006D7B37">
        <w:rPr>
          <w:rFonts w:ascii="Times New Roman" w:hAnsi="Times New Roman" w:cs="Times New Roman"/>
          <w:sz w:val="24"/>
          <w:szCs w:val="24"/>
        </w:rPr>
        <w:t>.</w:t>
      </w:r>
      <w:r w:rsidR="00F05C48">
        <w:rPr>
          <w:rFonts w:ascii="Times New Roman" w:hAnsi="Times New Roman" w:cs="Times New Roman"/>
          <w:sz w:val="24"/>
          <w:szCs w:val="24"/>
        </w:rPr>
        <w:t xml:space="preserve"> </w:t>
      </w:r>
      <w:r w:rsidR="00884C35">
        <w:rPr>
          <w:rFonts w:ascii="Times New Roman" w:hAnsi="Times New Roman" w:cs="Times New Roman"/>
          <w:sz w:val="24"/>
          <w:szCs w:val="24"/>
        </w:rPr>
        <w:t>İki grubun</w:t>
      </w:r>
      <w:r w:rsidR="00C547B1" w:rsidRPr="00C4182A">
        <w:rPr>
          <w:rFonts w:ascii="Times New Roman" w:hAnsi="Times New Roman" w:cs="Times New Roman"/>
          <w:sz w:val="24"/>
          <w:szCs w:val="24"/>
        </w:rPr>
        <w:t xml:space="preserve"> </w:t>
      </w:r>
      <w:r w:rsidR="002873B2">
        <w:rPr>
          <w:rFonts w:ascii="Times New Roman" w:hAnsi="Times New Roman" w:cs="Times New Roman"/>
          <w:sz w:val="24"/>
          <w:szCs w:val="24"/>
        </w:rPr>
        <w:t>HAM-D ölçeği</w:t>
      </w:r>
      <w:r w:rsidR="000766DF" w:rsidRPr="00C4182A">
        <w:rPr>
          <w:rFonts w:ascii="Times New Roman" w:hAnsi="Times New Roman" w:cs="Times New Roman"/>
          <w:sz w:val="24"/>
          <w:szCs w:val="24"/>
        </w:rPr>
        <w:t xml:space="preserve"> puanları</w:t>
      </w:r>
      <w:r w:rsidR="003263CB">
        <w:rPr>
          <w:rFonts w:ascii="Times New Roman" w:hAnsi="Times New Roman" w:cs="Times New Roman"/>
          <w:sz w:val="24"/>
          <w:szCs w:val="24"/>
        </w:rPr>
        <w:t>ndaki</w:t>
      </w:r>
      <w:r w:rsidR="000766DF">
        <w:rPr>
          <w:rFonts w:ascii="Times New Roman" w:hAnsi="Times New Roman" w:cs="Times New Roman"/>
          <w:sz w:val="24"/>
          <w:szCs w:val="24"/>
        </w:rPr>
        <w:t xml:space="preserve"> değişim </w:t>
      </w:r>
      <w:r w:rsidR="002E289D" w:rsidRPr="00C4182A">
        <w:rPr>
          <w:rFonts w:ascii="Times New Roman" w:hAnsi="Times New Roman" w:cs="Times New Roman"/>
          <w:sz w:val="24"/>
          <w:szCs w:val="24"/>
        </w:rPr>
        <w:t xml:space="preserve">anlamlı farklılık </w:t>
      </w:r>
      <w:r w:rsidR="00AA339D">
        <w:rPr>
          <w:rFonts w:ascii="Times New Roman" w:hAnsi="Times New Roman" w:cs="Times New Roman"/>
          <w:sz w:val="24"/>
          <w:szCs w:val="24"/>
        </w:rPr>
        <w:t>göstermemiştir</w:t>
      </w:r>
      <w:r w:rsidR="00C2315E">
        <w:rPr>
          <w:rFonts w:ascii="Times New Roman" w:hAnsi="Times New Roman" w:cs="Times New Roman"/>
          <w:sz w:val="24"/>
          <w:szCs w:val="24"/>
        </w:rPr>
        <w:t xml:space="preserve"> (</w:t>
      </w:r>
      <w:r w:rsidR="00C2315E">
        <w:rPr>
          <w:rFonts w:ascii="Times New Roman" w:eastAsia="Times New Roman" w:hAnsi="Times New Roman" w:cs="Times New Roman"/>
          <w:bCs/>
          <w:sz w:val="24"/>
          <w:szCs w:val="24"/>
        </w:rPr>
        <w:t>p&gt;0.05)</w:t>
      </w:r>
      <w:r w:rsidR="002E289D" w:rsidRPr="00C4182A">
        <w:rPr>
          <w:rFonts w:ascii="Times New Roman" w:hAnsi="Times New Roman" w:cs="Times New Roman"/>
          <w:sz w:val="24"/>
          <w:szCs w:val="24"/>
        </w:rPr>
        <w:t xml:space="preserve">. </w:t>
      </w:r>
      <w:r w:rsidR="003263CB">
        <w:rPr>
          <w:rFonts w:ascii="Times New Roman" w:hAnsi="Times New Roman" w:cs="Times New Roman"/>
          <w:sz w:val="24"/>
          <w:szCs w:val="24"/>
        </w:rPr>
        <w:t xml:space="preserve">Ayrıca, </w:t>
      </w:r>
      <w:r w:rsidR="002E289D">
        <w:rPr>
          <w:rFonts w:ascii="Times New Roman" w:hAnsi="Times New Roman" w:cs="Times New Roman"/>
          <w:sz w:val="24"/>
          <w:szCs w:val="24"/>
        </w:rPr>
        <w:t xml:space="preserve">İÜBDÖ, </w:t>
      </w:r>
      <w:proofErr w:type="spellStart"/>
      <w:r w:rsidR="00C547B1" w:rsidRPr="00C4182A">
        <w:rPr>
          <w:rFonts w:ascii="Times New Roman" w:hAnsi="Times New Roman" w:cs="Times New Roman"/>
          <w:sz w:val="24"/>
          <w:szCs w:val="24"/>
        </w:rPr>
        <w:t>Morisky</w:t>
      </w:r>
      <w:proofErr w:type="spellEnd"/>
      <w:r w:rsidR="00C547B1" w:rsidRPr="00C4182A">
        <w:rPr>
          <w:rFonts w:ascii="Times New Roman" w:hAnsi="Times New Roman" w:cs="Times New Roman"/>
          <w:sz w:val="24"/>
          <w:szCs w:val="24"/>
        </w:rPr>
        <w:t xml:space="preserve"> Tedaviye Uyum Ölçeği </w:t>
      </w:r>
      <w:r w:rsidR="002E289D">
        <w:rPr>
          <w:rFonts w:ascii="Times New Roman" w:hAnsi="Times New Roman" w:cs="Times New Roman"/>
          <w:sz w:val="24"/>
          <w:szCs w:val="24"/>
        </w:rPr>
        <w:t xml:space="preserve">ile </w:t>
      </w:r>
      <w:r w:rsidR="00C547B1" w:rsidRPr="00C4182A">
        <w:rPr>
          <w:rFonts w:ascii="Times New Roman" w:hAnsi="Times New Roman" w:cs="Times New Roman"/>
          <w:sz w:val="24"/>
          <w:szCs w:val="24"/>
        </w:rPr>
        <w:t xml:space="preserve">BBİ Ölçeğinin duygusal işlevsellik, zihinsel işlevsellik, cinsel işlevsellik, damgalanma, içe kapanıklık, ev içi ilişkiler, arkadaş ilişkileri, toplumsal işlevsellik ve günlük işlevsellik alt ölçek puanlarındaki değişim oranları </w:t>
      </w:r>
      <w:r w:rsidR="00011183">
        <w:rPr>
          <w:rFonts w:ascii="Times New Roman" w:hAnsi="Times New Roman" w:cs="Times New Roman"/>
          <w:sz w:val="24"/>
          <w:szCs w:val="24"/>
        </w:rPr>
        <w:t>arasında</w:t>
      </w:r>
      <w:r w:rsidR="00C547B1" w:rsidRPr="00C4182A">
        <w:rPr>
          <w:rFonts w:ascii="Times New Roman" w:hAnsi="Times New Roman" w:cs="Times New Roman"/>
          <w:sz w:val="24"/>
          <w:szCs w:val="24"/>
        </w:rPr>
        <w:t xml:space="preserve"> an</w:t>
      </w:r>
      <w:r w:rsidR="002E289D">
        <w:rPr>
          <w:rFonts w:ascii="Times New Roman" w:hAnsi="Times New Roman" w:cs="Times New Roman"/>
          <w:sz w:val="24"/>
          <w:szCs w:val="24"/>
        </w:rPr>
        <w:t>lamlı farklılık saptanmamıştır</w:t>
      </w:r>
      <w:r w:rsidR="00A22135">
        <w:rPr>
          <w:rFonts w:ascii="Times New Roman" w:hAnsi="Times New Roman" w:cs="Times New Roman"/>
          <w:sz w:val="24"/>
          <w:szCs w:val="24"/>
        </w:rPr>
        <w:t xml:space="preserve"> (p&gt;0.05)</w:t>
      </w:r>
      <w:r w:rsidR="002E28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289D" w:rsidRPr="00C4182A">
        <w:rPr>
          <w:rFonts w:ascii="Times New Roman" w:hAnsi="Times New Roman" w:cs="Times New Roman"/>
          <w:sz w:val="24"/>
          <w:szCs w:val="24"/>
        </w:rPr>
        <w:t>Psikoeğitim</w:t>
      </w:r>
      <w:proofErr w:type="spellEnd"/>
      <w:r w:rsidR="002E289D" w:rsidRPr="00C4182A">
        <w:rPr>
          <w:rFonts w:ascii="Times New Roman" w:hAnsi="Times New Roman" w:cs="Times New Roman"/>
          <w:sz w:val="24"/>
          <w:szCs w:val="24"/>
        </w:rPr>
        <w:t xml:space="preserve"> ve kontrol grubunda BBİ Ölçeğinin </w:t>
      </w:r>
      <w:proofErr w:type="gramStart"/>
      <w:r w:rsidR="002E289D" w:rsidRPr="00C4182A">
        <w:rPr>
          <w:rFonts w:ascii="Times New Roman" w:hAnsi="Times New Roman" w:cs="Times New Roman"/>
          <w:sz w:val="24"/>
          <w:szCs w:val="24"/>
        </w:rPr>
        <w:t>inisiyatif</w:t>
      </w:r>
      <w:proofErr w:type="gramEnd"/>
      <w:r w:rsidR="002E289D" w:rsidRPr="00C4182A">
        <w:rPr>
          <w:rFonts w:ascii="Times New Roman" w:hAnsi="Times New Roman" w:cs="Times New Roman"/>
          <w:sz w:val="24"/>
          <w:szCs w:val="24"/>
        </w:rPr>
        <w:t xml:space="preserve"> alma alt ölçeği puanlarındaki değişim oranları açısından istatistiksel olarak anlamlı</w:t>
      </w:r>
      <w:r w:rsidR="008E75B6">
        <w:rPr>
          <w:rFonts w:ascii="Times New Roman" w:hAnsi="Times New Roman" w:cs="Times New Roman"/>
          <w:sz w:val="24"/>
          <w:szCs w:val="24"/>
        </w:rPr>
        <w:t xml:space="preserve"> farklılık saptanmamıştır</w:t>
      </w:r>
      <w:r w:rsidR="000E5352">
        <w:rPr>
          <w:rFonts w:ascii="Times New Roman" w:hAnsi="Times New Roman" w:cs="Times New Roman"/>
          <w:sz w:val="24"/>
          <w:szCs w:val="24"/>
        </w:rPr>
        <w:t xml:space="preserve"> (F=1.081, p=0.</w:t>
      </w:r>
      <w:r w:rsidR="002E289D" w:rsidRPr="00C4182A">
        <w:rPr>
          <w:rFonts w:ascii="Times New Roman" w:hAnsi="Times New Roman" w:cs="Times New Roman"/>
          <w:sz w:val="24"/>
          <w:szCs w:val="24"/>
        </w:rPr>
        <w:t>303)</w:t>
      </w:r>
      <w:r w:rsidR="008E75B6">
        <w:rPr>
          <w:rFonts w:ascii="Times New Roman" w:hAnsi="Times New Roman" w:cs="Times New Roman"/>
          <w:sz w:val="24"/>
          <w:szCs w:val="24"/>
        </w:rPr>
        <w:t>.</w:t>
      </w:r>
      <w:r w:rsidR="002E289D" w:rsidRPr="00C41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89D" w:rsidRPr="00C4182A">
        <w:rPr>
          <w:rFonts w:ascii="Times New Roman" w:hAnsi="Times New Roman" w:cs="Times New Roman"/>
          <w:sz w:val="24"/>
          <w:szCs w:val="24"/>
        </w:rPr>
        <w:t>Psikoeğitim</w:t>
      </w:r>
      <w:proofErr w:type="spellEnd"/>
      <w:r w:rsidR="002E289D" w:rsidRPr="00C4182A">
        <w:rPr>
          <w:rFonts w:ascii="Times New Roman" w:hAnsi="Times New Roman" w:cs="Times New Roman"/>
          <w:sz w:val="24"/>
          <w:szCs w:val="24"/>
        </w:rPr>
        <w:t xml:space="preserve"> ve kontrol grubunda BBİ Ölçeğinin mesleki işlevsellik alt ölçeği puanlarındaki değişim oranları açısından istatistiksel olarak anlam</w:t>
      </w:r>
      <w:r w:rsidR="000E5352">
        <w:rPr>
          <w:rFonts w:ascii="Times New Roman" w:hAnsi="Times New Roman" w:cs="Times New Roman"/>
          <w:sz w:val="24"/>
          <w:szCs w:val="24"/>
        </w:rPr>
        <w:t>lı fark</w:t>
      </w:r>
      <w:r w:rsidR="008E75B6">
        <w:rPr>
          <w:rFonts w:ascii="Times New Roman" w:hAnsi="Times New Roman" w:cs="Times New Roman"/>
          <w:sz w:val="24"/>
          <w:szCs w:val="24"/>
        </w:rPr>
        <w:t>lılık saptanmıştır</w:t>
      </w:r>
      <w:r w:rsidR="000E5352">
        <w:rPr>
          <w:rFonts w:ascii="Times New Roman" w:hAnsi="Times New Roman" w:cs="Times New Roman"/>
          <w:sz w:val="24"/>
          <w:szCs w:val="24"/>
        </w:rPr>
        <w:t xml:space="preserve"> (F=0.686, p=0.</w:t>
      </w:r>
      <w:r w:rsidR="002E289D" w:rsidRPr="00C4182A">
        <w:rPr>
          <w:rFonts w:ascii="Times New Roman" w:hAnsi="Times New Roman" w:cs="Times New Roman"/>
          <w:sz w:val="24"/>
          <w:szCs w:val="24"/>
        </w:rPr>
        <w:t>002)</w:t>
      </w:r>
      <w:r w:rsidR="00B522B1">
        <w:rPr>
          <w:rFonts w:ascii="Times New Roman" w:hAnsi="Times New Roman" w:cs="Times New Roman"/>
          <w:sz w:val="24"/>
          <w:szCs w:val="24"/>
        </w:rPr>
        <w:t>.</w:t>
      </w:r>
    </w:p>
    <w:p w:rsidR="000D7A6A" w:rsidRDefault="000D7A6A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0" w:name="_Toc472672104"/>
      <w:bookmarkEnd w:id="29"/>
      <w:r w:rsidRPr="000D7A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TARTIŞMA</w:t>
      </w:r>
      <w:bookmarkEnd w:id="30"/>
    </w:p>
    <w:p w:rsidR="00084DCD" w:rsidRDefault="00084DCD" w:rsidP="00961280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084DCD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11B9" w:rsidRDefault="00CA4F84" w:rsidP="00961280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Psikoeğitim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öncesi değerlendirmede </w:t>
      </w:r>
      <w:r w:rsidR="00065281">
        <w:rPr>
          <w:rFonts w:ascii="Times New Roman" w:eastAsia="Times New Roman" w:hAnsi="Times New Roman" w:cs="Times New Roman"/>
          <w:bCs/>
          <w:sz w:val="24"/>
          <w:szCs w:val="24"/>
        </w:rPr>
        <w:t xml:space="preserve">her iki grubun klinik puanları arasında fark görülmemişken; </w:t>
      </w:r>
      <w:proofErr w:type="spellStart"/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5281">
        <w:rPr>
          <w:rFonts w:ascii="Times New Roman" w:eastAsia="Times New Roman" w:hAnsi="Times New Roman" w:cs="Times New Roman"/>
          <w:bCs/>
          <w:sz w:val="24"/>
          <w:szCs w:val="24"/>
        </w:rPr>
        <w:t>uygulanacak</w:t>
      </w:r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hastaların </w:t>
      </w:r>
      <w:proofErr w:type="spellStart"/>
      <w:r w:rsidR="00A94965">
        <w:rPr>
          <w:rFonts w:ascii="Times New Roman" w:eastAsia="Times New Roman" w:hAnsi="Times New Roman" w:cs="Times New Roman"/>
          <w:bCs/>
          <w:sz w:val="24"/>
          <w:szCs w:val="24"/>
        </w:rPr>
        <w:t>içgörü</w:t>
      </w:r>
      <w:proofErr w:type="spellEnd"/>
      <w:r w:rsidR="00A94965">
        <w:rPr>
          <w:rFonts w:ascii="Times New Roman" w:eastAsia="Times New Roman" w:hAnsi="Times New Roman" w:cs="Times New Roman"/>
          <w:bCs/>
          <w:sz w:val="24"/>
          <w:szCs w:val="24"/>
        </w:rPr>
        <w:t xml:space="preserve"> düzeyleri kontrol grubuna</w:t>
      </w:r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göre daha düşük </w:t>
      </w:r>
      <w:r w:rsidR="00A94965">
        <w:rPr>
          <w:rFonts w:ascii="Times New Roman" w:eastAsia="Times New Roman" w:hAnsi="Times New Roman" w:cs="Times New Roman"/>
          <w:bCs/>
          <w:sz w:val="24"/>
          <w:szCs w:val="24"/>
        </w:rPr>
        <w:t>bulunmuştur</w:t>
      </w:r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E6218">
        <w:rPr>
          <w:rFonts w:ascii="Times New Roman" w:eastAsia="Times New Roman" w:hAnsi="Times New Roman" w:cs="Times New Roman"/>
          <w:bCs/>
          <w:sz w:val="24"/>
          <w:szCs w:val="24"/>
        </w:rPr>
        <w:t xml:space="preserve">İki grubun klinik puanları arasında anlamlı bir fark olmamasına rağmen </w:t>
      </w:r>
      <w:proofErr w:type="spellStart"/>
      <w:r w:rsidR="009E6218">
        <w:rPr>
          <w:rFonts w:ascii="Times New Roman" w:eastAsia="Times New Roman" w:hAnsi="Times New Roman" w:cs="Times New Roman"/>
          <w:bCs/>
          <w:sz w:val="24"/>
          <w:szCs w:val="24"/>
        </w:rPr>
        <w:t>içgörü</w:t>
      </w:r>
      <w:proofErr w:type="spellEnd"/>
      <w:r w:rsidR="009E6218">
        <w:rPr>
          <w:rFonts w:ascii="Times New Roman" w:eastAsia="Times New Roman" w:hAnsi="Times New Roman" w:cs="Times New Roman"/>
          <w:bCs/>
          <w:sz w:val="24"/>
          <w:szCs w:val="24"/>
        </w:rPr>
        <w:t xml:space="preserve"> puanları arasındaki farklılık </w:t>
      </w:r>
      <w:proofErr w:type="spellStart"/>
      <w:r w:rsidR="009E6218" w:rsidRPr="000D7A6A">
        <w:rPr>
          <w:rFonts w:ascii="Times New Roman" w:eastAsia="Times New Roman" w:hAnsi="Times New Roman" w:cs="Times New Roman"/>
          <w:bCs/>
          <w:sz w:val="24"/>
          <w:szCs w:val="24"/>
        </w:rPr>
        <w:t>içgörünün</w:t>
      </w:r>
      <w:proofErr w:type="spellEnd"/>
      <w:r w:rsidR="009E6218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belirti düzeyiyle</w:t>
      </w:r>
      <w:r w:rsidR="00065281">
        <w:rPr>
          <w:rFonts w:ascii="Times New Roman" w:eastAsia="Times New Roman" w:hAnsi="Times New Roman" w:cs="Times New Roman"/>
          <w:bCs/>
          <w:sz w:val="24"/>
          <w:szCs w:val="24"/>
        </w:rPr>
        <w:t xml:space="preserve"> direkt</w:t>
      </w:r>
      <w:r w:rsidR="009E6218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ilişkili olmadığı görüşünü desteklemektedir. </w:t>
      </w:r>
      <w:proofErr w:type="spellStart"/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>Bipolar</w:t>
      </w:r>
      <w:proofErr w:type="spellEnd"/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bozukluğu olan hastalarda atak dışında </w:t>
      </w:r>
      <w:proofErr w:type="spellStart"/>
      <w:r w:rsidR="009E6218">
        <w:rPr>
          <w:rFonts w:ascii="Times New Roman" w:eastAsia="Times New Roman" w:hAnsi="Times New Roman" w:cs="Times New Roman"/>
          <w:bCs/>
          <w:sz w:val="24"/>
          <w:szCs w:val="24"/>
        </w:rPr>
        <w:t>remisyon</w:t>
      </w:r>
      <w:proofErr w:type="spellEnd"/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dönemlerinde de </w:t>
      </w:r>
      <w:r w:rsidR="009E6218">
        <w:rPr>
          <w:rFonts w:ascii="Times New Roman" w:eastAsia="Times New Roman" w:hAnsi="Times New Roman" w:cs="Times New Roman"/>
          <w:bCs/>
          <w:sz w:val="24"/>
          <w:szCs w:val="24"/>
        </w:rPr>
        <w:t xml:space="preserve">düşük </w:t>
      </w:r>
      <w:proofErr w:type="spellStart"/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>içgörü</w:t>
      </w:r>
      <w:proofErr w:type="spellEnd"/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6218">
        <w:rPr>
          <w:rFonts w:ascii="Times New Roman" w:eastAsia="Times New Roman" w:hAnsi="Times New Roman" w:cs="Times New Roman"/>
          <w:bCs/>
          <w:sz w:val="24"/>
          <w:szCs w:val="24"/>
        </w:rPr>
        <w:t>görülebilmektedir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0AF8" w:rsidRPr="00C70AF8">
        <w:rPr>
          <w:rFonts w:ascii="Times New Roman" w:eastAsia="Times New Roman" w:hAnsi="Times New Roman" w:cs="Times New Roman"/>
          <w:noProof/>
          <w:sz w:val="24"/>
          <w:szCs w:val="24"/>
        </w:rPr>
        <w:t>(Yen,</w:t>
      </w:r>
      <w:r w:rsidR="008E75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Chen, Ko, Yen</w:t>
      </w:r>
      <w:r w:rsidR="00B522B1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8E75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E75B6" w:rsidRPr="008E75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&amp; </w:t>
      </w:r>
      <w:r w:rsidR="008E75B6">
        <w:rPr>
          <w:rFonts w:ascii="Times New Roman" w:eastAsia="Times New Roman" w:hAnsi="Times New Roman" w:cs="Times New Roman"/>
          <w:noProof/>
          <w:sz w:val="24"/>
          <w:szCs w:val="24"/>
        </w:rPr>
        <w:t>Huang,</w:t>
      </w:r>
      <w:r w:rsidR="00C70AF8" w:rsidRPr="00C70A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2004)</w:t>
      </w:r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36E5D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>sikoeğitim</w:t>
      </w:r>
      <w:proofErr w:type="spellEnd"/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grubunda </w:t>
      </w:r>
      <w:proofErr w:type="spellStart"/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>içgörünün</w:t>
      </w:r>
      <w:proofErr w:type="spellEnd"/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kontrol grubuna göre </w:t>
      </w:r>
      <w:r w:rsidR="00814743">
        <w:rPr>
          <w:rFonts w:ascii="Times New Roman" w:eastAsia="Times New Roman" w:hAnsi="Times New Roman" w:cs="Times New Roman"/>
          <w:bCs/>
          <w:sz w:val="24"/>
          <w:szCs w:val="24"/>
        </w:rPr>
        <w:t>düşük olması</w:t>
      </w:r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4743">
        <w:rPr>
          <w:rFonts w:ascii="Times New Roman" w:eastAsia="Times New Roman" w:hAnsi="Times New Roman" w:cs="Times New Roman"/>
          <w:bCs/>
          <w:sz w:val="24"/>
          <w:szCs w:val="24"/>
        </w:rPr>
        <w:t>bu grupt</w:t>
      </w:r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a yer alan iki hastanın </w:t>
      </w:r>
      <w:r w:rsidR="00536E5D">
        <w:rPr>
          <w:rFonts w:ascii="Times New Roman" w:eastAsia="Times New Roman" w:hAnsi="Times New Roman" w:cs="Times New Roman"/>
          <w:bCs/>
          <w:sz w:val="24"/>
          <w:szCs w:val="24"/>
        </w:rPr>
        <w:t>çok</w:t>
      </w:r>
      <w:r w:rsidR="00D97CDD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düşük puan </w:t>
      </w:r>
      <w:r w:rsidR="00B522B1">
        <w:rPr>
          <w:rFonts w:ascii="Times New Roman" w:eastAsia="Times New Roman" w:hAnsi="Times New Roman" w:cs="Times New Roman"/>
          <w:bCs/>
          <w:sz w:val="24"/>
          <w:szCs w:val="24"/>
        </w:rPr>
        <w:t xml:space="preserve">(4 ve 6 puan) </w:t>
      </w:r>
      <w:r w:rsidR="00D97CDD" w:rsidRPr="000D7A6A">
        <w:rPr>
          <w:rFonts w:ascii="Times New Roman" w:eastAsia="Times New Roman" w:hAnsi="Times New Roman" w:cs="Times New Roman"/>
          <w:bCs/>
          <w:sz w:val="24"/>
          <w:szCs w:val="24"/>
        </w:rPr>
        <w:t>alma</w:t>
      </w:r>
      <w:r w:rsidR="00D97CDD">
        <w:rPr>
          <w:rFonts w:ascii="Times New Roman" w:eastAsia="Times New Roman" w:hAnsi="Times New Roman" w:cs="Times New Roman"/>
          <w:bCs/>
          <w:sz w:val="24"/>
          <w:szCs w:val="24"/>
        </w:rPr>
        <w:t xml:space="preserve">sıyla </w:t>
      </w:r>
      <w:r w:rsidR="00E37E19">
        <w:rPr>
          <w:rFonts w:ascii="Times New Roman" w:eastAsia="Times New Roman" w:hAnsi="Times New Roman" w:cs="Times New Roman"/>
          <w:bCs/>
          <w:sz w:val="24"/>
          <w:szCs w:val="24"/>
        </w:rPr>
        <w:t>ilişkili</w:t>
      </w:r>
      <w:r w:rsidR="00536E5D">
        <w:rPr>
          <w:rFonts w:ascii="Times New Roman" w:eastAsia="Times New Roman" w:hAnsi="Times New Roman" w:cs="Times New Roman"/>
          <w:bCs/>
          <w:sz w:val="24"/>
          <w:szCs w:val="24"/>
        </w:rPr>
        <w:t>dir.</w:t>
      </w:r>
      <w:r w:rsidR="00D97CDD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07EC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AD5E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De </w:t>
      </w:r>
      <w:r w:rsidR="00AD5E31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Assis </w:t>
      </w:r>
      <w:r w:rsidR="00AD5E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ve ark., 2015; </w:t>
      </w:r>
      <w:r w:rsidR="00CD099D" w:rsidRPr="00CD099D">
        <w:rPr>
          <w:rFonts w:ascii="Times New Roman" w:eastAsia="Times New Roman" w:hAnsi="Times New Roman" w:cs="Times New Roman"/>
          <w:noProof/>
          <w:sz w:val="24"/>
          <w:szCs w:val="24"/>
        </w:rPr>
        <w:t>Yen ve ark., 2004</w:t>
      </w:r>
      <w:r w:rsidR="002C5399" w:rsidRPr="002C5399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0D7A6A" w:rsidRPr="000D7A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A67C1" w:rsidRPr="00FA67C1" w:rsidRDefault="00FA67C1" w:rsidP="00961280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Çalışmamızda 16 haftalık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programı sürecinde,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grubundaki hastalarda HAM-D ve YMRS puanlarında anlamlı değişim olmadığı</w:t>
      </w:r>
      <w:r w:rsidR="00BB50A6">
        <w:rPr>
          <w:rFonts w:ascii="Times New Roman" w:eastAsia="Times New Roman" w:hAnsi="Times New Roman" w:cs="Times New Roman"/>
          <w:bCs/>
          <w:sz w:val="24"/>
          <w:szCs w:val="24"/>
        </w:rPr>
        <w:t xml:space="preserve"> ancak kontrol grubunda her iki ölçek puanında </w:t>
      </w:r>
      <w:r w:rsidR="007177C5">
        <w:rPr>
          <w:rFonts w:ascii="Times New Roman" w:eastAsia="Times New Roman" w:hAnsi="Times New Roman" w:cs="Times New Roman"/>
          <w:bCs/>
          <w:sz w:val="24"/>
          <w:szCs w:val="24"/>
        </w:rPr>
        <w:t>istatiksel olarak</w:t>
      </w:r>
      <w:r w:rsidR="00BB50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77C5">
        <w:rPr>
          <w:rFonts w:ascii="Times New Roman" w:eastAsia="Times New Roman" w:hAnsi="Times New Roman" w:cs="Times New Roman"/>
          <w:bCs/>
          <w:sz w:val="24"/>
          <w:szCs w:val="24"/>
        </w:rPr>
        <w:t>yükselme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olduğu saptanmıştır. </w:t>
      </w:r>
      <w:r w:rsidR="00A444D3">
        <w:rPr>
          <w:rFonts w:ascii="Times New Roman" w:eastAsia="Times New Roman" w:hAnsi="Times New Roman" w:cs="Times New Roman"/>
          <w:bCs/>
          <w:sz w:val="24"/>
          <w:szCs w:val="24"/>
        </w:rPr>
        <w:t xml:space="preserve">Önceki çalışmalarda </w:t>
      </w:r>
      <w:proofErr w:type="spellStart"/>
      <w:r w:rsidR="00A444D3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sikoeğitimin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daha çok mani 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yinelemeleri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ni önlemede etkili olduğu </w:t>
      </w:r>
      <w:r w:rsidR="00A444D3">
        <w:rPr>
          <w:rFonts w:ascii="Times New Roman" w:eastAsia="Times New Roman" w:hAnsi="Times New Roman" w:cs="Times New Roman"/>
          <w:bCs/>
          <w:sz w:val="24"/>
          <w:szCs w:val="24"/>
        </w:rPr>
        <w:t>belirtilmiştir;</w:t>
      </w:r>
      <w:r w:rsidR="007177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44D3">
        <w:rPr>
          <w:rFonts w:ascii="Times New Roman" w:eastAsia="Times New Roman" w:hAnsi="Times New Roman" w:cs="Times New Roman"/>
          <w:bCs/>
          <w:sz w:val="24"/>
          <w:szCs w:val="24"/>
        </w:rPr>
        <w:t xml:space="preserve">bununla beraber bu çalışmanın süresi </w:t>
      </w:r>
      <w:proofErr w:type="spellStart"/>
      <w:r w:rsidR="00A444D3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sikoeğitimin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44D3">
        <w:rPr>
          <w:rFonts w:ascii="Times New Roman" w:eastAsia="Times New Roman" w:hAnsi="Times New Roman" w:cs="Times New Roman"/>
          <w:bCs/>
          <w:sz w:val="24"/>
          <w:szCs w:val="24"/>
        </w:rPr>
        <w:t xml:space="preserve">bu etkisini değerlendirebilmek için </w:t>
      </w:r>
      <w:r w:rsidR="006D00ED">
        <w:rPr>
          <w:rFonts w:ascii="Times New Roman" w:eastAsia="Times New Roman" w:hAnsi="Times New Roman" w:cs="Times New Roman"/>
          <w:bCs/>
          <w:sz w:val="24"/>
          <w:szCs w:val="24"/>
        </w:rPr>
        <w:t>yeterli değildir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00ED">
        <w:rPr>
          <w:rFonts w:ascii="Times New Roman" w:eastAsia="Times New Roman" w:hAnsi="Times New Roman" w:cs="Times New Roman"/>
          <w:noProof/>
          <w:sz w:val="24"/>
          <w:szCs w:val="24"/>
        </w:rPr>
        <w:t>(Miklowitz</w:t>
      </w:r>
      <w:r w:rsidR="007E647E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A444D3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2008)</w:t>
      </w:r>
      <w:r w:rsidR="00A444D3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A3ABA">
        <w:rPr>
          <w:rFonts w:ascii="Times New Roman" w:eastAsia="Times New Roman" w:hAnsi="Times New Roman" w:cs="Times New Roman"/>
          <w:bCs/>
          <w:sz w:val="24"/>
          <w:szCs w:val="24"/>
        </w:rPr>
        <w:t xml:space="preserve">Depresif ve </w:t>
      </w:r>
      <w:proofErr w:type="spellStart"/>
      <w:r w:rsidR="006A3ABA">
        <w:rPr>
          <w:rFonts w:ascii="Times New Roman" w:eastAsia="Times New Roman" w:hAnsi="Times New Roman" w:cs="Times New Roman"/>
          <w:bCs/>
          <w:sz w:val="24"/>
          <w:szCs w:val="24"/>
        </w:rPr>
        <w:t>manik</w:t>
      </w:r>
      <w:proofErr w:type="spellEnd"/>
      <w:r w:rsidR="006A3ABA">
        <w:rPr>
          <w:rFonts w:ascii="Times New Roman" w:eastAsia="Times New Roman" w:hAnsi="Times New Roman" w:cs="Times New Roman"/>
          <w:bCs/>
          <w:sz w:val="24"/>
          <w:szCs w:val="24"/>
        </w:rPr>
        <w:t xml:space="preserve"> belirti şiddetinde yükselme olmaması </w:t>
      </w:r>
      <w:proofErr w:type="spellStart"/>
      <w:r w:rsidR="006A3ABA">
        <w:rPr>
          <w:rFonts w:ascii="Times New Roman" w:eastAsia="Times New Roman" w:hAnsi="Times New Roman" w:cs="Times New Roman"/>
          <w:bCs/>
          <w:sz w:val="24"/>
          <w:szCs w:val="24"/>
        </w:rPr>
        <w:t>psikoeğitimin</w:t>
      </w:r>
      <w:proofErr w:type="spellEnd"/>
      <w:r w:rsidR="006A3A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16 </w:t>
      </w:r>
      <w:r w:rsidR="006A3ABA">
        <w:rPr>
          <w:rFonts w:ascii="Times New Roman" w:eastAsia="Times New Roman" w:hAnsi="Times New Roman" w:cs="Times New Roman"/>
          <w:bCs/>
          <w:sz w:val="24"/>
          <w:szCs w:val="24"/>
        </w:rPr>
        <w:t>seansında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yapıl</w:t>
      </w:r>
      <w:r w:rsidR="006A3ABA">
        <w:rPr>
          <w:rFonts w:ascii="Times New Roman" w:eastAsia="Times New Roman" w:hAnsi="Times New Roman" w:cs="Times New Roman"/>
          <w:bCs/>
          <w:sz w:val="24"/>
          <w:szCs w:val="24"/>
        </w:rPr>
        <w:t xml:space="preserve">an müdahalelerin </w:t>
      </w:r>
      <w:r w:rsidR="00E90C81">
        <w:rPr>
          <w:rFonts w:ascii="Times New Roman" w:eastAsia="Times New Roman" w:hAnsi="Times New Roman" w:cs="Times New Roman"/>
          <w:bCs/>
          <w:sz w:val="24"/>
          <w:szCs w:val="24"/>
        </w:rPr>
        <w:t xml:space="preserve">hastaların </w:t>
      </w:r>
      <w:r w:rsidR="006A3ABA">
        <w:rPr>
          <w:rFonts w:ascii="Times New Roman" w:eastAsia="Times New Roman" w:hAnsi="Times New Roman" w:cs="Times New Roman"/>
          <w:bCs/>
          <w:sz w:val="24"/>
          <w:szCs w:val="24"/>
        </w:rPr>
        <w:t xml:space="preserve">tedaviye uyumunu arttırarak 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mevcut kalıntı belirtilerin kötüleşmesini </w:t>
      </w:r>
      <w:r w:rsidR="006A3ABA">
        <w:rPr>
          <w:rFonts w:ascii="Times New Roman" w:eastAsia="Times New Roman" w:hAnsi="Times New Roman" w:cs="Times New Roman"/>
          <w:bCs/>
          <w:sz w:val="24"/>
          <w:szCs w:val="24"/>
        </w:rPr>
        <w:t xml:space="preserve">önlemesi </w:t>
      </w:r>
      <w:r w:rsidR="00E90C81">
        <w:rPr>
          <w:rFonts w:ascii="Times New Roman" w:eastAsia="Times New Roman" w:hAnsi="Times New Roman" w:cs="Times New Roman"/>
          <w:bCs/>
          <w:sz w:val="24"/>
          <w:szCs w:val="24"/>
        </w:rPr>
        <w:t>ile ilişkili olabilir</w:t>
      </w:r>
      <w:r w:rsidR="00AD5E3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müdahalesinde hastaların hastalığı tanıyıp anlaması, tedavi sürecine aktif katılımının sağlanması, baş etme becerilerinin geliştirilmesi gibi kazanımlar olmaktadır</w:t>
      </w:r>
      <w:r w:rsidR="006A3A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5399" w:rsidRPr="002C5399">
        <w:rPr>
          <w:rFonts w:ascii="Times New Roman" w:eastAsia="Times New Roman" w:hAnsi="Times New Roman" w:cs="Times New Roman"/>
          <w:noProof/>
          <w:sz w:val="24"/>
          <w:szCs w:val="24"/>
        </w:rPr>
        <w:t>(Rouget</w:t>
      </w:r>
      <w:r w:rsidR="00C1255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12551" w:rsidRPr="00C1255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&amp; </w:t>
      </w:r>
      <w:r w:rsidR="00C12551">
        <w:rPr>
          <w:rFonts w:ascii="Times New Roman" w:eastAsia="Times New Roman" w:hAnsi="Times New Roman" w:cs="Times New Roman"/>
          <w:noProof/>
          <w:sz w:val="24"/>
          <w:szCs w:val="24"/>
        </w:rPr>
        <w:t>Augry</w:t>
      </w:r>
      <w:r w:rsidR="002C5399" w:rsidRPr="002C5399">
        <w:rPr>
          <w:rFonts w:ascii="Times New Roman" w:eastAsia="Times New Roman" w:hAnsi="Times New Roman" w:cs="Times New Roman"/>
          <w:noProof/>
          <w:sz w:val="24"/>
          <w:szCs w:val="24"/>
        </w:rPr>
        <w:t>, 2007)</w:t>
      </w:r>
      <w:r w:rsidR="006A3AB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Başa çıkma becerilerinin </w:t>
      </w:r>
      <w:r w:rsidR="00CA7E45">
        <w:rPr>
          <w:rFonts w:ascii="Times New Roman" w:eastAsia="Times New Roman" w:hAnsi="Times New Roman" w:cs="Times New Roman"/>
          <w:bCs/>
          <w:sz w:val="24"/>
          <w:szCs w:val="24"/>
        </w:rPr>
        <w:t>geliştirilmesinin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36E7">
        <w:rPr>
          <w:rFonts w:ascii="Times New Roman" w:eastAsia="Times New Roman" w:hAnsi="Times New Roman" w:cs="Times New Roman"/>
          <w:bCs/>
          <w:sz w:val="24"/>
          <w:szCs w:val="24"/>
        </w:rPr>
        <w:t>bir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ay gibi kısa sürede </w:t>
      </w:r>
      <w:r w:rsidR="000936E7">
        <w:rPr>
          <w:rFonts w:ascii="Times New Roman" w:eastAsia="Times New Roman" w:hAnsi="Times New Roman" w:cs="Times New Roman"/>
          <w:bCs/>
          <w:sz w:val="24"/>
          <w:szCs w:val="24"/>
        </w:rPr>
        <w:t xml:space="preserve">dahi 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eşik altı depresif belirtilerin azaltılmasında</w:t>
      </w:r>
      <w:r w:rsidR="005E31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36E7">
        <w:rPr>
          <w:rFonts w:ascii="Times New Roman" w:eastAsia="Times New Roman" w:hAnsi="Times New Roman" w:cs="Times New Roman"/>
          <w:bCs/>
          <w:sz w:val="24"/>
          <w:szCs w:val="24"/>
        </w:rPr>
        <w:t>ya da</w:t>
      </w:r>
      <w:r w:rsidR="005E31D6">
        <w:rPr>
          <w:rFonts w:ascii="Times New Roman" w:eastAsia="Times New Roman" w:hAnsi="Times New Roman" w:cs="Times New Roman"/>
          <w:bCs/>
          <w:sz w:val="24"/>
          <w:szCs w:val="24"/>
        </w:rPr>
        <w:t xml:space="preserve"> depresif belirtilerin </w:t>
      </w:r>
      <w:r w:rsidR="000936E7">
        <w:rPr>
          <w:rFonts w:ascii="Times New Roman" w:eastAsia="Times New Roman" w:hAnsi="Times New Roman" w:cs="Times New Roman"/>
          <w:bCs/>
          <w:sz w:val="24"/>
          <w:szCs w:val="24"/>
        </w:rPr>
        <w:t xml:space="preserve">kötüleşmesini önlemede 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etkili olduğu gösterilmiştir</w:t>
      </w:r>
      <w:r w:rsidR="00B942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5399" w:rsidRPr="002C5399">
        <w:rPr>
          <w:rFonts w:ascii="Times New Roman" w:eastAsia="Times New Roman" w:hAnsi="Times New Roman" w:cs="Times New Roman"/>
          <w:noProof/>
          <w:sz w:val="24"/>
          <w:szCs w:val="24"/>
        </w:rPr>
        <w:t>(Dam</w:t>
      </w:r>
      <w:r w:rsidR="0091366F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2C5399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1366F">
        <w:rPr>
          <w:rFonts w:ascii="Times New Roman" w:eastAsia="Times New Roman" w:hAnsi="Times New Roman" w:cs="Times New Roman"/>
          <w:noProof/>
          <w:sz w:val="24"/>
          <w:szCs w:val="24"/>
        </w:rPr>
        <w:t>Hosman</w:t>
      </w:r>
      <w:r w:rsidR="002C5399" w:rsidRPr="002C5399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91366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1366F" w:rsidRPr="0091366F">
        <w:rPr>
          <w:rFonts w:ascii="Times New Roman" w:eastAsia="Times New Roman" w:hAnsi="Times New Roman" w:cs="Times New Roman"/>
          <w:noProof/>
          <w:sz w:val="24"/>
          <w:szCs w:val="24"/>
        </w:rPr>
        <w:t>Hoogduin</w:t>
      </w:r>
      <w:r w:rsidR="002873B2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91366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&amp; Schaap,</w:t>
      </w:r>
      <w:r w:rsidR="002C5399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2003)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. Bu </w:t>
      </w:r>
      <w:proofErr w:type="gram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terapi</w:t>
      </w:r>
      <w:proofErr w:type="gram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programında farklı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psikososyal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müdahale yöntemlerinin (aile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psikoeğitimi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, uyku saatlerinin ve sosyal ritimlerin düzenlenmesi gibi) birlikte kullanılmış olmasının da </w:t>
      </w:r>
      <w:r w:rsidR="00AF50B1" w:rsidRPr="00FA67C1">
        <w:rPr>
          <w:rFonts w:ascii="Times New Roman" w:eastAsia="Times New Roman" w:hAnsi="Times New Roman" w:cs="Times New Roman"/>
          <w:bCs/>
          <w:sz w:val="24"/>
          <w:szCs w:val="24"/>
        </w:rPr>
        <w:t>erken dönemde</w:t>
      </w:r>
      <w:r w:rsidR="00AF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klinik belirtilerin </w:t>
      </w:r>
      <w:proofErr w:type="spellStart"/>
      <w:r w:rsidR="00AF50B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="00AF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grubunda</w:t>
      </w:r>
      <w:r w:rsidR="00B36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7E45">
        <w:rPr>
          <w:rFonts w:ascii="Times New Roman" w:eastAsia="Times New Roman" w:hAnsi="Times New Roman" w:cs="Times New Roman"/>
          <w:bCs/>
          <w:sz w:val="24"/>
          <w:szCs w:val="24"/>
        </w:rPr>
        <w:t>fark</w:t>
      </w:r>
      <w:r w:rsidR="00AF50B1">
        <w:rPr>
          <w:rFonts w:ascii="Times New Roman" w:eastAsia="Times New Roman" w:hAnsi="Times New Roman" w:cs="Times New Roman"/>
          <w:bCs/>
          <w:sz w:val="24"/>
          <w:szCs w:val="24"/>
        </w:rPr>
        <w:t>lılık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gö</w:t>
      </w:r>
      <w:r w:rsidR="00AF50B1">
        <w:rPr>
          <w:rFonts w:ascii="Times New Roman" w:eastAsia="Times New Roman" w:hAnsi="Times New Roman" w:cs="Times New Roman"/>
          <w:bCs/>
          <w:sz w:val="24"/>
          <w:szCs w:val="24"/>
        </w:rPr>
        <w:t>stermesinde</w:t>
      </w:r>
      <w:r w:rsidR="00CA7E45">
        <w:rPr>
          <w:rFonts w:ascii="Times New Roman" w:eastAsia="Times New Roman" w:hAnsi="Times New Roman" w:cs="Times New Roman"/>
          <w:bCs/>
          <w:sz w:val="24"/>
          <w:szCs w:val="24"/>
        </w:rPr>
        <w:t xml:space="preserve"> etkil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CA7E45">
        <w:rPr>
          <w:rFonts w:ascii="Times New Roman" w:eastAsia="Times New Roman" w:hAnsi="Times New Roman" w:cs="Times New Roman"/>
          <w:bCs/>
          <w:sz w:val="24"/>
          <w:szCs w:val="24"/>
        </w:rPr>
        <w:t>olduğu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50B1">
        <w:rPr>
          <w:rFonts w:ascii="Times New Roman" w:eastAsia="Times New Roman" w:hAnsi="Times New Roman" w:cs="Times New Roman"/>
          <w:bCs/>
          <w:sz w:val="24"/>
          <w:szCs w:val="24"/>
        </w:rPr>
        <w:t>düşünülebilir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. Özellikle uykuyla ilişkili olarak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sirkadiyen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ritim düzensizliğinin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duygudurum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ataklarında bir risk faktörü olması</w:t>
      </w:r>
      <w:r w:rsidR="00AF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nedeniyle buna yönelik yapılan</w:t>
      </w:r>
      <w:r w:rsidR="00AF50B1">
        <w:rPr>
          <w:rFonts w:ascii="Times New Roman" w:eastAsia="Times New Roman" w:hAnsi="Times New Roman" w:cs="Times New Roman"/>
          <w:bCs/>
          <w:sz w:val="24"/>
          <w:szCs w:val="24"/>
        </w:rPr>
        <w:t xml:space="preserve"> düzenlemelerin de belirti şiddetinin artmamasında etkisi olmuş olabilir </w:t>
      </w:r>
      <w:r w:rsidR="00AF50B1">
        <w:rPr>
          <w:rFonts w:ascii="Times New Roman" w:eastAsia="Times New Roman" w:hAnsi="Times New Roman" w:cs="Times New Roman"/>
          <w:noProof/>
          <w:sz w:val="24"/>
          <w:szCs w:val="24"/>
        </w:rPr>
        <w:t>(Kasper</w:t>
      </w:r>
      <w:r w:rsidR="005E10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E106A" w:rsidRPr="005E10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&amp; </w:t>
      </w:r>
      <w:r w:rsidR="005E106A">
        <w:rPr>
          <w:rFonts w:ascii="Times New Roman" w:eastAsia="Times New Roman" w:hAnsi="Times New Roman" w:cs="Times New Roman"/>
          <w:noProof/>
          <w:sz w:val="24"/>
          <w:szCs w:val="24"/>
        </w:rPr>
        <w:t>Wehr</w:t>
      </w:r>
      <w:r w:rsidR="001F6019">
        <w:rPr>
          <w:rFonts w:ascii="Times New Roman" w:eastAsia="Times New Roman" w:hAnsi="Times New Roman" w:cs="Times New Roman"/>
          <w:noProof/>
          <w:sz w:val="24"/>
          <w:szCs w:val="24"/>
        </w:rPr>
        <w:t>, 1992;</w:t>
      </w:r>
      <w:r w:rsidR="00AF50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F50B1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Cole </w:t>
      </w:r>
      <w:r w:rsidR="001F6019" w:rsidRPr="001F6019">
        <w:rPr>
          <w:rFonts w:ascii="Times New Roman" w:eastAsia="Times New Roman" w:hAnsi="Times New Roman" w:cs="Times New Roman"/>
          <w:noProof/>
          <w:sz w:val="24"/>
          <w:szCs w:val="24"/>
        </w:rPr>
        <w:t>&amp; Dendukuri</w:t>
      </w:r>
      <w:r w:rsidR="00AF50B1" w:rsidRPr="002C5399">
        <w:rPr>
          <w:rFonts w:ascii="Times New Roman" w:eastAsia="Times New Roman" w:hAnsi="Times New Roman" w:cs="Times New Roman"/>
          <w:noProof/>
          <w:sz w:val="24"/>
          <w:szCs w:val="24"/>
        </w:rPr>
        <w:t>, 2003)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A67C1" w:rsidRPr="00FA67C1" w:rsidRDefault="00932E85" w:rsidP="00961280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Onaltı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haftalık izlem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sonunda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grubunda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çgörü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düzeyinin 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anlamlı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artış gösterdiği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, kontrol grubunda ise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içgörünün</w:t>
      </w:r>
      <w:proofErr w:type="spellEnd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anlamlı </w:t>
      </w:r>
      <w:r w:rsidR="00682334">
        <w:rPr>
          <w:rFonts w:ascii="Times New Roman" w:eastAsia="Times New Roman" w:hAnsi="Times New Roman" w:cs="Times New Roman"/>
          <w:bCs/>
          <w:sz w:val="24"/>
          <w:szCs w:val="24"/>
        </w:rPr>
        <w:t>düzeyde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azaldığı saptanmıştır. Bu bulgu hastalık ve tedavi süreciyle ilgili seanslar sırasında </w:t>
      </w:r>
      <w:r w:rsidR="00682334">
        <w:rPr>
          <w:rFonts w:ascii="Times New Roman" w:eastAsia="Times New Roman" w:hAnsi="Times New Roman" w:cs="Times New Roman"/>
          <w:bCs/>
          <w:sz w:val="24"/>
          <w:szCs w:val="24"/>
        </w:rPr>
        <w:t>hastanın belirtilere farkındalık kazandığı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2334">
        <w:rPr>
          <w:rFonts w:ascii="Times New Roman" w:eastAsia="Times New Roman" w:hAnsi="Times New Roman" w:cs="Times New Roman"/>
          <w:bCs/>
          <w:sz w:val="24"/>
          <w:szCs w:val="24"/>
        </w:rPr>
        <w:t xml:space="preserve">ve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içgörü</w:t>
      </w:r>
      <w:proofErr w:type="spellEnd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düzeyini</w:t>
      </w:r>
      <w:r w:rsidR="00682334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0D7A">
        <w:rPr>
          <w:rFonts w:ascii="Times New Roman" w:eastAsia="Times New Roman" w:hAnsi="Times New Roman" w:cs="Times New Roman"/>
          <w:bCs/>
          <w:sz w:val="24"/>
          <w:szCs w:val="24"/>
        </w:rPr>
        <w:t>arttığı şekli</w:t>
      </w:r>
      <w:r w:rsidR="00682334">
        <w:rPr>
          <w:rFonts w:ascii="Times New Roman" w:eastAsia="Times New Roman" w:hAnsi="Times New Roman" w:cs="Times New Roman"/>
          <w:bCs/>
          <w:sz w:val="24"/>
          <w:szCs w:val="24"/>
        </w:rPr>
        <w:t>nde yorumlanabilir.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0D7A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iteratürde </w:t>
      </w:r>
      <w:proofErr w:type="spellStart"/>
      <w:r w:rsidR="00FA0D7A"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psikoeğitimin</w:t>
      </w:r>
      <w:proofErr w:type="spellEnd"/>
      <w:r w:rsidR="00FA0D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A0D7A" w:rsidRPr="00FA67C1">
        <w:rPr>
          <w:rFonts w:ascii="Times New Roman" w:eastAsia="Times New Roman" w:hAnsi="Times New Roman" w:cs="Times New Roman"/>
          <w:bCs/>
          <w:sz w:val="24"/>
          <w:szCs w:val="24"/>
        </w:rPr>
        <w:t>içgörü</w:t>
      </w:r>
      <w:r w:rsidR="00FA0D7A">
        <w:rPr>
          <w:rFonts w:ascii="Times New Roman" w:eastAsia="Times New Roman" w:hAnsi="Times New Roman" w:cs="Times New Roman"/>
          <w:bCs/>
          <w:sz w:val="24"/>
          <w:szCs w:val="24"/>
        </w:rPr>
        <w:t>yü</w:t>
      </w:r>
      <w:proofErr w:type="spellEnd"/>
      <w:r w:rsidR="00FA0D7A">
        <w:rPr>
          <w:rFonts w:ascii="Times New Roman" w:eastAsia="Times New Roman" w:hAnsi="Times New Roman" w:cs="Times New Roman"/>
          <w:bCs/>
          <w:sz w:val="24"/>
          <w:szCs w:val="24"/>
        </w:rPr>
        <w:t xml:space="preserve"> attırıcı etkisi olduğuna dair çalışmalar bulunmaktadır</w:t>
      </w:r>
      <w:r w:rsidR="00FA0D7A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111A">
        <w:rPr>
          <w:rFonts w:ascii="Times New Roman" w:eastAsia="Times New Roman" w:hAnsi="Times New Roman" w:cs="Times New Roman"/>
          <w:noProof/>
          <w:sz w:val="24"/>
          <w:szCs w:val="24"/>
        </w:rPr>
        <w:t>(Ç</w:t>
      </w:r>
      <w:r w:rsidR="00FA0D7A" w:rsidRPr="002C5399">
        <w:rPr>
          <w:rFonts w:ascii="Times New Roman" w:eastAsia="Times New Roman" w:hAnsi="Times New Roman" w:cs="Times New Roman"/>
          <w:noProof/>
          <w:sz w:val="24"/>
          <w:szCs w:val="24"/>
        </w:rPr>
        <w:t>akır</w:t>
      </w:r>
      <w:r w:rsidR="005D01B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5D01BB" w:rsidRPr="005D01BB">
        <w:rPr>
          <w:rFonts w:ascii="Times New Roman" w:eastAsia="Times New Roman" w:hAnsi="Times New Roman" w:cs="Times New Roman"/>
          <w:noProof/>
          <w:sz w:val="24"/>
          <w:szCs w:val="24"/>
        </w:rPr>
        <w:t>Bensusan</w:t>
      </w:r>
      <w:r w:rsidR="005D01BB">
        <w:rPr>
          <w:rFonts w:ascii="Times New Roman" w:eastAsia="Times New Roman" w:hAnsi="Times New Roman" w:cs="Times New Roman"/>
          <w:noProof/>
          <w:sz w:val="24"/>
          <w:szCs w:val="24"/>
        </w:rPr>
        <w:t>, Akça, Yazıcı,</w:t>
      </w:r>
      <w:r w:rsidR="005D01BB" w:rsidRPr="005D01B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D01BB">
        <w:rPr>
          <w:rFonts w:ascii="Times New Roman" w:eastAsia="Times New Roman" w:hAnsi="Times New Roman" w:cs="Times New Roman"/>
          <w:noProof/>
          <w:sz w:val="24"/>
          <w:szCs w:val="24"/>
        </w:rPr>
        <w:t>2009</w:t>
      </w:r>
      <w:r w:rsidR="00FA0D7A" w:rsidRPr="002C5399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. Grup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psikoeğitiminde</w:t>
      </w:r>
      <w:proofErr w:type="spellEnd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grup üyeleri arasındaki etkileşimin de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A0D7A">
        <w:rPr>
          <w:rFonts w:ascii="Times New Roman" w:eastAsia="Times New Roman" w:hAnsi="Times New Roman" w:cs="Times New Roman"/>
          <w:bCs/>
          <w:sz w:val="24"/>
          <w:szCs w:val="24"/>
        </w:rPr>
        <w:t>çgörü</w:t>
      </w:r>
      <w:proofErr w:type="spellEnd"/>
      <w:r w:rsidR="00FA0D7A">
        <w:rPr>
          <w:rFonts w:ascii="Times New Roman" w:eastAsia="Times New Roman" w:hAnsi="Times New Roman" w:cs="Times New Roman"/>
          <w:bCs/>
          <w:sz w:val="24"/>
          <w:szCs w:val="24"/>
        </w:rPr>
        <w:t xml:space="preserve"> gelişimine katkısı olduğundan </w:t>
      </w:r>
      <w:r w:rsidR="00FA0D7A" w:rsidRPr="00FA67C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grup </w:t>
      </w:r>
      <w:proofErr w:type="spellStart"/>
      <w:r w:rsidR="00FA0D7A"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psikoeğitimi</w:t>
      </w:r>
      <w:proofErr w:type="spellEnd"/>
      <w:r w:rsidR="00FA0D7A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uygulanmasının bireysel uygula</w:t>
      </w:r>
      <w:r w:rsidR="00FA0D7A">
        <w:rPr>
          <w:rFonts w:ascii="Times New Roman" w:eastAsia="Times New Roman" w:hAnsi="Times New Roman" w:cs="Times New Roman"/>
          <w:bCs/>
          <w:sz w:val="24"/>
          <w:szCs w:val="24"/>
        </w:rPr>
        <w:t>maya göre daha etkili olduğu düşünülmektedir</w:t>
      </w:r>
      <w:r w:rsidR="00FA0D7A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0D7A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(Akdoğan </w:t>
      </w:r>
      <w:r w:rsidR="00765871" w:rsidRPr="0076587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&amp; </w:t>
      </w:r>
      <w:r w:rsidR="00765871">
        <w:rPr>
          <w:rFonts w:ascii="Times New Roman" w:eastAsia="Times New Roman" w:hAnsi="Times New Roman" w:cs="Times New Roman"/>
          <w:noProof/>
          <w:sz w:val="24"/>
          <w:szCs w:val="24"/>
        </w:rPr>
        <w:t>Türküm</w:t>
      </w:r>
      <w:r w:rsidR="00FA0D7A" w:rsidRPr="002C5399">
        <w:rPr>
          <w:rFonts w:ascii="Times New Roman" w:eastAsia="Times New Roman" w:hAnsi="Times New Roman" w:cs="Times New Roman"/>
          <w:noProof/>
          <w:sz w:val="24"/>
          <w:szCs w:val="24"/>
        </w:rPr>
        <w:t>, 2014)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uygulanan hastalarda tedavi uyumunda artış olduğu, kontrol grubunda ise tedaviye uyumun değişmediği saptanmıştır. Bu bulgu daha önce yapılmış çalışmalardaki</w:t>
      </w:r>
      <w:r w:rsidR="00D7751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psikoeğitimin</w:t>
      </w:r>
      <w:proofErr w:type="spellEnd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tedavi uyumun</w:t>
      </w:r>
      <w:r w:rsidR="001E7529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7529">
        <w:rPr>
          <w:rFonts w:ascii="Times New Roman" w:eastAsia="Times New Roman" w:hAnsi="Times New Roman" w:cs="Times New Roman"/>
          <w:bCs/>
          <w:sz w:val="24"/>
          <w:szCs w:val="24"/>
        </w:rPr>
        <w:t>arttırdığı verisiyle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uyumludur</w:t>
      </w:r>
      <w:r w:rsidR="00D775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751D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(Peet </w:t>
      </w:r>
      <w:r w:rsidR="00B97D00" w:rsidRPr="00B97D0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&amp; </w:t>
      </w:r>
      <w:r w:rsidR="00B97D00">
        <w:rPr>
          <w:rFonts w:ascii="Times New Roman" w:eastAsia="Times New Roman" w:hAnsi="Times New Roman" w:cs="Times New Roman"/>
          <w:noProof/>
          <w:sz w:val="24"/>
          <w:szCs w:val="24"/>
        </w:rPr>
        <w:t>Harvey, 1991;</w:t>
      </w:r>
      <w:r w:rsidR="009377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25034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(Sajatovic </w:t>
      </w:r>
      <w:r w:rsidR="00724A1E">
        <w:rPr>
          <w:rFonts w:ascii="Times New Roman" w:eastAsia="Times New Roman" w:hAnsi="Times New Roman" w:cs="Times New Roman"/>
          <w:noProof/>
          <w:sz w:val="24"/>
          <w:szCs w:val="24"/>
        </w:rPr>
        <w:t>ve ark.</w:t>
      </w:r>
      <w:r w:rsidR="00A25034" w:rsidRPr="002C5399">
        <w:rPr>
          <w:rFonts w:ascii="Times New Roman" w:eastAsia="Times New Roman" w:hAnsi="Times New Roman" w:cs="Times New Roman"/>
          <w:noProof/>
          <w:sz w:val="24"/>
          <w:szCs w:val="24"/>
        </w:rPr>
        <w:t>, 2009)</w:t>
      </w:r>
      <w:r w:rsidR="00A25034" w:rsidRPr="00FA67C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250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Hastalıkla ilgili </w:t>
      </w:r>
      <w:r w:rsidR="002738C7">
        <w:rPr>
          <w:rFonts w:ascii="Times New Roman" w:eastAsia="Times New Roman" w:hAnsi="Times New Roman" w:cs="Times New Roman"/>
          <w:bCs/>
          <w:sz w:val="24"/>
          <w:szCs w:val="24"/>
        </w:rPr>
        <w:t xml:space="preserve">klinik bilgi edinilmesi 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hastaların ataklar için erken b</w:t>
      </w:r>
      <w:r w:rsidR="001F1FA0">
        <w:rPr>
          <w:rFonts w:ascii="Times New Roman" w:eastAsia="Times New Roman" w:hAnsi="Times New Roman" w:cs="Times New Roman"/>
          <w:bCs/>
          <w:sz w:val="24"/>
          <w:szCs w:val="24"/>
        </w:rPr>
        <w:t>elirtileri daha iyi tanımalarını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, bu belirtiler ortaya çıktığında tedavi için erken başvurmaların</w:t>
      </w:r>
      <w:r w:rsidR="002738C7">
        <w:rPr>
          <w:rFonts w:ascii="Times New Roman" w:eastAsia="Times New Roman" w:hAnsi="Times New Roman" w:cs="Times New Roman"/>
          <w:bCs/>
          <w:sz w:val="24"/>
          <w:szCs w:val="24"/>
        </w:rPr>
        <w:t>ı sağlayabilir</w:t>
      </w:r>
      <w:r w:rsidR="00995A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5034" w:rsidRPr="00FA67C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A25034" w:rsidRPr="00FA67C1">
        <w:rPr>
          <w:rFonts w:ascii="Times New Roman" w:eastAsia="Times New Roman" w:hAnsi="Times New Roman" w:cs="Times New Roman"/>
          <w:bCs/>
          <w:sz w:val="24"/>
          <w:szCs w:val="24"/>
        </w:rPr>
        <w:t>Colom</w:t>
      </w:r>
      <w:proofErr w:type="spellEnd"/>
      <w:r w:rsidR="00A25034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12CD">
        <w:rPr>
          <w:rFonts w:ascii="Times New Roman" w:eastAsia="Times New Roman" w:hAnsi="Times New Roman" w:cs="Times New Roman"/>
          <w:bCs/>
          <w:sz w:val="24"/>
          <w:szCs w:val="24"/>
        </w:rPr>
        <w:t>ve ark</w:t>
      </w:r>
      <w:proofErr w:type="gramStart"/>
      <w:r w:rsidR="00F012C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25034" w:rsidRPr="00FA67C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="00A25034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2003)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. Ek olarak ilaçların etkileri ve yan etkilerinin açıklanması hastaların bu yan etkiler ortaya çıktığında tedaviyi kesmelerini engellemekte v</w:t>
      </w:r>
      <w:r w:rsidR="001D774D">
        <w:rPr>
          <w:rFonts w:ascii="Times New Roman" w:eastAsia="Times New Roman" w:hAnsi="Times New Roman" w:cs="Times New Roman"/>
          <w:bCs/>
          <w:sz w:val="24"/>
          <w:szCs w:val="24"/>
        </w:rPr>
        <w:t>e yan etkiler için çözüm aramalarına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yardımcı </w:t>
      </w:r>
      <w:r w:rsidR="001D2221">
        <w:rPr>
          <w:rFonts w:ascii="Times New Roman" w:eastAsia="Times New Roman" w:hAnsi="Times New Roman" w:cs="Times New Roman"/>
          <w:bCs/>
          <w:sz w:val="24"/>
          <w:szCs w:val="24"/>
        </w:rPr>
        <w:t>olmaktadır</w:t>
      </w:r>
      <w:r w:rsidR="00A25034" w:rsidRPr="00A250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25034">
        <w:rPr>
          <w:rFonts w:ascii="Times New Roman" w:eastAsia="Times New Roman" w:hAnsi="Times New Roman" w:cs="Times New Roman"/>
          <w:noProof/>
          <w:sz w:val="24"/>
          <w:szCs w:val="24"/>
        </w:rPr>
        <w:t>(</w:t>
      </w:r>
      <w:r w:rsidR="00A25034" w:rsidRPr="002C5399">
        <w:rPr>
          <w:rFonts w:ascii="Times New Roman" w:eastAsia="Times New Roman" w:hAnsi="Times New Roman" w:cs="Times New Roman"/>
          <w:noProof/>
          <w:sz w:val="24"/>
          <w:szCs w:val="24"/>
        </w:rPr>
        <w:t>Clarkin</w:t>
      </w:r>
      <w:r w:rsidR="00A25034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A25034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25034" w:rsidRPr="00A25034">
        <w:rPr>
          <w:rFonts w:ascii="Times New Roman" w:eastAsia="Times New Roman" w:hAnsi="Times New Roman" w:cs="Times New Roman"/>
          <w:noProof/>
          <w:sz w:val="24"/>
          <w:szCs w:val="24"/>
        </w:rPr>
        <w:t>Carpenter</w:t>
      </w:r>
      <w:r w:rsidR="00A25034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A250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Hull, Wilner </w:t>
      </w:r>
      <w:r w:rsidR="00A25034" w:rsidRPr="00A250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&amp; </w:t>
      </w:r>
      <w:r w:rsidR="00A25034">
        <w:rPr>
          <w:rFonts w:ascii="Times New Roman" w:eastAsia="Times New Roman" w:hAnsi="Times New Roman" w:cs="Times New Roman"/>
          <w:noProof/>
          <w:sz w:val="24"/>
          <w:szCs w:val="24"/>
        </w:rPr>
        <w:t>Glick, 1998</w:t>
      </w:r>
      <w:r w:rsidR="00A25034" w:rsidRPr="002C5399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E328D">
        <w:rPr>
          <w:rFonts w:ascii="Times New Roman" w:eastAsia="Times New Roman" w:hAnsi="Times New Roman" w:cs="Times New Roman"/>
          <w:bCs/>
          <w:sz w:val="24"/>
          <w:szCs w:val="24"/>
        </w:rPr>
        <w:t xml:space="preserve">Düşük </w:t>
      </w:r>
      <w:proofErr w:type="spellStart"/>
      <w:r w:rsidR="001E328D">
        <w:rPr>
          <w:rFonts w:ascii="Times New Roman" w:eastAsia="Times New Roman" w:hAnsi="Times New Roman" w:cs="Times New Roman"/>
          <w:bCs/>
          <w:sz w:val="24"/>
          <w:szCs w:val="24"/>
        </w:rPr>
        <w:t>içgörü</w:t>
      </w:r>
      <w:proofErr w:type="spellEnd"/>
      <w:r w:rsidR="001E328D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edavi uyumsuzluğu</w:t>
      </w:r>
      <w:r w:rsidR="001E328D">
        <w:rPr>
          <w:rFonts w:ascii="Times New Roman" w:eastAsia="Times New Roman" w:hAnsi="Times New Roman" w:cs="Times New Roman"/>
          <w:bCs/>
          <w:sz w:val="24"/>
          <w:szCs w:val="24"/>
        </w:rPr>
        <w:t xml:space="preserve"> ile ilişkili olduğundan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A0A01"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="00CA0A01">
        <w:rPr>
          <w:rFonts w:ascii="Times New Roman" w:eastAsia="Times New Roman" w:hAnsi="Times New Roman" w:cs="Times New Roman"/>
          <w:bCs/>
          <w:sz w:val="24"/>
          <w:szCs w:val="24"/>
        </w:rPr>
        <w:t xml:space="preserve"> hastalarda farkındalık ve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içgörü</w:t>
      </w:r>
      <w:r w:rsidR="00CA0A01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A170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0A01">
        <w:rPr>
          <w:rFonts w:ascii="Times New Roman" w:eastAsia="Times New Roman" w:hAnsi="Times New Roman" w:cs="Times New Roman"/>
          <w:bCs/>
          <w:sz w:val="24"/>
          <w:szCs w:val="24"/>
        </w:rPr>
        <w:t>iyileşme sağlayarak da tedavi uyumunu arttırabilir</w:t>
      </w:r>
      <w:r w:rsidR="001E32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328D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(Segarra </w:t>
      </w:r>
      <w:r w:rsidR="009C271E">
        <w:rPr>
          <w:rFonts w:ascii="Times New Roman" w:eastAsia="Times New Roman" w:hAnsi="Times New Roman" w:cs="Times New Roman"/>
          <w:noProof/>
          <w:sz w:val="24"/>
          <w:szCs w:val="24"/>
        </w:rPr>
        <w:t>ve ark.</w:t>
      </w:r>
      <w:r w:rsidR="00E94B4E">
        <w:rPr>
          <w:rFonts w:ascii="Times New Roman" w:eastAsia="Times New Roman" w:hAnsi="Times New Roman" w:cs="Times New Roman"/>
          <w:noProof/>
          <w:sz w:val="24"/>
          <w:szCs w:val="24"/>
        </w:rPr>
        <w:t>, 2012</w:t>
      </w:r>
      <w:r w:rsidR="001E328D" w:rsidRPr="002C5399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CA0A0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A67C1" w:rsidRPr="00FA67C1" w:rsidRDefault="00FA67C1" w:rsidP="00961280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Çalışmamızda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grubundaki hastalarda İGD puanlarında kontrol grubuna göre istatistiksel olarak anlamlı bir artış olduğu saptanmıştır. Literatürde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psikoeğitimin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işlevsellik üzerine etkisini araştıran çalışmalara bakıldığında;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Sajatovic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ve ark. </w:t>
      </w:r>
      <w:proofErr w:type="gram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tarafından</w:t>
      </w:r>
      <w:proofErr w:type="gram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yapılan çalışmada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sonrasında yaşam hedefleri programına katılan hastalar ile rutin tedavi alan gruptaki hastalar arasında İGD puanlarında anlamlı farklılık olmadığı saptanmıştır </w:t>
      </w:r>
      <w:r w:rsidR="005B26C4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(Sajatovic </w:t>
      </w:r>
      <w:r w:rsidR="005B26C4" w:rsidRPr="005B26C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ve ark., </w:t>
      </w:r>
      <w:r w:rsidR="005B26C4" w:rsidRPr="002C5399">
        <w:rPr>
          <w:rFonts w:ascii="Times New Roman" w:eastAsia="Times New Roman" w:hAnsi="Times New Roman" w:cs="Times New Roman"/>
          <w:noProof/>
          <w:sz w:val="24"/>
          <w:szCs w:val="24"/>
        </w:rPr>
        <w:t>2009)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Pellegrinelli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ve ark.’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nın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çalışması</w:t>
      </w:r>
      <w:r w:rsidR="00A242E8">
        <w:rPr>
          <w:rFonts w:ascii="Times New Roman" w:eastAsia="Times New Roman" w:hAnsi="Times New Roman" w:cs="Times New Roman"/>
          <w:bCs/>
          <w:sz w:val="24"/>
          <w:szCs w:val="24"/>
        </w:rPr>
        <w:t>nda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3B2">
        <w:rPr>
          <w:rFonts w:ascii="Times New Roman" w:eastAsia="Times New Roman" w:hAnsi="Times New Roman" w:cs="Times New Roman"/>
          <w:bCs/>
          <w:sz w:val="24"/>
          <w:szCs w:val="24"/>
        </w:rPr>
        <w:t>onaltı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42E8">
        <w:rPr>
          <w:rFonts w:ascii="Times New Roman" w:eastAsia="Times New Roman" w:hAnsi="Times New Roman" w:cs="Times New Roman"/>
          <w:bCs/>
          <w:sz w:val="24"/>
          <w:szCs w:val="24"/>
        </w:rPr>
        <w:t xml:space="preserve">seanslık </w:t>
      </w:r>
      <w:proofErr w:type="spellStart"/>
      <w:r w:rsidR="00A242E8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="00A242E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programın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duygudurum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belirtilerinin </w:t>
      </w:r>
      <w:r w:rsidR="00A242E8">
        <w:rPr>
          <w:rFonts w:ascii="Times New Roman" w:eastAsia="Times New Roman" w:hAnsi="Times New Roman" w:cs="Times New Roman"/>
          <w:bCs/>
          <w:sz w:val="24"/>
          <w:szCs w:val="24"/>
        </w:rPr>
        <w:t>ve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psikososyal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işlevselli</w:t>
      </w:r>
      <w:r w:rsidR="00A242E8">
        <w:rPr>
          <w:rFonts w:ascii="Times New Roman" w:eastAsia="Times New Roman" w:hAnsi="Times New Roman" w:cs="Times New Roman"/>
          <w:bCs/>
          <w:sz w:val="24"/>
          <w:szCs w:val="24"/>
        </w:rPr>
        <w:t xml:space="preserve">kte düzelme sağlamamış; ama 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klinik </w:t>
      </w:r>
      <w:proofErr w:type="gram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gram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izle</w:t>
      </w:r>
      <w:r w:rsidR="00A242E8">
        <w:rPr>
          <w:rFonts w:ascii="Times New Roman" w:eastAsia="Times New Roman" w:hAnsi="Times New Roman" w:cs="Times New Roman"/>
          <w:bCs/>
          <w:sz w:val="24"/>
          <w:szCs w:val="24"/>
        </w:rPr>
        <w:t xml:space="preserve">m 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ve yaşam kalitesi</w:t>
      </w:r>
      <w:r w:rsidR="00A242E8">
        <w:rPr>
          <w:rFonts w:ascii="Times New Roman" w:eastAsia="Times New Roman" w:hAnsi="Times New Roman" w:cs="Times New Roman"/>
          <w:bCs/>
          <w:sz w:val="24"/>
          <w:szCs w:val="24"/>
        </w:rPr>
        <w:t xml:space="preserve"> ölçeklerinde 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istatistiksel olarak anlamlı olmayan bir </w:t>
      </w:r>
      <w:r w:rsidR="00A242E8">
        <w:rPr>
          <w:rFonts w:ascii="Times New Roman" w:eastAsia="Times New Roman" w:hAnsi="Times New Roman" w:cs="Times New Roman"/>
          <w:bCs/>
          <w:sz w:val="24"/>
          <w:szCs w:val="24"/>
        </w:rPr>
        <w:t xml:space="preserve">düzelme sağlamıştır </w:t>
      </w:r>
      <w:r w:rsidR="00A242E8" w:rsidRPr="002C5399">
        <w:rPr>
          <w:rFonts w:ascii="Times New Roman" w:eastAsia="Times New Roman" w:hAnsi="Times New Roman" w:cs="Times New Roman"/>
          <w:noProof/>
          <w:sz w:val="24"/>
          <w:szCs w:val="24"/>
        </w:rPr>
        <w:t>(Pellegrinelli</w:t>
      </w:r>
      <w:r w:rsidR="008950A6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A242E8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2013)</w:t>
      </w:r>
      <w:r w:rsidR="001F1F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1FA0">
        <w:rPr>
          <w:rFonts w:ascii="Times New Roman" w:eastAsia="Times New Roman" w:hAnsi="Times New Roman" w:cs="Times New Roman"/>
          <w:bCs/>
          <w:sz w:val="24"/>
          <w:szCs w:val="24"/>
        </w:rPr>
        <w:t>Onaltı</w:t>
      </w:r>
      <w:proofErr w:type="spellEnd"/>
      <w:r w:rsidR="001F1FA0">
        <w:rPr>
          <w:rFonts w:ascii="Times New Roman" w:eastAsia="Times New Roman" w:hAnsi="Times New Roman" w:cs="Times New Roman"/>
          <w:bCs/>
          <w:sz w:val="24"/>
          <w:szCs w:val="24"/>
        </w:rPr>
        <w:t xml:space="preserve"> haftalık bir program uygulandığından b</w:t>
      </w:r>
      <w:r w:rsidR="00855E90">
        <w:rPr>
          <w:rFonts w:ascii="Times New Roman" w:eastAsia="Times New Roman" w:hAnsi="Times New Roman" w:cs="Times New Roman"/>
          <w:bCs/>
          <w:sz w:val="24"/>
          <w:szCs w:val="24"/>
        </w:rPr>
        <w:t>u çalışmanın işlevsellik üzerin</w:t>
      </w:r>
      <w:r w:rsidR="001F1FA0">
        <w:rPr>
          <w:rFonts w:ascii="Times New Roman" w:eastAsia="Times New Roman" w:hAnsi="Times New Roman" w:cs="Times New Roman"/>
          <w:bCs/>
          <w:sz w:val="24"/>
          <w:szCs w:val="24"/>
        </w:rPr>
        <w:t>e olan uzun süreli etkisi</w:t>
      </w:r>
      <w:r w:rsidR="00855E90">
        <w:rPr>
          <w:rFonts w:ascii="Times New Roman" w:eastAsia="Times New Roman" w:hAnsi="Times New Roman" w:cs="Times New Roman"/>
          <w:bCs/>
          <w:sz w:val="24"/>
          <w:szCs w:val="24"/>
        </w:rPr>
        <w:t xml:space="preserve"> değerlendir</w:t>
      </w:r>
      <w:r w:rsidR="001F1FA0">
        <w:rPr>
          <w:rFonts w:ascii="Times New Roman" w:eastAsia="Times New Roman" w:hAnsi="Times New Roman" w:cs="Times New Roman"/>
          <w:bCs/>
          <w:sz w:val="24"/>
          <w:szCs w:val="24"/>
        </w:rPr>
        <w:t xml:space="preserve">ilememiştir. 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Çalışmamızda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Bipolar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Bozukluk İşlevsellik Ölçeğinin duygusal işlevsellik, zihinsel işlevsellik ve cinsel işlevsellik alt ölçeklerinde hem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hem de kontrol grubunda anlamlı farklılık saptanmamıştır. Uyguladığımız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programında 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duygu, düşünce ve ilişkili süreçlerle ve cinsel yaşamla ilgili herhangi bir müdahale bulunmadığından bu alanlarla ilgili değişiklik ortaya çıkmaması olağandır.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İkiuçlu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bozukluk hastalarında yürütücü işlevlere (organizasyon, planlama, zaman yönetimi, dikkat, bellek vb.) yönelik bilişsel iyileştirme (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cognitive</w:t>
      </w:r>
      <w:proofErr w:type="spellEnd"/>
      <w:r w:rsidR="00E415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remediation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) ve depresif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duygudurumunun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kontrolüne yönelik BDT uygulamalarının yararı olabilmektedir</w:t>
      </w:r>
      <w:r w:rsidR="00E415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230F">
        <w:rPr>
          <w:rFonts w:ascii="Times New Roman" w:eastAsia="Times New Roman" w:hAnsi="Times New Roman" w:cs="Times New Roman"/>
          <w:noProof/>
          <w:sz w:val="24"/>
          <w:szCs w:val="24"/>
        </w:rPr>
        <w:t>(Deckersbach ve ark.</w:t>
      </w:r>
      <w:r w:rsidR="00E4159C" w:rsidRPr="002C5399">
        <w:rPr>
          <w:rFonts w:ascii="Times New Roman" w:eastAsia="Times New Roman" w:hAnsi="Times New Roman" w:cs="Times New Roman"/>
          <w:noProof/>
          <w:sz w:val="24"/>
          <w:szCs w:val="24"/>
        </w:rPr>
        <w:t>, 2010)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ve kontrol gruplarında </w:t>
      </w:r>
      <w:proofErr w:type="gramStart"/>
      <w:r w:rsidR="001D774D" w:rsidRPr="00FA67C1">
        <w:rPr>
          <w:rFonts w:ascii="Times New Roman" w:eastAsia="Times New Roman" w:hAnsi="Times New Roman" w:cs="Times New Roman"/>
          <w:bCs/>
          <w:sz w:val="24"/>
          <w:szCs w:val="24"/>
        </w:rPr>
        <w:t>inisiyatif</w:t>
      </w:r>
      <w:proofErr w:type="gramEnd"/>
      <w:r w:rsidR="001D774D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alma puanlarında 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benzer oranlarda artış olduğu saptanmıştır. Her iki grupta da mesleki işlevselliğin artmış olduğu ancak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alanlarda daha belirgin bir artış olduğu saptanmıştır. Perry ve ark. </w:t>
      </w:r>
      <w:proofErr w:type="gramStart"/>
      <w:r w:rsidR="0096100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se</w:t>
      </w:r>
      <w:proofErr w:type="gramEnd"/>
      <w:r w:rsidR="009610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sonrası 18. </w:t>
      </w:r>
      <w:r w:rsidR="00A2213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yda sosyal işlevsellik görüşmesi formuyla yaptıkları değerlendirmede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alanlarda mesleki ve sosyal işlevsellik düzeyinin rutin bakım alanlara göre anlamlı ölçüde yüksek olduğunu saptamıştır</w:t>
      </w:r>
      <w:r w:rsidR="009610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1007" w:rsidRPr="002C539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(Perry, </w:t>
      </w:r>
      <w:r w:rsidR="008F7C67" w:rsidRPr="008F7C67">
        <w:rPr>
          <w:rFonts w:ascii="Times New Roman" w:eastAsia="Times New Roman" w:hAnsi="Times New Roman" w:cs="Times New Roman"/>
          <w:noProof/>
          <w:sz w:val="24"/>
          <w:szCs w:val="24"/>
        </w:rPr>
        <w:t>Tarrier</w:t>
      </w:r>
      <w:r w:rsidR="00E94B4E">
        <w:rPr>
          <w:rFonts w:ascii="Times New Roman" w:eastAsia="Times New Roman" w:hAnsi="Times New Roman" w:cs="Times New Roman"/>
          <w:noProof/>
          <w:sz w:val="24"/>
          <w:szCs w:val="24"/>
        </w:rPr>
        <w:t>, Morriss, McCarthy</w:t>
      </w:r>
      <w:r w:rsidR="0077373C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E94B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&amp;</w:t>
      </w:r>
      <w:r w:rsidR="008F7C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Limb,</w:t>
      </w:r>
      <w:r w:rsidR="008F7C67" w:rsidRPr="008F7C6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61007" w:rsidRPr="002C5399">
        <w:rPr>
          <w:rFonts w:ascii="Times New Roman" w:eastAsia="Times New Roman" w:hAnsi="Times New Roman" w:cs="Times New Roman"/>
          <w:noProof/>
          <w:sz w:val="24"/>
          <w:szCs w:val="24"/>
        </w:rPr>
        <w:t>1999)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. Bu veriler ışığında </w:t>
      </w:r>
      <w:proofErr w:type="spellStart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psikoeğitimin</w:t>
      </w:r>
      <w:proofErr w:type="spellEnd"/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işlevselliğin birden çok alanında </w:t>
      </w:r>
      <w:r w:rsidR="0077373C">
        <w:rPr>
          <w:rFonts w:ascii="Times New Roman" w:eastAsia="Times New Roman" w:hAnsi="Times New Roman" w:cs="Times New Roman"/>
          <w:bCs/>
          <w:sz w:val="24"/>
          <w:szCs w:val="24"/>
        </w:rPr>
        <w:t>düzelme sağladığı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ve bazı alanlarda da işlevsellik kaybını önlediği </w:t>
      </w:r>
      <w:r w:rsidR="00961007">
        <w:rPr>
          <w:rFonts w:ascii="Times New Roman" w:eastAsia="Times New Roman" w:hAnsi="Times New Roman" w:cs="Times New Roman"/>
          <w:bCs/>
          <w:sz w:val="24"/>
          <w:szCs w:val="24"/>
        </w:rPr>
        <w:t>öne sürülebilir</w:t>
      </w:r>
      <w:r w:rsidRPr="00FA67C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6B98" w:rsidRDefault="00C3545F" w:rsidP="002873B2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Çalışmanın kısıtlılıkları olarak</w:t>
      </w:r>
      <w:r w:rsidR="005B233D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örneklem boyutunun küçük olması, </w:t>
      </w:r>
      <w:proofErr w:type="spellStart"/>
      <w:r w:rsidR="005B233D"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psikoeğitimin</w:t>
      </w:r>
      <w:proofErr w:type="spellEnd"/>
      <w:r w:rsidR="005B233D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uzun dönemdeki etkilerini yansıtmıyor olması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olarak söylenebilir. </w:t>
      </w:r>
      <w:r w:rsidR="005E0E58">
        <w:rPr>
          <w:rFonts w:ascii="Times New Roman" w:eastAsia="Times New Roman" w:hAnsi="Times New Roman" w:cs="Times New Roman"/>
          <w:bCs/>
          <w:sz w:val="24"/>
          <w:szCs w:val="24"/>
        </w:rPr>
        <w:t xml:space="preserve">Çalışmanın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avantajları ise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19C9">
        <w:rPr>
          <w:rFonts w:ascii="Times New Roman" w:eastAsia="Times New Roman" w:hAnsi="Times New Roman" w:cs="Times New Roman"/>
          <w:bCs/>
          <w:sz w:val="24"/>
          <w:szCs w:val="24"/>
        </w:rPr>
        <w:t>gr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psikoeğitimin</w:t>
      </w:r>
      <w:proofErr w:type="spellEnd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kısa vadede genel iyilik hali,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içgörü</w:t>
      </w:r>
      <w:proofErr w:type="spellEnd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, tedavi uyumu ve işlevsellik üzerinde olumlu etkileri olduğunu gösteren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ülkemizdeki az sayıda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çalışma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dan biri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olması,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psikoeğitim</w:t>
      </w:r>
      <w:proofErr w:type="spellEnd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programının farklı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psikososyal</w:t>
      </w:r>
      <w:proofErr w:type="spellEnd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müdahaleler ile kombine uygulanmasının yararını destekliyor olmasıdır.</w:t>
      </w:r>
      <w:r w:rsidR="000A19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542A">
        <w:rPr>
          <w:rFonts w:ascii="Times New Roman" w:eastAsia="Times New Roman" w:hAnsi="Times New Roman" w:cs="Times New Roman"/>
          <w:bCs/>
          <w:sz w:val="24"/>
          <w:szCs w:val="24"/>
        </w:rPr>
        <w:t>Ü</w:t>
      </w:r>
      <w:r w:rsidR="002C542A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lkemizde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ikiuçlu</w:t>
      </w:r>
      <w:proofErr w:type="spellEnd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bozuklukta uygulanan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psikososyal</w:t>
      </w:r>
      <w:proofErr w:type="spellEnd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müdahalelerin yaygınlaştırılması ve daha büyük örneklem gru</w:t>
      </w:r>
      <w:r w:rsidR="002C542A">
        <w:rPr>
          <w:rFonts w:ascii="Times New Roman" w:eastAsia="Times New Roman" w:hAnsi="Times New Roman" w:cs="Times New Roman"/>
          <w:bCs/>
          <w:sz w:val="24"/>
          <w:szCs w:val="24"/>
        </w:rPr>
        <w:t>plarında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farklı </w:t>
      </w:r>
      <w:proofErr w:type="spellStart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>psikososyal</w:t>
      </w:r>
      <w:proofErr w:type="spellEnd"/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müdahalelerin etkinliğini</w:t>
      </w:r>
      <w:r w:rsidR="002C542A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FA67C1" w:rsidRPr="00FA67C1">
        <w:rPr>
          <w:rFonts w:ascii="Times New Roman" w:eastAsia="Times New Roman" w:hAnsi="Times New Roman" w:cs="Times New Roman"/>
          <w:bCs/>
          <w:sz w:val="24"/>
          <w:szCs w:val="24"/>
        </w:rPr>
        <w:t xml:space="preserve"> araştır</w:t>
      </w:r>
      <w:r w:rsidR="002C542A">
        <w:rPr>
          <w:rFonts w:ascii="Times New Roman" w:eastAsia="Times New Roman" w:hAnsi="Times New Roman" w:cs="Times New Roman"/>
          <w:bCs/>
          <w:sz w:val="24"/>
          <w:szCs w:val="24"/>
        </w:rPr>
        <w:t>ılması bu konuyla ilgili daha kesin bilgiler edinmemizi sağlayacaktır.</w:t>
      </w:r>
    </w:p>
    <w:p w:rsidR="002873B2" w:rsidRDefault="002873B2" w:rsidP="002873B2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73B2" w:rsidRDefault="002873B2" w:rsidP="002873B2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73B2" w:rsidRDefault="002873B2" w:rsidP="002873B2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6B98" w:rsidRPr="00CD03E4" w:rsidRDefault="00906B98" w:rsidP="00906B9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Kaynaklar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D3B88">
        <w:rPr>
          <w:rFonts w:ascii="Times New Roman" w:hAnsi="Times New Roman"/>
          <w:sz w:val="24"/>
          <w:szCs w:val="24"/>
        </w:rPr>
        <w:t>Akdemir, A</w:t>
      </w:r>
      <w:proofErr w:type="gramStart"/>
      <w:r w:rsidRPr="003D3B88">
        <w:rPr>
          <w:rFonts w:ascii="Times New Roman" w:hAnsi="Times New Roman"/>
          <w:sz w:val="24"/>
          <w:szCs w:val="24"/>
        </w:rPr>
        <w:t>.,</w:t>
      </w:r>
      <w:proofErr w:type="gramEnd"/>
      <w:r w:rsidRPr="003D3B88">
        <w:rPr>
          <w:rFonts w:ascii="Times New Roman" w:hAnsi="Times New Roman"/>
          <w:sz w:val="24"/>
          <w:szCs w:val="24"/>
        </w:rPr>
        <w:t xml:space="preserve"> Örsel, S., </w:t>
      </w:r>
      <w:proofErr w:type="spellStart"/>
      <w:r w:rsidRPr="003D3B88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, İ., </w:t>
      </w:r>
      <w:proofErr w:type="spellStart"/>
      <w:r>
        <w:rPr>
          <w:rFonts w:ascii="Times New Roman" w:hAnsi="Times New Roman"/>
          <w:sz w:val="24"/>
          <w:szCs w:val="24"/>
        </w:rPr>
        <w:t>Türkçapar</w:t>
      </w:r>
      <w:proofErr w:type="spellEnd"/>
      <w:r>
        <w:rPr>
          <w:rFonts w:ascii="Times New Roman" w:hAnsi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/>
          <w:sz w:val="24"/>
          <w:szCs w:val="24"/>
        </w:rPr>
        <w:t>İşcan</w:t>
      </w:r>
      <w:proofErr w:type="spellEnd"/>
      <w:r>
        <w:rPr>
          <w:rFonts w:ascii="Times New Roman" w:hAnsi="Times New Roman"/>
          <w:sz w:val="24"/>
          <w:szCs w:val="24"/>
        </w:rPr>
        <w:t>, N.</w:t>
      </w:r>
      <w:r w:rsidRPr="003D3B88">
        <w:rPr>
          <w:rFonts w:ascii="Times New Roman" w:hAnsi="Times New Roman"/>
          <w:sz w:val="24"/>
          <w:szCs w:val="24"/>
        </w:rPr>
        <w:t xml:space="preserve"> </w:t>
      </w:r>
      <w:r w:rsidRPr="007951D5">
        <w:rPr>
          <w:rFonts w:ascii="Times New Roman" w:hAnsi="Times New Roman"/>
          <w:sz w:val="24"/>
          <w:szCs w:val="24"/>
        </w:rPr>
        <w:t xml:space="preserve">&amp; </w:t>
      </w:r>
      <w:r w:rsidRPr="003D3B88">
        <w:rPr>
          <w:rFonts w:ascii="Times New Roman" w:hAnsi="Times New Roman"/>
          <w:sz w:val="24"/>
          <w:szCs w:val="24"/>
        </w:rPr>
        <w:t xml:space="preserve">Özbay, H. (1996). Hamilton Depresyon Derecelendirme Ölçeğinin Geçerliği, Güvenirliği Ve Klinikte Kullanımı. Psikiyatri Psikoloji </w:t>
      </w:r>
      <w:proofErr w:type="spellStart"/>
      <w:r w:rsidRPr="003D3B88">
        <w:rPr>
          <w:rFonts w:ascii="Times New Roman" w:hAnsi="Times New Roman"/>
          <w:sz w:val="24"/>
          <w:szCs w:val="24"/>
        </w:rPr>
        <w:t>Psikofarmakoloji</w:t>
      </w:r>
      <w:proofErr w:type="spellEnd"/>
      <w:r w:rsidRPr="003D3B88">
        <w:rPr>
          <w:rFonts w:ascii="Times New Roman" w:hAnsi="Times New Roman"/>
          <w:sz w:val="24"/>
          <w:szCs w:val="24"/>
        </w:rPr>
        <w:t xml:space="preserve"> Dergisi, 4(4), 251-259.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Akdoğan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, R. &amp;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Türküm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, A. S. (2014).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Psikolojik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Yardım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Sürecinde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Terapötik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Bir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Hedef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Olarak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İçgörü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76632">
        <w:rPr>
          <w:rFonts w:ascii="Times New Roman" w:hAnsi="Times New Roman"/>
          <w:sz w:val="24"/>
          <w:szCs w:val="24"/>
        </w:rPr>
        <w:t xml:space="preserve">Psikiyatride Güncel </w:t>
      </w:r>
      <w:proofErr w:type="gramStart"/>
      <w:r w:rsidRPr="00276632">
        <w:rPr>
          <w:rFonts w:ascii="Times New Roman" w:hAnsi="Times New Roman"/>
          <w:sz w:val="24"/>
          <w:szCs w:val="24"/>
        </w:rPr>
        <w:t>Yaklaşımlar , 6</w:t>
      </w:r>
      <w:proofErr w:type="gramEnd"/>
      <w:r w:rsidRPr="00276632">
        <w:rPr>
          <w:rFonts w:ascii="Times New Roman" w:hAnsi="Times New Roman"/>
          <w:sz w:val="24"/>
          <w:szCs w:val="24"/>
        </w:rPr>
        <w:t>(4), 375-388.</w:t>
      </w:r>
    </w:p>
    <w:p w:rsidR="00906B98" w:rsidRPr="00276632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1C38">
        <w:rPr>
          <w:rFonts w:ascii="Times New Roman" w:hAnsi="Times New Roman"/>
          <w:sz w:val="24"/>
          <w:szCs w:val="24"/>
        </w:rPr>
        <w:t>American</w:t>
      </w:r>
      <w:proofErr w:type="spellEnd"/>
      <w:r w:rsidRPr="00EC1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C38">
        <w:rPr>
          <w:rFonts w:ascii="Times New Roman" w:hAnsi="Times New Roman"/>
          <w:sz w:val="24"/>
          <w:szCs w:val="24"/>
        </w:rPr>
        <w:t>Psychiatric</w:t>
      </w:r>
      <w:proofErr w:type="spellEnd"/>
      <w:r w:rsidRPr="00EC1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C38">
        <w:rPr>
          <w:rFonts w:ascii="Times New Roman" w:hAnsi="Times New Roman"/>
          <w:sz w:val="24"/>
          <w:szCs w:val="24"/>
        </w:rPr>
        <w:t>Association</w:t>
      </w:r>
      <w:proofErr w:type="spellEnd"/>
      <w:r w:rsidRPr="00EC1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C38">
        <w:rPr>
          <w:rFonts w:ascii="Times New Roman" w:hAnsi="Times New Roman"/>
          <w:sz w:val="24"/>
          <w:szCs w:val="24"/>
        </w:rPr>
        <w:t>practice</w:t>
      </w:r>
      <w:proofErr w:type="spellEnd"/>
      <w:r w:rsidRPr="00EC1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C38">
        <w:rPr>
          <w:rFonts w:ascii="Times New Roman" w:hAnsi="Times New Roman"/>
          <w:sz w:val="24"/>
          <w:szCs w:val="24"/>
        </w:rPr>
        <w:t>guidelines</w:t>
      </w:r>
      <w:proofErr w:type="spellEnd"/>
      <w:r w:rsidRPr="00EC1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C38">
        <w:rPr>
          <w:rFonts w:ascii="Times New Roman" w:hAnsi="Times New Roman"/>
          <w:sz w:val="24"/>
          <w:szCs w:val="24"/>
        </w:rPr>
        <w:t>for</w:t>
      </w:r>
      <w:proofErr w:type="spellEnd"/>
      <w:r w:rsidRPr="00EC1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C38">
        <w:rPr>
          <w:rFonts w:ascii="Times New Roman" w:hAnsi="Times New Roman"/>
          <w:sz w:val="24"/>
          <w:szCs w:val="24"/>
        </w:rPr>
        <w:t>the</w:t>
      </w:r>
      <w:proofErr w:type="spellEnd"/>
      <w:r w:rsidRPr="00EC1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C38">
        <w:rPr>
          <w:rFonts w:ascii="Times New Roman" w:hAnsi="Times New Roman"/>
          <w:sz w:val="24"/>
          <w:szCs w:val="24"/>
        </w:rPr>
        <w:t>psychiatric</w:t>
      </w:r>
      <w:proofErr w:type="spellEnd"/>
      <w:r w:rsidRPr="00EC1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C38">
        <w:rPr>
          <w:rFonts w:ascii="Times New Roman" w:hAnsi="Times New Roman"/>
          <w:sz w:val="24"/>
          <w:szCs w:val="24"/>
        </w:rPr>
        <w:t>evaluation</w:t>
      </w:r>
      <w:proofErr w:type="spellEnd"/>
      <w:r w:rsidRPr="00EC1C3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C1C38">
        <w:rPr>
          <w:rFonts w:ascii="Times New Roman" w:hAnsi="Times New Roman"/>
          <w:sz w:val="24"/>
          <w:szCs w:val="24"/>
        </w:rPr>
        <w:t>adults</w:t>
      </w:r>
      <w:proofErr w:type="spellEnd"/>
      <w:r w:rsidRPr="00EC1C38">
        <w:rPr>
          <w:rFonts w:ascii="Times New Roman" w:hAnsi="Times New Roman"/>
          <w:sz w:val="24"/>
          <w:szCs w:val="24"/>
        </w:rPr>
        <w:t xml:space="preserve">, 2016. 3rd ed. </w:t>
      </w:r>
      <w:proofErr w:type="spellStart"/>
      <w:r w:rsidRPr="00EC1C38">
        <w:rPr>
          <w:rFonts w:ascii="Times New Roman" w:hAnsi="Times New Roman"/>
          <w:sz w:val="24"/>
          <w:szCs w:val="24"/>
        </w:rPr>
        <w:t>Arlington</w:t>
      </w:r>
      <w:proofErr w:type="spellEnd"/>
      <w:r w:rsidRPr="00EC1C38">
        <w:rPr>
          <w:rFonts w:ascii="Times New Roman" w:hAnsi="Times New Roman"/>
          <w:sz w:val="24"/>
          <w:szCs w:val="24"/>
        </w:rPr>
        <w:t xml:space="preserve"> (VA): </w:t>
      </w:r>
      <w:proofErr w:type="spellStart"/>
      <w:r w:rsidRPr="00EC1C38">
        <w:rPr>
          <w:rFonts w:ascii="Times New Roman" w:hAnsi="Times New Roman"/>
          <w:sz w:val="24"/>
          <w:szCs w:val="24"/>
        </w:rPr>
        <w:t>American</w:t>
      </w:r>
      <w:proofErr w:type="spellEnd"/>
      <w:r w:rsidRPr="00EC1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C38">
        <w:rPr>
          <w:rFonts w:ascii="Times New Roman" w:hAnsi="Times New Roman"/>
          <w:sz w:val="24"/>
          <w:szCs w:val="24"/>
        </w:rPr>
        <w:t>Psychiatric</w:t>
      </w:r>
      <w:proofErr w:type="spellEnd"/>
      <w:r w:rsidRPr="00EC1C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C38">
        <w:rPr>
          <w:rFonts w:ascii="Times New Roman" w:hAnsi="Times New Roman"/>
          <w:sz w:val="24"/>
          <w:szCs w:val="24"/>
        </w:rPr>
        <w:t>Association</w:t>
      </w:r>
      <w:proofErr w:type="spellEnd"/>
      <w:r w:rsidRPr="00EC1C38">
        <w:rPr>
          <w:rFonts w:ascii="Times New Roman" w:hAnsi="Times New Roman"/>
          <w:sz w:val="24"/>
          <w:szCs w:val="24"/>
        </w:rPr>
        <w:t>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6632">
        <w:rPr>
          <w:rFonts w:ascii="Times New Roman" w:hAnsi="Times New Roman"/>
          <w:sz w:val="24"/>
          <w:szCs w:val="24"/>
        </w:rPr>
        <w:t>Angst</w:t>
      </w:r>
      <w:proofErr w:type="spellEnd"/>
      <w:r w:rsidRPr="00276632">
        <w:rPr>
          <w:rFonts w:ascii="Times New Roman" w:hAnsi="Times New Roman"/>
          <w:sz w:val="24"/>
          <w:szCs w:val="24"/>
        </w:rPr>
        <w:t xml:space="preserve">, J. (1998). </w:t>
      </w:r>
      <w:proofErr w:type="spellStart"/>
      <w:r w:rsidRPr="00276632">
        <w:rPr>
          <w:rFonts w:ascii="Times New Roman" w:hAnsi="Times New Roman"/>
          <w:sz w:val="24"/>
          <w:szCs w:val="24"/>
        </w:rPr>
        <w:t>The</w:t>
      </w:r>
      <w:proofErr w:type="spellEnd"/>
      <w:r w:rsidRPr="00276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32">
        <w:rPr>
          <w:rFonts w:ascii="Times New Roman" w:hAnsi="Times New Roman"/>
          <w:sz w:val="24"/>
          <w:szCs w:val="24"/>
        </w:rPr>
        <w:t>emerging</w:t>
      </w:r>
      <w:proofErr w:type="spellEnd"/>
      <w:r w:rsidRPr="00276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32">
        <w:rPr>
          <w:rFonts w:ascii="Times New Roman" w:hAnsi="Times New Roman"/>
          <w:sz w:val="24"/>
          <w:szCs w:val="24"/>
        </w:rPr>
        <w:t>epidemiology</w:t>
      </w:r>
      <w:proofErr w:type="spellEnd"/>
      <w:r w:rsidRPr="0027663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76632">
        <w:rPr>
          <w:rFonts w:ascii="Times New Roman" w:hAnsi="Times New Roman"/>
          <w:sz w:val="24"/>
          <w:szCs w:val="24"/>
        </w:rPr>
        <w:t>hypomania</w:t>
      </w:r>
      <w:proofErr w:type="spellEnd"/>
      <w:r w:rsidRPr="00276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32">
        <w:rPr>
          <w:rFonts w:ascii="Times New Roman" w:hAnsi="Times New Roman"/>
          <w:sz w:val="24"/>
          <w:szCs w:val="24"/>
        </w:rPr>
        <w:t>and</w:t>
      </w:r>
      <w:proofErr w:type="spellEnd"/>
      <w:r w:rsidRPr="002766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32">
        <w:rPr>
          <w:rFonts w:ascii="Times New Roman" w:hAnsi="Times New Roman"/>
          <w:sz w:val="24"/>
          <w:szCs w:val="24"/>
        </w:rPr>
        <w:t>bipolar</w:t>
      </w:r>
      <w:proofErr w:type="spellEnd"/>
      <w:r w:rsidRPr="00276632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276632">
        <w:rPr>
          <w:rFonts w:ascii="Times New Roman" w:hAnsi="Times New Roman"/>
          <w:sz w:val="24"/>
          <w:szCs w:val="24"/>
        </w:rPr>
        <w:t>disorder</w:t>
      </w:r>
      <w:proofErr w:type="spellEnd"/>
      <w:r w:rsidRPr="00276632">
        <w:rPr>
          <w:rFonts w:ascii="Times New Roman" w:hAnsi="Times New Roman"/>
          <w:sz w:val="24"/>
          <w:szCs w:val="24"/>
        </w:rPr>
        <w:t xml:space="preserve">. J. </w:t>
      </w:r>
      <w:proofErr w:type="spellStart"/>
      <w:r w:rsidRPr="00276632">
        <w:rPr>
          <w:rFonts w:ascii="Times New Roman" w:hAnsi="Times New Roman"/>
          <w:sz w:val="24"/>
          <w:szCs w:val="24"/>
        </w:rPr>
        <w:t>Affect</w:t>
      </w:r>
      <w:proofErr w:type="spellEnd"/>
      <w:r w:rsidRPr="002766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6632">
        <w:rPr>
          <w:rFonts w:ascii="Times New Roman" w:hAnsi="Times New Roman"/>
          <w:sz w:val="24"/>
          <w:szCs w:val="24"/>
        </w:rPr>
        <w:t>Disord</w:t>
      </w:r>
      <w:proofErr w:type="spellEnd"/>
      <w:r w:rsidRPr="00276632">
        <w:rPr>
          <w:rFonts w:ascii="Times New Roman" w:hAnsi="Times New Roman"/>
          <w:sz w:val="24"/>
          <w:szCs w:val="24"/>
        </w:rPr>
        <w:t>.(50), 143- 151.</w:t>
      </w:r>
    </w:p>
    <w:p w:rsidR="00906B98" w:rsidRPr="007F1EE4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466FCF">
        <w:rPr>
          <w:rFonts w:ascii="Times New Roman" w:hAnsi="Times New Roman"/>
          <w:sz w:val="24"/>
          <w:szCs w:val="24"/>
        </w:rPr>
        <w:t>Arslan</w:t>
      </w:r>
      <w:r>
        <w:rPr>
          <w:rFonts w:ascii="Times New Roman" w:hAnsi="Times New Roman"/>
          <w:sz w:val="24"/>
          <w:szCs w:val="24"/>
        </w:rPr>
        <w:t>,</w:t>
      </w:r>
      <w:r w:rsidRPr="00466FCF">
        <w:rPr>
          <w:rFonts w:ascii="Times New Roman" w:hAnsi="Times New Roman"/>
          <w:sz w:val="24"/>
          <w:szCs w:val="24"/>
        </w:rPr>
        <w:t xml:space="preserve"> S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66FCF">
        <w:rPr>
          <w:rFonts w:ascii="Times New Roman" w:hAnsi="Times New Roman"/>
          <w:sz w:val="24"/>
          <w:szCs w:val="24"/>
        </w:rPr>
        <w:t>,</w:t>
      </w:r>
      <w:proofErr w:type="gramEnd"/>
      <w:r w:rsidRPr="00466FCF">
        <w:rPr>
          <w:rFonts w:ascii="Times New Roman" w:hAnsi="Times New Roman"/>
          <w:sz w:val="24"/>
          <w:szCs w:val="24"/>
        </w:rPr>
        <w:t xml:space="preserve"> Günay Kılıç</w:t>
      </w:r>
      <w:r>
        <w:rPr>
          <w:rFonts w:ascii="Times New Roman" w:hAnsi="Times New Roman"/>
          <w:sz w:val="24"/>
          <w:szCs w:val="24"/>
        </w:rPr>
        <w:t>,</w:t>
      </w:r>
      <w:r w:rsidRPr="00466FCF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.</w:t>
      </w:r>
      <w:r w:rsidRPr="00466FCF">
        <w:rPr>
          <w:rFonts w:ascii="Times New Roman" w:hAnsi="Times New Roman"/>
          <w:sz w:val="24"/>
          <w:szCs w:val="24"/>
        </w:rPr>
        <w:t xml:space="preserve"> </w:t>
      </w:r>
      <w:r w:rsidRPr="007951D5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466FCF">
        <w:rPr>
          <w:rFonts w:ascii="Times New Roman" w:hAnsi="Times New Roman"/>
          <w:sz w:val="24"/>
          <w:szCs w:val="24"/>
        </w:rPr>
        <w:t>Karakılıç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66FCF">
        <w:rPr>
          <w:rFonts w:ascii="Times New Roman" w:hAnsi="Times New Roman"/>
          <w:sz w:val="24"/>
          <w:szCs w:val="24"/>
        </w:rPr>
        <w:t xml:space="preserve"> H.</w:t>
      </w:r>
      <w:r>
        <w:rPr>
          <w:rFonts w:ascii="Times New Roman" w:hAnsi="Times New Roman"/>
          <w:sz w:val="24"/>
          <w:szCs w:val="24"/>
        </w:rPr>
        <w:t xml:space="preserve"> (2001).</w:t>
      </w:r>
      <w:r w:rsidRPr="00466F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FCF">
        <w:rPr>
          <w:rFonts w:ascii="Times New Roman" w:hAnsi="Times New Roman"/>
          <w:sz w:val="24"/>
          <w:szCs w:val="24"/>
        </w:rPr>
        <w:t>İçgörünün</w:t>
      </w:r>
      <w:proofErr w:type="spellEnd"/>
      <w:r w:rsidRPr="00466FCF">
        <w:rPr>
          <w:rFonts w:ascii="Times New Roman" w:hAnsi="Times New Roman"/>
          <w:sz w:val="24"/>
          <w:szCs w:val="24"/>
        </w:rPr>
        <w:t xml:space="preserve"> Üç Bileşenini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EE4">
        <w:rPr>
          <w:rFonts w:ascii="Times New Roman" w:hAnsi="Times New Roman"/>
          <w:sz w:val="24"/>
          <w:szCs w:val="24"/>
        </w:rPr>
        <w:t>Değerlendirme ölçeği güvenirlik ve geçerlik çalışması. Türkiye’de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EE4">
        <w:rPr>
          <w:rFonts w:ascii="Times New Roman" w:hAnsi="Times New Roman"/>
          <w:sz w:val="24"/>
          <w:szCs w:val="24"/>
        </w:rPr>
        <w:t xml:space="preserve">Psikiyatri 2000; </w:t>
      </w:r>
      <w:proofErr w:type="gramStart"/>
      <w:r w:rsidRPr="007F1EE4">
        <w:rPr>
          <w:rFonts w:ascii="Times New Roman" w:hAnsi="Times New Roman"/>
          <w:sz w:val="24"/>
          <w:szCs w:val="24"/>
        </w:rPr>
        <w:t>3:17</w:t>
      </w:r>
      <w:proofErr w:type="gramEnd"/>
      <w:r w:rsidRPr="007F1EE4">
        <w:rPr>
          <w:rFonts w:ascii="Times New Roman" w:hAnsi="Times New Roman"/>
          <w:sz w:val="24"/>
          <w:szCs w:val="24"/>
        </w:rPr>
        <w:t xml:space="preserve">-24. </w:t>
      </w:r>
      <w:proofErr w:type="spellStart"/>
      <w:r w:rsidRPr="007F1EE4">
        <w:rPr>
          <w:rFonts w:ascii="Times New Roman" w:hAnsi="Times New Roman"/>
          <w:sz w:val="24"/>
          <w:szCs w:val="24"/>
        </w:rPr>
        <w:t>İçgörünün</w:t>
      </w:r>
      <w:proofErr w:type="spellEnd"/>
      <w:r w:rsidRPr="007F1EE4">
        <w:rPr>
          <w:rFonts w:ascii="Times New Roman" w:hAnsi="Times New Roman"/>
          <w:sz w:val="24"/>
          <w:szCs w:val="24"/>
        </w:rPr>
        <w:t xml:space="preserve"> üç bileşenini değerlendirme ölçeği: güvenilirlik ve geçerlik çalışması. Türkiye’de Psikiyatri (3), 17-24.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F16B0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5F16B0">
        <w:rPr>
          <w:rFonts w:ascii="Times New Roman" w:hAnsi="Times New Roman"/>
          <w:sz w:val="24"/>
          <w:szCs w:val="24"/>
        </w:rPr>
        <w:t>Assis</w:t>
      </w:r>
      <w:proofErr w:type="spellEnd"/>
      <w:r w:rsidRPr="005F16B0">
        <w:rPr>
          <w:rFonts w:ascii="Times New Roman" w:hAnsi="Times New Roman"/>
          <w:sz w:val="24"/>
          <w:szCs w:val="24"/>
        </w:rPr>
        <w:t>, S. R</w:t>
      </w:r>
      <w:proofErr w:type="gramStart"/>
      <w:r w:rsidRPr="005F16B0">
        <w:rPr>
          <w:rFonts w:ascii="Times New Roman" w:hAnsi="Times New Roman"/>
          <w:sz w:val="24"/>
          <w:szCs w:val="24"/>
        </w:rPr>
        <w:t>.,</w:t>
      </w:r>
      <w:proofErr w:type="gramEnd"/>
      <w:r w:rsidRPr="005F16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16B0">
        <w:rPr>
          <w:rFonts w:ascii="Times New Roman" w:hAnsi="Times New Roman"/>
          <w:sz w:val="24"/>
          <w:szCs w:val="24"/>
        </w:rPr>
        <w:t>Mograbi</w:t>
      </w:r>
      <w:proofErr w:type="spellEnd"/>
      <w:r w:rsidRPr="005F16B0">
        <w:rPr>
          <w:rFonts w:ascii="Times New Roman" w:hAnsi="Times New Roman"/>
          <w:sz w:val="24"/>
          <w:szCs w:val="24"/>
        </w:rPr>
        <w:t xml:space="preserve"> D. C</w:t>
      </w:r>
      <w:r>
        <w:rPr>
          <w:rFonts w:ascii="Times New Roman" w:hAnsi="Times New Roman"/>
          <w:sz w:val="24"/>
          <w:szCs w:val="24"/>
        </w:rPr>
        <w:t>.</w:t>
      </w:r>
      <w:r w:rsidRPr="005F1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6B0">
        <w:rPr>
          <w:rFonts w:ascii="Times New Roman" w:hAnsi="Times New Roman"/>
          <w:sz w:val="24"/>
          <w:szCs w:val="24"/>
        </w:rPr>
        <w:t>Silveira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F16B0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16B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5F1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6B0">
        <w:rPr>
          <w:rFonts w:ascii="Times New Roman" w:hAnsi="Times New Roman"/>
          <w:sz w:val="24"/>
          <w:szCs w:val="24"/>
        </w:rPr>
        <w:t>Nunes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F16B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16B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5F1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6B0">
        <w:rPr>
          <w:rFonts w:ascii="Times New Roman" w:hAnsi="Times New Roman"/>
          <w:sz w:val="24"/>
          <w:szCs w:val="24"/>
        </w:rPr>
        <w:t>Novis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F16B0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16B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5F16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6B0">
        <w:rPr>
          <w:rFonts w:ascii="Times New Roman" w:hAnsi="Times New Roman"/>
          <w:sz w:val="24"/>
          <w:szCs w:val="24"/>
        </w:rPr>
        <w:t>Landeira-Fernandez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F16B0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5F16B0">
        <w:rPr>
          <w:rFonts w:ascii="Times New Roman" w:hAnsi="Times New Roman"/>
          <w:sz w:val="24"/>
          <w:szCs w:val="24"/>
        </w:rPr>
        <w:t xml:space="preserve"> </w:t>
      </w:r>
      <w:r w:rsidRPr="007951D5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5F16B0">
        <w:rPr>
          <w:rFonts w:ascii="Times New Roman" w:hAnsi="Times New Roman"/>
          <w:sz w:val="24"/>
          <w:szCs w:val="24"/>
        </w:rPr>
        <w:t>Cheniaux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5F16B0">
        <w:rPr>
          <w:rFonts w:ascii="Times New Roman" w:hAnsi="Times New Roman"/>
          <w:sz w:val="24"/>
          <w:szCs w:val="24"/>
        </w:rPr>
        <w:t xml:space="preserve"> E. (2015). </w:t>
      </w:r>
      <w:proofErr w:type="spellStart"/>
      <w:r w:rsidRPr="00046DA8">
        <w:rPr>
          <w:rFonts w:ascii="Times New Roman" w:hAnsi="Times New Roman"/>
          <w:sz w:val="24"/>
          <w:szCs w:val="24"/>
        </w:rPr>
        <w:t>Insight</w:t>
      </w:r>
      <w:proofErr w:type="spellEnd"/>
      <w:r w:rsidRPr="00046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DA8">
        <w:rPr>
          <w:rFonts w:ascii="Times New Roman" w:hAnsi="Times New Roman"/>
          <w:sz w:val="24"/>
          <w:szCs w:val="24"/>
        </w:rPr>
        <w:t>Across</w:t>
      </w:r>
      <w:proofErr w:type="spellEnd"/>
      <w:r w:rsidRPr="00046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DA8">
        <w:rPr>
          <w:rFonts w:ascii="Times New Roman" w:hAnsi="Times New Roman"/>
          <w:sz w:val="24"/>
          <w:szCs w:val="24"/>
        </w:rPr>
        <w:t>the</w:t>
      </w:r>
      <w:proofErr w:type="spellEnd"/>
      <w:r w:rsidRPr="00046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DA8">
        <w:rPr>
          <w:rFonts w:ascii="Times New Roman" w:hAnsi="Times New Roman"/>
          <w:sz w:val="24"/>
          <w:szCs w:val="24"/>
        </w:rPr>
        <w:t>Different</w:t>
      </w:r>
      <w:proofErr w:type="spellEnd"/>
      <w:r w:rsidRPr="00046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DA8">
        <w:rPr>
          <w:rFonts w:ascii="Times New Roman" w:hAnsi="Times New Roman"/>
          <w:sz w:val="24"/>
          <w:szCs w:val="24"/>
        </w:rPr>
        <w:t>Mood</w:t>
      </w:r>
      <w:proofErr w:type="spellEnd"/>
      <w:r w:rsidRPr="00046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DA8">
        <w:rPr>
          <w:rFonts w:ascii="Times New Roman" w:hAnsi="Times New Roman"/>
          <w:sz w:val="24"/>
          <w:szCs w:val="24"/>
        </w:rPr>
        <w:t>States</w:t>
      </w:r>
      <w:proofErr w:type="spellEnd"/>
      <w:r w:rsidRPr="00046DA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046DA8">
        <w:rPr>
          <w:rFonts w:ascii="Times New Roman" w:hAnsi="Times New Roman"/>
          <w:sz w:val="24"/>
          <w:szCs w:val="24"/>
        </w:rPr>
        <w:t>Bipolar</w:t>
      </w:r>
      <w:proofErr w:type="spellEnd"/>
      <w:r w:rsidRPr="00046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DA8">
        <w:rPr>
          <w:rFonts w:ascii="Times New Roman" w:hAnsi="Times New Roman"/>
          <w:sz w:val="24"/>
          <w:szCs w:val="24"/>
        </w:rPr>
        <w:t>Disorder</w:t>
      </w:r>
      <w:proofErr w:type="spellEnd"/>
      <w:r w:rsidRPr="00046D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46DA8">
        <w:rPr>
          <w:rFonts w:ascii="Times New Roman" w:hAnsi="Times New Roman"/>
          <w:sz w:val="24"/>
          <w:szCs w:val="24"/>
        </w:rPr>
        <w:t>Psychiatric</w:t>
      </w:r>
      <w:proofErr w:type="spellEnd"/>
      <w:r w:rsidRPr="00046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DA8">
        <w:rPr>
          <w:rFonts w:ascii="Times New Roman" w:hAnsi="Times New Roman"/>
          <w:sz w:val="24"/>
          <w:szCs w:val="24"/>
        </w:rPr>
        <w:t>Quarterly</w:t>
      </w:r>
      <w:proofErr w:type="spellEnd"/>
      <w:r w:rsidRPr="00046DA8">
        <w:rPr>
          <w:rFonts w:ascii="Times New Roman" w:hAnsi="Times New Roman"/>
          <w:sz w:val="24"/>
          <w:szCs w:val="24"/>
        </w:rPr>
        <w:t>, 86(3), 395–405.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F7891">
        <w:rPr>
          <w:rFonts w:ascii="Times New Roman" w:hAnsi="Times New Roman"/>
          <w:sz w:val="24"/>
          <w:szCs w:val="24"/>
        </w:rPr>
        <w:t>Aydemir, Ö</w:t>
      </w:r>
      <w:proofErr w:type="gramStart"/>
      <w:r w:rsidRPr="00CF7891">
        <w:rPr>
          <w:rFonts w:ascii="Times New Roman" w:hAnsi="Times New Roman"/>
          <w:sz w:val="24"/>
          <w:szCs w:val="24"/>
        </w:rPr>
        <w:t>.,</w:t>
      </w:r>
      <w:proofErr w:type="gramEnd"/>
      <w:r w:rsidRPr="00CF7891">
        <w:rPr>
          <w:rFonts w:ascii="Times New Roman" w:hAnsi="Times New Roman"/>
          <w:sz w:val="24"/>
          <w:szCs w:val="24"/>
        </w:rPr>
        <w:t xml:space="preserve"> Eren, İ., Savaş, H., Kalkan-</w:t>
      </w:r>
      <w:proofErr w:type="spellStart"/>
      <w:r w:rsidRPr="00CF7891">
        <w:rPr>
          <w:rFonts w:ascii="Times New Roman" w:hAnsi="Times New Roman"/>
          <w:sz w:val="24"/>
          <w:szCs w:val="24"/>
        </w:rPr>
        <w:t>Oğuzhanoğlu</w:t>
      </w:r>
      <w:proofErr w:type="spellEnd"/>
      <w:r w:rsidRPr="00CF7891">
        <w:rPr>
          <w:rFonts w:ascii="Times New Roman" w:hAnsi="Times New Roman"/>
          <w:sz w:val="24"/>
          <w:szCs w:val="24"/>
        </w:rPr>
        <w:t xml:space="preserve">, N., Koçal, N., Devrimci-Özgüven, H., ... </w:t>
      </w:r>
      <w:proofErr w:type="spellStart"/>
      <w:r w:rsidRPr="00CF7891">
        <w:rPr>
          <w:rFonts w:ascii="Times New Roman" w:hAnsi="Times New Roman"/>
          <w:sz w:val="24"/>
          <w:szCs w:val="24"/>
        </w:rPr>
        <w:t>Vahip</w:t>
      </w:r>
      <w:proofErr w:type="spellEnd"/>
      <w:r w:rsidRPr="00CF7891">
        <w:rPr>
          <w:rFonts w:ascii="Times New Roman" w:hAnsi="Times New Roman"/>
          <w:sz w:val="24"/>
          <w:szCs w:val="24"/>
        </w:rPr>
        <w:t xml:space="preserve">, S. (2007). </w:t>
      </w:r>
      <w:proofErr w:type="spellStart"/>
      <w:r w:rsidRPr="00CF7891">
        <w:rPr>
          <w:rFonts w:ascii="Times New Roman" w:hAnsi="Times New Roman"/>
          <w:sz w:val="24"/>
          <w:szCs w:val="24"/>
        </w:rPr>
        <w:t>Bipolar</w:t>
      </w:r>
      <w:proofErr w:type="spellEnd"/>
      <w:r w:rsidRPr="00CF7891">
        <w:rPr>
          <w:rFonts w:ascii="Times New Roman" w:hAnsi="Times New Roman"/>
          <w:sz w:val="24"/>
          <w:szCs w:val="24"/>
        </w:rPr>
        <w:t xml:space="preserve"> Bozuklukta İşlevsellik Ölçeğinin geliştirilmesi, güvenilirlik ve geçerliliği. Türk Psikiyatri Dergisi, 18(4), 344-352.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F1EE4">
        <w:rPr>
          <w:rFonts w:ascii="Times New Roman" w:hAnsi="Times New Roman"/>
          <w:sz w:val="24"/>
          <w:szCs w:val="24"/>
        </w:rPr>
        <w:t>Bahar</w:t>
      </w:r>
      <w:r>
        <w:rPr>
          <w:rFonts w:ascii="Times New Roman" w:hAnsi="Times New Roman"/>
          <w:sz w:val="24"/>
          <w:szCs w:val="24"/>
        </w:rPr>
        <w:t>,</w:t>
      </w:r>
      <w:r w:rsidRPr="007F1EE4">
        <w:rPr>
          <w:rFonts w:ascii="Times New Roman" w:hAnsi="Times New Roman"/>
          <w:sz w:val="24"/>
          <w:szCs w:val="24"/>
        </w:rPr>
        <w:t xml:space="preserve"> G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F1EE4">
        <w:rPr>
          <w:rFonts w:ascii="Times New Roman" w:hAnsi="Times New Roman"/>
          <w:sz w:val="24"/>
          <w:szCs w:val="24"/>
        </w:rPr>
        <w:t>,</w:t>
      </w:r>
      <w:proofErr w:type="gramEnd"/>
      <w:r w:rsidRPr="007F1EE4">
        <w:rPr>
          <w:rFonts w:ascii="Times New Roman" w:hAnsi="Times New Roman"/>
          <w:sz w:val="24"/>
          <w:szCs w:val="24"/>
        </w:rPr>
        <w:t xml:space="preserve"> </w:t>
      </w:r>
      <w:r w:rsidRPr="00DC5224">
        <w:rPr>
          <w:rFonts w:ascii="Times New Roman" w:hAnsi="Times New Roman"/>
          <w:sz w:val="24"/>
          <w:szCs w:val="24"/>
        </w:rPr>
        <w:t>Savaş</w:t>
      </w:r>
      <w:r>
        <w:rPr>
          <w:rFonts w:ascii="Times New Roman" w:hAnsi="Times New Roman"/>
          <w:sz w:val="24"/>
          <w:szCs w:val="24"/>
        </w:rPr>
        <w:t>,</w:t>
      </w:r>
      <w:r w:rsidRPr="00DC5224">
        <w:rPr>
          <w:rFonts w:ascii="Times New Roman" w:hAnsi="Times New Roman"/>
          <w:sz w:val="24"/>
          <w:szCs w:val="24"/>
        </w:rPr>
        <w:t xml:space="preserve"> </w:t>
      </w:r>
      <w:r w:rsidRPr="007F1EE4">
        <w:rPr>
          <w:rFonts w:ascii="Times New Roman" w:hAnsi="Times New Roman"/>
          <w:sz w:val="24"/>
          <w:szCs w:val="24"/>
        </w:rPr>
        <w:t>H.</w:t>
      </w:r>
      <w:r>
        <w:rPr>
          <w:rFonts w:ascii="Times New Roman" w:hAnsi="Times New Roman"/>
          <w:sz w:val="24"/>
          <w:szCs w:val="24"/>
        </w:rPr>
        <w:t xml:space="preserve"> A.</w:t>
      </w:r>
      <w:r w:rsidRPr="00DC5224">
        <w:rPr>
          <w:rFonts w:ascii="Times New Roman" w:hAnsi="Times New Roman"/>
          <w:sz w:val="24"/>
          <w:szCs w:val="24"/>
        </w:rPr>
        <w:t>, Ünal</w:t>
      </w:r>
      <w:r>
        <w:rPr>
          <w:rFonts w:ascii="Times New Roman" w:hAnsi="Times New Roman"/>
          <w:sz w:val="24"/>
          <w:szCs w:val="24"/>
        </w:rPr>
        <w:t>,</w:t>
      </w:r>
      <w:r w:rsidRPr="00DC522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DC5224">
        <w:rPr>
          <w:rFonts w:ascii="Times New Roman" w:hAnsi="Times New Roman"/>
          <w:sz w:val="24"/>
          <w:szCs w:val="24"/>
        </w:rPr>
        <w:t>, Savaş</w:t>
      </w:r>
      <w:r>
        <w:rPr>
          <w:rFonts w:ascii="Times New Roman" w:hAnsi="Times New Roman"/>
          <w:sz w:val="24"/>
          <w:szCs w:val="24"/>
        </w:rPr>
        <w:t>,</w:t>
      </w:r>
      <w:r w:rsidRPr="00DC5224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.</w:t>
      </w:r>
      <w:r w:rsidRPr="00DC5224">
        <w:rPr>
          <w:rFonts w:ascii="Times New Roman" w:hAnsi="Times New Roman"/>
          <w:sz w:val="24"/>
          <w:szCs w:val="24"/>
        </w:rPr>
        <w:t>, Kaya</w:t>
      </w:r>
      <w:r>
        <w:rPr>
          <w:rFonts w:ascii="Times New Roman" w:hAnsi="Times New Roman"/>
          <w:sz w:val="24"/>
          <w:szCs w:val="24"/>
        </w:rPr>
        <w:t>,</w:t>
      </w:r>
      <w:r w:rsidRPr="00DC5224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.</w:t>
      </w:r>
      <w:r w:rsidRPr="00DC5224">
        <w:rPr>
          <w:rFonts w:ascii="Times New Roman" w:hAnsi="Times New Roman"/>
          <w:sz w:val="24"/>
          <w:szCs w:val="24"/>
        </w:rPr>
        <w:t xml:space="preserve"> </w:t>
      </w:r>
      <w:r w:rsidRPr="007951D5">
        <w:rPr>
          <w:rFonts w:ascii="Times New Roman" w:hAnsi="Times New Roman"/>
          <w:sz w:val="24"/>
          <w:szCs w:val="24"/>
        </w:rPr>
        <w:t xml:space="preserve">&amp; </w:t>
      </w:r>
      <w:r w:rsidRPr="00DC5224">
        <w:rPr>
          <w:rFonts w:ascii="Times New Roman" w:hAnsi="Times New Roman"/>
          <w:sz w:val="24"/>
          <w:szCs w:val="24"/>
        </w:rPr>
        <w:t>Bahar</w:t>
      </w:r>
      <w:r>
        <w:rPr>
          <w:rFonts w:ascii="Times New Roman" w:hAnsi="Times New Roman"/>
          <w:sz w:val="24"/>
          <w:szCs w:val="24"/>
        </w:rPr>
        <w:t>,</w:t>
      </w:r>
      <w:r w:rsidRPr="00DC5224">
        <w:rPr>
          <w:rFonts w:ascii="Times New Roman" w:hAnsi="Times New Roman"/>
          <w:sz w:val="24"/>
          <w:szCs w:val="24"/>
        </w:rPr>
        <w:t xml:space="preserve"> A. </w:t>
      </w:r>
      <w:r w:rsidRPr="007F1EE4">
        <w:rPr>
          <w:rFonts w:ascii="Times New Roman" w:hAnsi="Times New Roman"/>
          <w:sz w:val="24"/>
          <w:szCs w:val="24"/>
        </w:rPr>
        <w:t xml:space="preserve">(2014). </w:t>
      </w:r>
      <w:proofErr w:type="spellStart"/>
      <w:r w:rsidRPr="007F1EE4">
        <w:rPr>
          <w:rFonts w:ascii="Times New Roman" w:hAnsi="Times New Roman"/>
          <w:sz w:val="24"/>
          <w:szCs w:val="24"/>
        </w:rPr>
        <w:t>Morisky</w:t>
      </w:r>
      <w:proofErr w:type="spellEnd"/>
      <w:r w:rsidRPr="007F1EE4">
        <w:rPr>
          <w:rFonts w:ascii="Times New Roman" w:hAnsi="Times New Roman"/>
          <w:sz w:val="24"/>
          <w:szCs w:val="24"/>
        </w:rPr>
        <w:t xml:space="preserve"> Tedavi Uyum Ölçeğinin iki uçlu </w:t>
      </w:r>
      <w:proofErr w:type="spellStart"/>
      <w:r w:rsidRPr="007F1EE4">
        <w:rPr>
          <w:rFonts w:ascii="Times New Roman" w:hAnsi="Times New Roman"/>
          <w:sz w:val="24"/>
          <w:szCs w:val="24"/>
        </w:rPr>
        <w:t>duygudurum</w:t>
      </w:r>
      <w:proofErr w:type="spellEnd"/>
      <w:r w:rsidRPr="007F1EE4">
        <w:rPr>
          <w:rFonts w:ascii="Times New Roman" w:hAnsi="Times New Roman"/>
          <w:sz w:val="24"/>
          <w:szCs w:val="24"/>
        </w:rPr>
        <w:t xml:space="preserve"> bozukluğu için geçerlik ve güvenilirlik çalışma</w:t>
      </w:r>
      <w:r>
        <w:rPr>
          <w:rFonts w:ascii="Times New Roman" w:hAnsi="Times New Roman"/>
          <w:sz w:val="24"/>
          <w:szCs w:val="24"/>
        </w:rPr>
        <w:t>sı. Anadolu Psikiyatri Dergisi 15</w:t>
      </w:r>
      <w:r w:rsidRPr="007F1EE4">
        <w:rPr>
          <w:rFonts w:ascii="Times New Roman" w:hAnsi="Times New Roman"/>
          <w:sz w:val="24"/>
          <w:szCs w:val="24"/>
        </w:rPr>
        <w:t>, 141-149.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2A82">
        <w:rPr>
          <w:rFonts w:ascii="Times New Roman" w:hAnsi="Times New Roman"/>
          <w:sz w:val="24"/>
          <w:szCs w:val="24"/>
        </w:rPr>
        <w:lastRenderedPageBreak/>
        <w:t>Canadian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Network </w:t>
      </w:r>
      <w:proofErr w:type="spellStart"/>
      <w:r w:rsidRPr="00F92A82">
        <w:rPr>
          <w:rFonts w:ascii="Times New Roman" w:hAnsi="Times New Roman"/>
          <w:sz w:val="24"/>
          <w:szCs w:val="24"/>
        </w:rPr>
        <w:t>for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Mood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and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Anxiety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Treatments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(CANMAT) </w:t>
      </w:r>
      <w:proofErr w:type="spellStart"/>
      <w:r w:rsidRPr="00F92A82">
        <w:rPr>
          <w:rFonts w:ascii="Times New Roman" w:hAnsi="Times New Roman"/>
          <w:sz w:val="24"/>
          <w:szCs w:val="24"/>
        </w:rPr>
        <w:t>guideline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, 2013. </w:t>
      </w:r>
      <w:proofErr w:type="spellStart"/>
      <w:r w:rsidRPr="00F92A82">
        <w:rPr>
          <w:rFonts w:ascii="Times New Roman" w:hAnsi="Times New Roman"/>
          <w:sz w:val="24"/>
          <w:szCs w:val="24"/>
        </w:rPr>
        <w:t>Guidelines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for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the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management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F92A82">
        <w:rPr>
          <w:rFonts w:ascii="Times New Roman" w:hAnsi="Times New Roman"/>
          <w:sz w:val="24"/>
          <w:szCs w:val="24"/>
        </w:rPr>
        <w:t>patients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with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bipolar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disorder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92A82">
        <w:rPr>
          <w:rFonts w:ascii="Times New Roman" w:hAnsi="Times New Roman"/>
          <w:sz w:val="24"/>
          <w:szCs w:val="24"/>
        </w:rPr>
        <w:t>consensus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and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controversies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2A82">
        <w:rPr>
          <w:rFonts w:ascii="Times New Roman" w:hAnsi="Times New Roman"/>
          <w:sz w:val="24"/>
          <w:szCs w:val="24"/>
        </w:rPr>
        <w:t>Bipolar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Disorders</w:t>
      </w:r>
      <w:proofErr w:type="spellEnd"/>
      <w:r w:rsidRPr="00F92A82">
        <w:rPr>
          <w:rFonts w:ascii="Times New Roman" w:hAnsi="Times New Roman"/>
          <w:sz w:val="24"/>
          <w:szCs w:val="24"/>
        </w:rPr>
        <w:t>, (15), 1–44.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2A82">
        <w:rPr>
          <w:rFonts w:ascii="Times New Roman" w:hAnsi="Times New Roman"/>
          <w:sz w:val="24"/>
          <w:szCs w:val="24"/>
        </w:rPr>
        <w:t>Clarkin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92A82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92A82">
        <w:rPr>
          <w:rFonts w:ascii="Times New Roman" w:hAnsi="Times New Roman"/>
          <w:sz w:val="24"/>
          <w:szCs w:val="24"/>
        </w:rPr>
        <w:t>F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F92A82">
        <w:rPr>
          <w:rFonts w:ascii="Times New Roman" w:hAnsi="Times New Roman"/>
          <w:sz w:val="24"/>
          <w:szCs w:val="24"/>
        </w:rPr>
        <w:t>,</w:t>
      </w:r>
      <w:proofErr w:type="gram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BC4">
        <w:rPr>
          <w:rFonts w:ascii="Times New Roman" w:hAnsi="Times New Roman"/>
          <w:sz w:val="24"/>
          <w:szCs w:val="24"/>
        </w:rPr>
        <w:t>Carpenter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67BC4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Pr="00667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7BC4">
        <w:rPr>
          <w:rFonts w:ascii="Times New Roman" w:hAnsi="Times New Roman"/>
          <w:sz w:val="24"/>
          <w:szCs w:val="24"/>
        </w:rPr>
        <w:t>Hull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67BC4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 &amp;</w:t>
      </w:r>
      <w:r w:rsidRPr="00667B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BC4">
        <w:rPr>
          <w:rFonts w:ascii="Times New Roman" w:hAnsi="Times New Roman"/>
          <w:sz w:val="24"/>
          <w:szCs w:val="24"/>
        </w:rPr>
        <w:t>Wilner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67BC4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.</w:t>
      </w:r>
      <w:r w:rsidRPr="00667B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7BC4">
        <w:rPr>
          <w:rFonts w:ascii="Times New Roman" w:hAnsi="Times New Roman"/>
          <w:sz w:val="24"/>
          <w:szCs w:val="24"/>
        </w:rPr>
        <w:t>Glick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67BC4">
        <w:rPr>
          <w:rFonts w:ascii="Times New Roman" w:hAnsi="Times New Roman"/>
          <w:sz w:val="24"/>
          <w:szCs w:val="24"/>
        </w:rPr>
        <w:t xml:space="preserve"> I. </w:t>
      </w:r>
      <w:r w:rsidRPr="00F92A82">
        <w:rPr>
          <w:rFonts w:ascii="Times New Roman" w:hAnsi="Times New Roman"/>
          <w:sz w:val="24"/>
          <w:szCs w:val="24"/>
        </w:rPr>
        <w:t xml:space="preserve">(1998). </w:t>
      </w:r>
      <w:proofErr w:type="spellStart"/>
      <w:r w:rsidRPr="00F92A82">
        <w:rPr>
          <w:rFonts w:ascii="Times New Roman" w:hAnsi="Times New Roman"/>
          <w:sz w:val="24"/>
          <w:szCs w:val="24"/>
        </w:rPr>
        <w:t>Effects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F92A82">
        <w:rPr>
          <w:rFonts w:ascii="Times New Roman" w:hAnsi="Times New Roman"/>
          <w:sz w:val="24"/>
          <w:szCs w:val="24"/>
        </w:rPr>
        <w:t>psychoeducational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intervention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for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married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patients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with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bipolar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disorder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and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their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spouses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2A82">
        <w:rPr>
          <w:rFonts w:ascii="Times New Roman" w:hAnsi="Times New Roman"/>
          <w:sz w:val="24"/>
          <w:szCs w:val="24"/>
        </w:rPr>
        <w:t>Psychiatr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Serv</w:t>
      </w:r>
      <w:proofErr w:type="spellEnd"/>
      <w:r>
        <w:rPr>
          <w:rFonts w:ascii="Times New Roman" w:hAnsi="Times New Roman"/>
          <w:sz w:val="24"/>
          <w:szCs w:val="24"/>
        </w:rPr>
        <w:t>, 49</w:t>
      </w:r>
      <w:r w:rsidRPr="00F92A82">
        <w:rPr>
          <w:rFonts w:ascii="Times New Roman" w:hAnsi="Times New Roman"/>
          <w:sz w:val="24"/>
          <w:szCs w:val="24"/>
        </w:rPr>
        <w:t>, 531–3.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951D5">
        <w:rPr>
          <w:rFonts w:ascii="Times New Roman" w:hAnsi="Times New Roman"/>
          <w:sz w:val="24"/>
          <w:szCs w:val="24"/>
          <w:lang w:val="de-DE"/>
        </w:rPr>
        <w:t xml:space="preserve">Cole, M. G. &amp; </w:t>
      </w:r>
      <w:proofErr w:type="spellStart"/>
      <w:r w:rsidRPr="007951D5">
        <w:rPr>
          <w:rFonts w:ascii="Times New Roman" w:hAnsi="Times New Roman"/>
          <w:sz w:val="24"/>
          <w:szCs w:val="24"/>
          <w:lang w:val="de-DE"/>
        </w:rPr>
        <w:t>Dendukuri</w:t>
      </w:r>
      <w:proofErr w:type="spellEnd"/>
      <w:r w:rsidRPr="007951D5">
        <w:rPr>
          <w:rFonts w:ascii="Times New Roman" w:hAnsi="Times New Roman"/>
          <w:sz w:val="24"/>
          <w:szCs w:val="24"/>
          <w:lang w:val="de-DE"/>
        </w:rPr>
        <w:t xml:space="preserve">, N. (2003). </w:t>
      </w:r>
      <w:r w:rsidRPr="00F92A82">
        <w:rPr>
          <w:rFonts w:ascii="Times New Roman" w:hAnsi="Times New Roman"/>
          <w:sz w:val="24"/>
          <w:szCs w:val="24"/>
        </w:rPr>
        <w:t xml:space="preserve">Risk </w:t>
      </w:r>
      <w:proofErr w:type="spellStart"/>
      <w:r w:rsidRPr="00F92A82">
        <w:rPr>
          <w:rFonts w:ascii="Times New Roman" w:hAnsi="Times New Roman"/>
          <w:sz w:val="24"/>
          <w:szCs w:val="24"/>
        </w:rPr>
        <w:t>Factors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for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Depression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Among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Elderly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Community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Subjects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F92A82">
        <w:rPr>
          <w:rFonts w:ascii="Times New Roman" w:hAnsi="Times New Roman"/>
          <w:sz w:val="24"/>
          <w:szCs w:val="24"/>
        </w:rPr>
        <w:t>Systematic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Review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and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Meta-Analysis. Am J </w:t>
      </w:r>
      <w:proofErr w:type="spellStart"/>
      <w:r w:rsidRPr="00F92A82">
        <w:rPr>
          <w:rFonts w:ascii="Times New Roman" w:hAnsi="Times New Roman"/>
          <w:sz w:val="24"/>
          <w:szCs w:val="24"/>
        </w:rPr>
        <w:t>Psychiatry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92A82">
        <w:rPr>
          <w:rFonts w:ascii="Times New Roman" w:hAnsi="Times New Roman"/>
          <w:sz w:val="24"/>
          <w:szCs w:val="24"/>
        </w:rPr>
        <w:t xml:space="preserve"> 160, 1147–1156.</w:t>
      </w:r>
    </w:p>
    <w:p w:rsidR="00906B98" w:rsidRPr="00951DA4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Çakır,</w:t>
      </w:r>
      <w:r w:rsidRPr="003C41D9">
        <w:rPr>
          <w:rFonts w:ascii="Times New Roman" w:hAnsi="Times New Roman"/>
          <w:sz w:val="24"/>
          <w:szCs w:val="24"/>
        </w:rPr>
        <w:t xml:space="preserve"> S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C41D9">
        <w:rPr>
          <w:rFonts w:ascii="Times New Roman" w:hAnsi="Times New Roman"/>
          <w:sz w:val="24"/>
          <w:szCs w:val="24"/>
        </w:rPr>
        <w:t>,</w:t>
      </w:r>
      <w:proofErr w:type="gramEnd"/>
      <w:r w:rsidRPr="003C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DA4">
        <w:rPr>
          <w:rFonts w:ascii="Times New Roman" w:hAnsi="Times New Roman"/>
          <w:sz w:val="24"/>
          <w:szCs w:val="24"/>
        </w:rPr>
        <w:t>Bensusan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51DA4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Pr="00951D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1DA4">
        <w:rPr>
          <w:rFonts w:ascii="Times New Roman" w:hAnsi="Times New Roman"/>
          <w:sz w:val="24"/>
          <w:szCs w:val="24"/>
        </w:rPr>
        <w:t>Akca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51DA4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51DA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51D5"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z w:val="24"/>
          <w:szCs w:val="24"/>
        </w:rPr>
        <w:t>Yazıcı,</w:t>
      </w:r>
      <w:r w:rsidRPr="00951DA4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41D9">
        <w:rPr>
          <w:rFonts w:ascii="Times New Roman" w:hAnsi="Times New Roman"/>
          <w:sz w:val="24"/>
          <w:szCs w:val="24"/>
        </w:rPr>
        <w:t xml:space="preserve">(2009). </w:t>
      </w:r>
      <w:proofErr w:type="spellStart"/>
      <w:r w:rsidRPr="003C41D9">
        <w:rPr>
          <w:rFonts w:ascii="Times New Roman" w:hAnsi="Times New Roman"/>
          <w:sz w:val="24"/>
          <w:szCs w:val="24"/>
        </w:rPr>
        <w:t>Does</w:t>
      </w:r>
      <w:proofErr w:type="spellEnd"/>
      <w:r w:rsidRPr="003C41D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C41D9">
        <w:rPr>
          <w:rFonts w:ascii="Times New Roman" w:hAnsi="Times New Roman"/>
          <w:sz w:val="24"/>
          <w:szCs w:val="24"/>
        </w:rPr>
        <w:t>psychoeducatioanal</w:t>
      </w:r>
      <w:proofErr w:type="spellEnd"/>
      <w:r w:rsidRPr="003C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1D9">
        <w:rPr>
          <w:rFonts w:ascii="Times New Roman" w:hAnsi="Times New Roman"/>
          <w:sz w:val="24"/>
          <w:szCs w:val="24"/>
        </w:rPr>
        <w:t>approach</w:t>
      </w:r>
      <w:proofErr w:type="spellEnd"/>
      <w:r w:rsidRPr="003C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1D9">
        <w:rPr>
          <w:rFonts w:ascii="Times New Roman" w:hAnsi="Times New Roman"/>
          <w:sz w:val="24"/>
          <w:szCs w:val="24"/>
        </w:rPr>
        <w:t>reach</w:t>
      </w:r>
      <w:proofErr w:type="spellEnd"/>
      <w:r w:rsidRPr="003C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1D9">
        <w:rPr>
          <w:rFonts w:ascii="Times New Roman" w:hAnsi="Times New Roman"/>
          <w:sz w:val="24"/>
          <w:szCs w:val="24"/>
        </w:rPr>
        <w:t>targeted</w:t>
      </w:r>
      <w:proofErr w:type="spellEnd"/>
      <w:r w:rsidRPr="003C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1D9">
        <w:rPr>
          <w:rFonts w:ascii="Times New Roman" w:hAnsi="Times New Roman"/>
          <w:sz w:val="24"/>
          <w:szCs w:val="24"/>
        </w:rPr>
        <w:t>patients</w:t>
      </w:r>
      <w:proofErr w:type="spellEnd"/>
      <w:r w:rsidRPr="003C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1D9">
        <w:rPr>
          <w:rFonts w:ascii="Times New Roman" w:hAnsi="Times New Roman"/>
          <w:sz w:val="24"/>
          <w:szCs w:val="24"/>
        </w:rPr>
        <w:t>with</w:t>
      </w:r>
      <w:proofErr w:type="spellEnd"/>
      <w:r w:rsidRPr="003C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1D9">
        <w:rPr>
          <w:rFonts w:ascii="Times New Roman" w:hAnsi="Times New Roman"/>
          <w:sz w:val="24"/>
          <w:szCs w:val="24"/>
        </w:rPr>
        <w:t>bipolar</w:t>
      </w:r>
      <w:proofErr w:type="spellEnd"/>
      <w:r w:rsidRPr="003C4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1D9">
        <w:rPr>
          <w:rFonts w:ascii="Times New Roman" w:hAnsi="Times New Roman"/>
          <w:sz w:val="24"/>
          <w:szCs w:val="24"/>
        </w:rPr>
        <w:t>disorder</w:t>
      </w:r>
      <w:proofErr w:type="spellEnd"/>
      <w:r w:rsidRPr="003C41D9">
        <w:rPr>
          <w:rFonts w:ascii="Times New Roman" w:hAnsi="Times New Roman"/>
          <w:sz w:val="24"/>
          <w:szCs w:val="24"/>
        </w:rPr>
        <w:t xml:space="preserve">? </w:t>
      </w:r>
      <w:r w:rsidRPr="00951DA4">
        <w:rPr>
          <w:rFonts w:ascii="Times New Roman" w:hAnsi="Times New Roman"/>
          <w:sz w:val="24"/>
          <w:szCs w:val="24"/>
        </w:rPr>
        <w:t xml:space="preserve">J </w:t>
      </w:r>
      <w:proofErr w:type="spellStart"/>
      <w:r w:rsidRPr="00951DA4">
        <w:rPr>
          <w:rFonts w:ascii="Times New Roman" w:hAnsi="Times New Roman"/>
          <w:sz w:val="24"/>
          <w:szCs w:val="24"/>
        </w:rPr>
        <w:t>Affect</w:t>
      </w:r>
      <w:proofErr w:type="spellEnd"/>
      <w:r w:rsidRPr="00951D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1DA4">
        <w:rPr>
          <w:rFonts w:ascii="Times New Roman" w:hAnsi="Times New Roman"/>
          <w:sz w:val="24"/>
          <w:szCs w:val="24"/>
        </w:rPr>
        <w:t>Disord</w:t>
      </w:r>
      <w:proofErr w:type="spellEnd"/>
      <w:proofErr w:type="gramStart"/>
      <w:r w:rsidRPr="00951D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951DA4">
        <w:rPr>
          <w:rFonts w:ascii="Times New Roman" w:hAnsi="Times New Roman"/>
          <w:sz w:val="24"/>
          <w:szCs w:val="24"/>
        </w:rPr>
        <w:t xml:space="preserve"> 119, 190-</w:t>
      </w:r>
      <w:r>
        <w:rPr>
          <w:rFonts w:ascii="Times New Roman" w:hAnsi="Times New Roman"/>
          <w:sz w:val="24"/>
          <w:szCs w:val="24"/>
        </w:rPr>
        <w:t>19</w:t>
      </w:r>
      <w:r w:rsidRPr="00951DA4">
        <w:rPr>
          <w:rFonts w:ascii="Times New Roman" w:hAnsi="Times New Roman"/>
          <w:sz w:val="24"/>
          <w:szCs w:val="24"/>
        </w:rPr>
        <w:t>3.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67E36">
        <w:rPr>
          <w:rFonts w:ascii="Times New Roman" w:hAnsi="Times New Roman"/>
          <w:sz w:val="24"/>
          <w:szCs w:val="24"/>
          <w:lang w:val="de-DE"/>
        </w:rPr>
        <w:t xml:space="preserve">Dam, E. A.,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Hosman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, C. M.,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Hoogduin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, C. A.,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Schaap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, C. (2003). </w:t>
      </w:r>
      <w:proofErr w:type="spellStart"/>
      <w:r w:rsidRPr="00F92A82">
        <w:rPr>
          <w:rFonts w:ascii="Times New Roman" w:hAnsi="Times New Roman"/>
          <w:sz w:val="24"/>
          <w:szCs w:val="24"/>
        </w:rPr>
        <w:t>The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coping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with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depression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course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92A82">
        <w:rPr>
          <w:rFonts w:ascii="Times New Roman" w:hAnsi="Times New Roman"/>
          <w:sz w:val="24"/>
          <w:szCs w:val="24"/>
        </w:rPr>
        <w:t>Short-term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outcomes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and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mediating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effects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of a </w:t>
      </w:r>
      <w:proofErr w:type="spellStart"/>
      <w:r w:rsidRPr="00F92A82">
        <w:rPr>
          <w:rFonts w:ascii="Times New Roman" w:hAnsi="Times New Roman"/>
          <w:sz w:val="24"/>
          <w:szCs w:val="24"/>
        </w:rPr>
        <w:t>randomized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controlled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trial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92A82">
        <w:rPr>
          <w:rFonts w:ascii="Times New Roman" w:hAnsi="Times New Roman"/>
          <w:sz w:val="24"/>
          <w:szCs w:val="24"/>
        </w:rPr>
        <w:t>the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treatment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F92A82">
        <w:rPr>
          <w:rFonts w:ascii="Times New Roman" w:hAnsi="Times New Roman"/>
          <w:sz w:val="24"/>
          <w:szCs w:val="24"/>
        </w:rPr>
        <w:t>subclinical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depression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2A82">
        <w:rPr>
          <w:rFonts w:ascii="Times New Roman" w:hAnsi="Times New Roman"/>
          <w:sz w:val="24"/>
          <w:szCs w:val="24"/>
        </w:rPr>
        <w:t>Behavior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Therapy</w:t>
      </w:r>
      <w:proofErr w:type="spellEnd"/>
      <w:r w:rsidRPr="00F92A82">
        <w:rPr>
          <w:rFonts w:ascii="Times New Roman" w:hAnsi="Times New Roman"/>
          <w:sz w:val="24"/>
          <w:szCs w:val="24"/>
        </w:rPr>
        <w:t>, 34(3), 381–396.</w:t>
      </w:r>
    </w:p>
    <w:p w:rsidR="00906B98" w:rsidRPr="00E67E36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E67E36">
        <w:rPr>
          <w:rFonts w:ascii="Times New Roman" w:hAnsi="Times New Roman"/>
          <w:sz w:val="24"/>
          <w:szCs w:val="24"/>
          <w:lang w:val="de-DE"/>
        </w:rPr>
        <w:t xml:space="preserve">David, A. (1990). Insight in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psychosis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Br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 J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Psychiatry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>, 798-808.</w:t>
      </w:r>
    </w:p>
    <w:p w:rsidR="00906B98" w:rsidRPr="006D0E6C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35B7">
        <w:rPr>
          <w:rFonts w:ascii="Times New Roman" w:hAnsi="Times New Roman"/>
          <w:sz w:val="24"/>
          <w:szCs w:val="24"/>
        </w:rPr>
        <w:t>Pellegrinelli</w:t>
      </w:r>
      <w:proofErr w:type="spellEnd"/>
      <w:r>
        <w:rPr>
          <w:rFonts w:ascii="Times New Roman" w:hAnsi="Times New Roman"/>
          <w:sz w:val="24"/>
          <w:szCs w:val="24"/>
        </w:rPr>
        <w:t>, K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3635B7">
        <w:rPr>
          <w:rFonts w:ascii="Times New Roman" w:hAnsi="Times New Roman"/>
          <w:sz w:val="24"/>
          <w:szCs w:val="24"/>
        </w:rPr>
        <w:t>,</w:t>
      </w:r>
      <w:proofErr w:type="gramEnd"/>
      <w:r w:rsidRPr="003635B7">
        <w:rPr>
          <w:rFonts w:ascii="Times New Roman" w:hAnsi="Times New Roman"/>
          <w:sz w:val="24"/>
          <w:szCs w:val="24"/>
        </w:rPr>
        <w:t xml:space="preserve"> de O </w:t>
      </w:r>
      <w:proofErr w:type="spellStart"/>
      <w:r w:rsidRPr="003635B7">
        <w:rPr>
          <w:rFonts w:ascii="Times New Roman" w:hAnsi="Times New Roman"/>
          <w:sz w:val="24"/>
          <w:szCs w:val="24"/>
        </w:rPr>
        <w:t>Costa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635B7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35B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  <w:r w:rsidRPr="00363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5B7">
        <w:rPr>
          <w:rFonts w:ascii="Times New Roman" w:hAnsi="Times New Roman"/>
          <w:sz w:val="24"/>
          <w:szCs w:val="24"/>
        </w:rPr>
        <w:t>Silva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635B7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35B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Pr="00363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5B7">
        <w:rPr>
          <w:rFonts w:ascii="Times New Roman" w:hAnsi="Times New Roman"/>
          <w:sz w:val="24"/>
          <w:szCs w:val="24"/>
        </w:rPr>
        <w:t>Dias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635B7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35B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Pr="00363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5B7">
        <w:rPr>
          <w:rFonts w:ascii="Times New Roman" w:hAnsi="Times New Roman"/>
          <w:sz w:val="24"/>
          <w:szCs w:val="24"/>
        </w:rPr>
        <w:t>Roso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635B7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635B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3635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5B7">
        <w:rPr>
          <w:rFonts w:ascii="Times New Roman" w:hAnsi="Times New Roman"/>
          <w:sz w:val="24"/>
          <w:szCs w:val="24"/>
        </w:rPr>
        <w:t>Bandeira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635B7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3635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…</w:t>
      </w:r>
      <w:r w:rsidRPr="00934C34">
        <w:rPr>
          <w:rFonts w:ascii="Times New Roman" w:hAnsi="Times New Roman"/>
          <w:sz w:val="24"/>
          <w:szCs w:val="24"/>
        </w:rPr>
        <w:t xml:space="preserve"> </w:t>
      </w:r>
      <w:r w:rsidR="00BD0F0E" w:rsidRPr="009B4EC2">
        <w:rPr>
          <w:rFonts w:ascii="Times New Roman" w:hAnsi="Times New Roman"/>
          <w:sz w:val="24"/>
          <w:szCs w:val="24"/>
          <w:lang w:val="en-US"/>
        </w:rPr>
        <w:t xml:space="preserve">&amp; </w:t>
      </w:r>
      <w:proofErr w:type="spellStart"/>
      <w:r w:rsidRPr="002C5437">
        <w:rPr>
          <w:rFonts w:ascii="Times New Roman" w:hAnsi="Times New Roman"/>
          <w:sz w:val="24"/>
          <w:szCs w:val="24"/>
        </w:rPr>
        <w:t>Moreno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C5437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C5437">
        <w:rPr>
          <w:rFonts w:ascii="Times New Roman" w:hAnsi="Times New Roman"/>
          <w:sz w:val="24"/>
          <w:szCs w:val="24"/>
        </w:rPr>
        <w:t>A.</w:t>
      </w:r>
      <w:r w:rsidRPr="00934C34">
        <w:rPr>
          <w:rFonts w:ascii="Times New Roman" w:hAnsi="Times New Roman"/>
          <w:sz w:val="24"/>
          <w:szCs w:val="24"/>
        </w:rPr>
        <w:t xml:space="preserve"> (2013). </w:t>
      </w:r>
      <w:proofErr w:type="spellStart"/>
      <w:r w:rsidRPr="00934C34">
        <w:rPr>
          <w:rFonts w:ascii="Times New Roman" w:hAnsi="Times New Roman"/>
          <w:sz w:val="24"/>
          <w:szCs w:val="24"/>
        </w:rPr>
        <w:t>Efficacy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34C34">
        <w:rPr>
          <w:rFonts w:ascii="Times New Roman" w:hAnsi="Times New Roman"/>
          <w:sz w:val="24"/>
          <w:szCs w:val="24"/>
        </w:rPr>
        <w:t>psychoeducation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34C34">
        <w:rPr>
          <w:rFonts w:ascii="Times New Roman" w:hAnsi="Times New Roman"/>
          <w:sz w:val="24"/>
          <w:szCs w:val="24"/>
        </w:rPr>
        <w:t>symptomatic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and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functional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recovery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34C34">
        <w:rPr>
          <w:rFonts w:ascii="Times New Roman" w:hAnsi="Times New Roman"/>
          <w:sz w:val="24"/>
          <w:szCs w:val="24"/>
        </w:rPr>
        <w:t>bipolar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disorder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601D">
        <w:rPr>
          <w:rFonts w:ascii="Times New Roman" w:hAnsi="Times New Roman"/>
          <w:sz w:val="24"/>
          <w:szCs w:val="24"/>
        </w:rPr>
        <w:t>Acta</w:t>
      </w:r>
      <w:proofErr w:type="spellEnd"/>
      <w:r w:rsidRPr="00BA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01D">
        <w:rPr>
          <w:rFonts w:ascii="Times New Roman" w:hAnsi="Times New Roman"/>
          <w:sz w:val="24"/>
          <w:szCs w:val="24"/>
        </w:rPr>
        <w:t>Psychiatr</w:t>
      </w:r>
      <w:proofErr w:type="spellEnd"/>
      <w:r w:rsidRPr="00BA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601D">
        <w:rPr>
          <w:rFonts w:ascii="Times New Roman" w:hAnsi="Times New Roman"/>
          <w:sz w:val="24"/>
          <w:szCs w:val="24"/>
        </w:rPr>
        <w:t>Scand</w:t>
      </w:r>
      <w:proofErr w:type="spellEnd"/>
      <w:proofErr w:type="gramStart"/>
      <w:r w:rsidRPr="00BA60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BA601D">
        <w:rPr>
          <w:rFonts w:ascii="Times New Roman" w:hAnsi="Times New Roman"/>
          <w:sz w:val="24"/>
          <w:szCs w:val="24"/>
        </w:rPr>
        <w:t xml:space="preserve"> </w:t>
      </w:r>
      <w:r w:rsidRPr="00934C34">
        <w:rPr>
          <w:rFonts w:ascii="Times New Roman" w:hAnsi="Times New Roman"/>
          <w:sz w:val="24"/>
          <w:szCs w:val="24"/>
        </w:rPr>
        <w:t>127(2), 153–158.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6D0E6C">
        <w:rPr>
          <w:rFonts w:ascii="Times New Roman" w:hAnsi="Times New Roman"/>
          <w:sz w:val="24"/>
          <w:szCs w:val="24"/>
          <w:lang w:val="de-DE"/>
        </w:rPr>
        <w:t>Dean, B.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D0E6C">
        <w:rPr>
          <w:rFonts w:ascii="Times New Roman" w:hAnsi="Times New Roman"/>
          <w:sz w:val="24"/>
          <w:szCs w:val="24"/>
          <w:lang w:val="de-DE"/>
        </w:rPr>
        <w:t>B., Gerner, D., Gerner, 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D0E6C">
        <w:rPr>
          <w:rFonts w:ascii="Times New Roman" w:hAnsi="Times New Roman"/>
          <w:sz w:val="24"/>
          <w:szCs w:val="24"/>
          <w:lang w:val="de-DE"/>
        </w:rPr>
        <w:t xml:space="preserve">H. (2004). </w:t>
      </w:r>
      <w:r w:rsidRPr="00F92A8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92A82">
        <w:rPr>
          <w:rFonts w:ascii="Times New Roman" w:hAnsi="Times New Roman"/>
          <w:sz w:val="24"/>
          <w:szCs w:val="24"/>
        </w:rPr>
        <w:t>systematic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review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evaluating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health-related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quality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of life, </w:t>
      </w:r>
      <w:proofErr w:type="spellStart"/>
      <w:r w:rsidRPr="00F92A82">
        <w:rPr>
          <w:rFonts w:ascii="Times New Roman" w:hAnsi="Times New Roman"/>
          <w:sz w:val="24"/>
          <w:szCs w:val="24"/>
        </w:rPr>
        <w:t>work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impairment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2A82">
        <w:rPr>
          <w:rFonts w:ascii="Times New Roman" w:hAnsi="Times New Roman"/>
          <w:sz w:val="24"/>
          <w:szCs w:val="24"/>
        </w:rPr>
        <w:t>and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healthcare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costs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and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utilization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F92A82">
        <w:rPr>
          <w:rFonts w:ascii="Times New Roman" w:hAnsi="Times New Roman"/>
          <w:sz w:val="24"/>
          <w:szCs w:val="24"/>
        </w:rPr>
        <w:t>bipolar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disorder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92A82">
        <w:rPr>
          <w:rFonts w:ascii="Times New Roman" w:hAnsi="Times New Roman"/>
          <w:sz w:val="24"/>
          <w:szCs w:val="24"/>
        </w:rPr>
        <w:t>Current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Medical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Research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and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2A82">
        <w:rPr>
          <w:rFonts w:ascii="Times New Roman" w:hAnsi="Times New Roman"/>
          <w:sz w:val="24"/>
          <w:szCs w:val="24"/>
        </w:rPr>
        <w:t>Opinion</w:t>
      </w:r>
      <w:proofErr w:type="spellEnd"/>
      <w:r w:rsidRPr="00F92A82">
        <w:rPr>
          <w:rFonts w:ascii="Times New Roman" w:hAnsi="Times New Roman"/>
          <w:sz w:val="24"/>
          <w:szCs w:val="24"/>
        </w:rPr>
        <w:t xml:space="preserve">, 20(2), 139-154. </w:t>
      </w:r>
      <w:proofErr w:type="spellStart"/>
      <w:r w:rsidRPr="00F92A82">
        <w:rPr>
          <w:rFonts w:ascii="Times New Roman" w:hAnsi="Times New Roman"/>
          <w:sz w:val="24"/>
          <w:szCs w:val="24"/>
        </w:rPr>
        <w:t>doi</w:t>
      </w:r>
      <w:proofErr w:type="spellEnd"/>
      <w:r w:rsidRPr="00F92A82">
        <w:rPr>
          <w:rFonts w:ascii="Times New Roman" w:hAnsi="Times New Roman"/>
          <w:sz w:val="24"/>
          <w:szCs w:val="24"/>
        </w:rPr>
        <w:t>: 10.1185/030079903125002801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771">
        <w:rPr>
          <w:rFonts w:ascii="Times New Roman" w:hAnsi="Times New Roman"/>
          <w:sz w:val="24"/>
          <w:szCs w:val="24"/>
          <w:lang w:val="de-DE"/>
        </w:rPr>
        <w:t>Deckersbach</w:t>
      </w:r>
      <w:proofErr w:type="spellEnd"/>
      <w:r w:rsidRPr="001D1771">
        <w:rPr>
          <w:rFonts w:ascii="Times New Roman" w:hAnsi="Times New Roman"/>
          <w:sz w:val="24"/>
          <w:szCs w:val="24"/>
          <w:lang w:val="de-DE"/>
        </w:rPr>
        <w:t xml:space="preserve">, T., Nierenberg, A. A., Kessler, R., Lund, H. G., </w:t>
      </w:r>
      <w:proofErr w:type="spellStart"/>
      <w:r w:rsidRPr="001D1771">
        <w:rPr>
          <w:rFonts w:ascii="Times New Roman" w:hAnsi="Times New Roman"/>
          <w:sz w:val="24"/>
          <w:szCs w:val="24"/>
          <w:lang w:val="de-DE"/>
        </w:rPr>
        <w:t>Ametrano</w:t>
      </w:r>
      <w:proofErr w:type="spellEnd"/>
      <w:r w:rsidRPr="001D1771">
        <w:rPr>
          <w:rFonts w:ascii="Times New Roman" w:hAnsi="Times New Roman"/>
          <w:sz w:val="24"/>
          <w:szCs w:val="24"/>
          <w:lang w:val="de-DE"/>
        </w:rPr>
        <w:t xml:space="preserve">, R. M., Sachs, G., … </w:t>
      </w:r>
      <w:proofErr w:type="spellStart"/>
      <w:r w:rsidRPr="001D1771">
        <w:rPr>
          <w:rFonts w:ascii="Times New Roman" w:hAnsi="Times New Roman"/>
          <w:sz w:val="24"/>
          <w:szCs w:val="24"/>
        </w:rPr>
        <w:t>Dougherty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, D. (2010). RESEARCH: </w:t>
      </w:r>
      <w:proofErr w:type="spellStart"/>
      <w:r w:rsidRPr="001D1771">
        <w:rPr>
          <w:rFonts w:ascii="Times New Roman" w:hAnsi="Times New Roman"/>
          <w:sz w:val="24"/>
          <w:szCs w:val="24"/>
        </w:rPr>
        <w:t>Cognitive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771">
        <w:rPr>
          <w:rFonts w:ascii="Times New Roman" w:hAnsi="Times New Roman"/>
          <w:sz w:val="24"/>
          <w:szCs w:val="24"/>
        </w:rPr>
        <w:t>rehabilitation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771">
        <w:rPr>
          <w:rFonts w:ascii="Times New Roman" w:hAnsi="Times New Roman"/>
          <w:sz w:val="24"/>
          <w:szCs w:val="24"/>
        </w:rPr>
        <w:t>for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771">
        <w:rPr>
          <w:rFonts w:ascii="Times New Roman" w:hAnsi="Times New Roman"/>
          <w:sz w:val="24"/>
          <w:szCs w:val="24"/>
        </w:rPr>
        <w:t>bipolar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771">
        <w:rPr>
          <w:rFonts w:ascii="Times New Roman" w:hAnsi="Times New Roman"/>
          <w:sz w:val="24"/>
          <w:szCs w:val="24"/>
        </w:rPr>
        <w:lastRenderedPageBreak/>
        <w:t>disorder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: An </w:t>
      </w:r>
      <w:proofErr w:type="spellStart"/>
      <w:r w:rsidRPr="001D1771">
        <w:rPr>
          <w:rFonts w:ascii="Times New Roman" w:hAnsi="Times New Roman"/>
          <w:sz w:val="24"/>
          <w:szCs w:val="24"/>
        </w:rPr>
        <w:t>open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771">
        <w:rPr>
          <w:rFonts w:ascii="Times New Roman" w:hAnsi="Times New Roman"/>
          <w:sz w:val="24"/>
          <w:szCs w:val="24"/>
        </w:rPr>
        <w:t>trial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771">
        <w:rPr>
          <w:rFonts w:ascii="Times New Roman" w:hAnsi="Times New Roman"/>
          <w:sz w:val="24"/>
          <w:szCs w:val="24"/>
        </w:rPr>
        <w:t>for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771">
        <w:rPr>
          <w:rFonts w:ascii="Times New Roman" w:hAnsi="Times New Roman"/>
          <w:sz w:val="24"/>
          <w:szCs w:val="24"/>
        </w:rPr>
        <w:t>employed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771">
        <w:rPr>
          <w:rFonts w:ascii="Times New Roman" w:hAnsi="Times New Roman"/>
          <w:sz w:val="24"/>
          <w:szCs w:val="24"/>
        </w:rPr>
        <w:t>patients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771">
        <w:rPr>
          <w:rFonts w:ascii="Times New Roman" w:hAnsi="Times New Roman"/>
          <w:sz w:val="24"/>
          <w:szCs w:val="24"/>
        </w:rPr>
        <w:t>with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771">
        <w:rPr>
          <w:rFonts w:ascii="Times New Roman" w:hAnsi="Times New Roman"/>
          <w:sz w:val="24"/>
          <w:szCs w:val="24"/>
        </w:rPr>
        <w:t>residual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771">
        <w:rPr>
          <w:rFonts w:ascii="Times New Roman" w:hAnsi="Times New Roman"/>
          <w:sz w:val="24"/>
          <w:szCs w:val="24"/>
        </w:rPr>
        <w:t>depressive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771">
        <w:rPr>
          <w:rFonts w:ascii="Times New Roman" w:hAnsi="Times New Roman"/>
          <w:sz w:val="24"/>
          <w:szCs w:val="24"/>
        </w:rPr>
        <w:t>symptoms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. CNS </w:t>
      </w:r>
      <w:proofErr w:type="spellStart"/>
      <w:r w:rsidRPr="001D1771">
        <w:rPr>
          <w:rFonts w:ascii="Times New Roman" w:hAnsi="Times New Roman"/>
          <w:sz w:val="24"/>
          <w:szCs w:val="24"/>
        </w:rPr>
        <w:t>neuroscience</w:t>
      </w:r>
      <w:proofErr w:type="spellEnd"/>
      <w:r w:rsidRPr="001D1771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1D1771">
        <w:rPr>
          <w:rFonts w:ascii="Times New Roman" w:hAnsi="Times New Roman"/>
          <w:sz w:val="24"/>
          <w:szCs w:val="24"/>
        </w:rPr>
        <w:t>therapeutics</w:t>
      </w:r>
      <w:proofErr w:type="spellEnd"/>
      <w:r w:rsidRPr="001D1771">
        <w:rPr>
          <w:rFonts w:ascii="Times New Roman" w:hAnsi="Times New Roman"/>
          <w:sz w:val="24"/>
          <w:szCs w:val="24"/>
        </w:rPr>
        <w:t>, 16(5), 298–307. doi:</w:t>
      </w:r>
      <w:proofErr w:type="gramStart"/>
      <w:r w:rsidRPr="001D1771">
        <w:rPr>
          <w:rFonts w:ascii="Times New Roman" w:hAnsi="Times New Roman"/>
          <w:sz w:val="24"/>
          <w:szCs w:val="24"/>
        </w:rPr>
        <w:t>10.1111</w:t>
      </w:r>
      <w:proofErr w:type="gramEnd"/>
      <w:r w:rsidRPr="001D1771">
        <w:rPr>
          <w:rFonts w:ascii="Times New Roman" w:hAnsi="Times New Roman"/>
          <w:sz w:val="24"/>
          <w:szCs w:val="24"/>
        </w:rPr>
        <w:t>/j.1755-5949.2009.00110.x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34C34">
        <w:rPr>
          <w:rFonts w:ascii="Times New Roman" w:hAnsi="Times New Roman"/>
          <w:sz w:val="24"/>
          <w:szCs w:val="24"/>
        </w:rPr>
        <w:t>Hamilton,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C34">
        <w:rPr>
          <w:rFonts w:ascii="Times New Roman" w:hAnsi="Times New Roman"/>
          <w:sz w:val="24"/>
          <w:szCs w:val="24"/>
        </w:rPr>
        <w:t xml:space="preserve">A. (1960). A </w:t>
      </w:r>
      <w:proofErr w:type="spellStart"/>
      <w:r w:rsidRPr="00934C34">
        <w:rPr>
          <w:rFonts w:ascii="Times New Roman" w:hAnsi="Times New Roman"/>
          <w:sz w:val="24"/>
          <w:szCs w:val="24"/>
        </w:rPr>
        <w:t>rating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scale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for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depression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C34">
        <w:rPr>
          <w:rFonts w:ascii="Times New Roman" w:hAnsi="Times New Roman"/>
          <w:sz w:val="24"/>
          <w:szCs w:val="24"/>
        </w:rPr>
        <w:t>Neurol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Neurosurg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Psychiatry</w:t>
      </w:r>
      <w:proofErr w:type="spellEnd"/>
      <w:r w:rsidRPr="00934C34">
        <w:rPr>
          <w:rFonts w:ascii="Times New Roman" w:hAnsi="Times New Roman"/>
          <w:sz w:val="24"/>
          <w:szCs w:val="24"/>
        </w:rPr>
        <w:t>, 23, 56-62.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34C34">
        <w:rPr>
          <w:rFonts w:ascii="Times New Roman" w:hAnsi="Times New Roman"/>
          <w:sz w:val="24"/>
          <w:szCs w:val="24"/>
        </w:rPr>
        <w:t xml:space="preserve">IBM </w:t>
      </w:r>
      <w:proofErr w:type="spellStart"/>
      <w:r w:rsidRPr="00934C34">
        <w:rPr>
          <w:rFonts w:ascii="Times New Roman" w:hAnsi="Times New Roman"/>
          <w:sz w:val="24"/>
          <w:szCs w:val="24"/>
        </w:rPr>
        <w:t>Corp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C34">
        <w:rPr>
          <w:rFonts w:ascii="Times New Roman" w:hAnsi="Times New Roman"/>
          <w:sz w:val="24"/>
          <w:szCs w:val="24"/>
        </w:rPr>
        <w:t>Released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(2013). IBM SPSS </w:t>
      </w:r>
      <w:proofErr w:type="spellStart"/>
      <w:r w:rsidRPr="00934C34">
        <w:rPr>
          <w:rFonts w:ascii="Times New Roman" w:hAnsi="Times New Roman"/>
          <w:sz w:val="24"/>
          <w:szCs w:val="24"/>
        </w:rPr>
        <w:t>Statistics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for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Windows, </w:t>
      </w:r>
      <w:proofErr w:type="spellStart"/>
      <w:r w:rsidRPr="00934C34">
        <w:rPr>
          <w:rFonts w:ascii="Times New Roman" w:hAnsi="Times New Roman"/>
          <w:sz w:val="24"/>
          <w:szCs w:val="24"/>
        </w:rPr>
        <w:t>Version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4C34">
        <w:rPr>
          <w:rFonts w:ascii="Times New Roman" w:hAnsi="Times New Roman"/>
          <w:sz w:val="24"/>
          <w:szCs w:val="24"/>
        </w:rPr>
        <w:t>22.0</w:t>
      </w:r>
      <w:proofErr w:type="gramEnd"/>
      <w:r w:rsidRPr="00934C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C34">
        <w:rPr>
          <w:rFonts w:ascii="Times New Roman" w:hAnsi="Times New Roman"/>
          <w:sz w:val="24"/>
          <w:szCs w:val="24"/>
        </w:rPr>
        <w:t>Armonk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, NY: IBM </w:t>
      </w:r>
      <w:proofErr w:type="spellStart"/>
      <w:r w:rsidRPr="00934C34">
        <w:rPr>
          <w:rFonts w:ascii="Times New Roman" w:hAnsi="Times New Roman"/>
          <w:sz w:val="24"/>
          <w:szCs w:val="24"/>
        </w:rPr>
        <w:t>Corp</w:t>
      </w:r>
      <w:proofErr w:type="spellEnd"/>
      <w:r w:rsidRPr="00934C34">
        <w:rPr>
          <w:rFonts w:ascii="Times New Roman" w:hAnsi="Times New Roman"/>
          <w:sz w:val="24"/>
          <w:szCs w:val="24"/>
        </w:rPr>
        <w:t>.</w:t>
      </w:r>
    </w:p>
    <w:p w:rsidR="00906B98" w:rsidRPr="00B87013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3B0">
        <w:rPr>
          <w:rFonts w:ascii="Times New Roman" w:hAnsi="Times New Roman"/>
          <w:sz w:val="24"/>
          <w:szCs w:val="24"/>
          <w:lang w:val="de-DE"/>
        </w:rPr>
        <w:t>Karadağ</w:t>
      </w:r>
      <w:proofErr w:type="spellEnd"/>
      <w:r w:rsidRPr="005D23B0">
        <w:rPr>
          <w:rFonts w:ascii="Times New Roman" w:hAnsi="Times New Roman"/>
          <w:sz w:val="24"/>
          <w:szCs w:val="24"/>
          <w:lang w:val="de-DE"/>
        </w:rPr>
        <w:t xml:space="preserve">, F., Oral, E. T., </w:t>
      </w:r>
      <w:proofErr w:type="spellStart"/>
      <w:r w:rsidRPr="005D23B0">
        <w:rPr>
          <w:rFonts w:ascii="Times New Roman" w:hAnsi="Times New Roman"/>
          <w:sz w:val="24"/>
          <w:szCs w:val="24"/>
          <w:lang w:val="de-DE"/>
        </w:rPr>
        <w:t>Aran</w:t>
      </w:r>
      <w:proofErr w:type="spellEnd"/>
      <w:r w:rsidRPr="005D23B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D23B0">
        <w:rPr>
          <w:rFonts w:ascii="Times New Roman" w:hAnsi="Times New Roman"/>
          <w:sz w:val="24"/>
          <w:szCs w:val="24"/>
          <w:lang w:val="de-DE"/>
        </w:rPr>
        <w:t>Yalçın</w:t>
      </w:r>
      <w:proofErr w:type="spellEnd"/>
      <w:r w:rsidRPr="005D23B0">
        <w:rPr>
          <w:rFonts w:ascii="Times New Roman" w:hAnsi="Times New Roman"/>
          <w:sz w:val="24"/>
          <w:szCs w:val="24"/>
          <w:lang w:val="de-DE"/>
        </w:rPr>
        <w:t xml:space="preserve">, F. &amp; </w:t>
      </w:r>
      <w:proofErr w:type="spellStart"/>
      <w:r w:rsidRPr="005D23B0">
        <w:rPr>
          <w:rFonts w:ascii="Times New Roman" w:hAnsi="Times New Roman"/>
          <w:sz w:val="24"/>
          <w:szCs w:val="24"/>
          <w:lang w:val="de-DE"/>
        </w:rPr>
        <w:t>Erten</w:t>
      </w:r>
      <w:proofErr w:type="spellEnd"/>
      <w:r w:rsidRPr="005D23B0">
        <w:rPr>
          <w:rFonts w:ascii="Times New Roman" w:hAnsi="Times New Roman"/>
          <w:sz w:val="24"/>
          <w:szCs w:val="24"/>
          <w:lang w:val="de-DE"/>
        </w:rPr>
        <w:t xml:space="preserve">, E. (2001). </w:t>
      </w:r>
      <w:r w:rsidRPr="00E67E36">
        <w:rPr>
          <w:rFonts w:ascii="Times New Roman" w:hAnsi="Times New Roman"/>
          <w:sz w:val="24"/>
          <w:szCs w:val="24"/>
          <w:lang w:val="de-DE"/>
        </w:rPr>
        <w:t xml:space="preserve">Young Mani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Derecelendirme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Ölçeğinin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Türkiye’de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Geçerlik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ve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E67E36">
        <w:rPr>
          <w:rFonts w:ascii="Times New Roman" w:hAnsi="Times New Roman"/>
          <w:sz w:val="24"/>
          <w:szCs w:val="24"/>
          <w:lang w:val="de-DE"/>
        </w:rPr>
        <w:t>Güvenilirliği</w:t>
      </w:r>
      <w:proofErr w:type="spellEnd"/>
      <w:r w:rsidRPr="00E67E36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934C34">
        <w:rPr>
          <w:rFonts w:ascii="Times New Roman" w:hAnsi="Times New Roman"/>
          <w:sz w:val="24"/>
          <w:szCs w:val="24"/>
        </w:rPr>
        <w:t>Türk Psikiyatri De</w:t>
      </w:r>
      <w:r w:rsidRPr="00B87013">
        <w:rPr>
          <w:rFonts w:ascii="Times New Roman" w:hAnsi="Times New Roman"/>
          <w:sz w:val="24"/>
          <w:szCs w:val="24"/>
        </w:rPr>
        <w:t>rgisi, 13(2), 107-114.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67E36">
        <w:rPr>
          <w:rFonts w:ascii="Times New Roman" w:hAnsi="Times New Roman"/>
          <w:sz w:val="24"/>
          <w:szCs w:val="24"/>
          <w:lang w:val="de-DE"/>
        </w:rPr>
        <w:t xml:space="preserve">Kasper, S. &amp; Wehr, T. A. (1992). </w:t>
      </w:r>
      <w:proofErr w:type="spellStart"/>
      <w:r w:rsidRPr="00B051DB">
        <w:rPr>
          <w:rFonts w:ascii="Times New Roman" w:hAnsi="Times New Roman"/>
          <w:sz w:val="24"/>
          <w:szCs w:val="24"/>
        </w:rPr>
        <w:t>The</w:t>
      </w:r>
      <w:proofErr w:type="spellEnd"/>
      <w:r w:rsidRPr="00B051DB">
        <w:rPr>
          <w:rFonts w:ascii="Times New Roman" w:hAnsi="Times New Roman"/>
          <w:sz w:val="24"/>
          <w:szCs w:val="24"/>
        </w:rPr>
        <w:t xml:space="preserve"> role of </w:t>
      </w:r>
      <w:proofErr w:type="spellStart"/>
      <w:r w:rsidRPr="00B051DB">
        <w:rPr>
          <w:rFonts w:ascii="Times New Roman" w:hAnsi="Times New Roman"/>
          <w:sz w:val="24"/>
          <w:szCs w:val="24"/>
        </w:rPr>
        <w:t>sleep</w:t>
      </w:r>
      <w:proofErr w:type="spellEnd"/>
      <w:r w:rsidRPr="00B0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DB">
        <w:rPr>
          <w:rFonts w:ascii="Times New Roman" w:hAnsi="Times New Roman"/>
          <w:sz w:val="24"/>
          <w:szCs w:val="24"/>
        </w:rPr>
        <w:t>and</w:t>
      </w:r>
      <w:proofErr w:type="spellEnd"/>
      <w:r w:rsidRPr="00B0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DB">
        <w:rPr>
          <w:rFonts w:ascii="Times New Roman" w:hAnsi="Times New Roman"/>
          <w:sz w:val="24"/>
          <w:szCs w:val="24"/>
        </w:rPr>
        <w:t>wakefulness</w:t>
      </w:r>
      <w:proofErr w:type="spellEnd"/>
      <w:r w:rsidRPr="00B051D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051DB">
        <w:rPr>
          <w:rFonts w:ascii="Times New Roman" w:hAnsi="Times New Roman"/>
          <w:sz w:val="24"/>
          <w:szCs w:val="24"/>
        </w:rPr>
        <w:t>the</w:t>
      </w:r>
      <w:proofErr w:type="spellEnd"/>
      <w:r w:rsidRPr="00B0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DB">
        <w:rPr>
          <w:rFonts w:ascii="Times New Roman" w:hAnsi="Times New Roman"/>
          <w:sz w:val="24"/>
          <w:szCs w:val="24"/>
        </w:rPr>
        <w:t>genesis</w:t>
      </w:r>
      <w:proofErr w:type="spellEnd"/>
      <w:r w:rsidRPr="00B051DB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051DB">
        <w:rPr>
          <w:rFonts w:ascii="Times New Roman" w:hAnsi="Times New Roman"/>
          <w:sz w:val="24"/>
          <w:szCs w:val="24"/>
        </w:rPr>
        <w:t>depression</w:t>
      </w:r>
      <w:proofErr w:type="spellEnd"/>
      <w:r w:rsidRPr="00B0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DB">
        <w:rPr>
          <w:rFonts w:ascii="Times New Roman" w:hAnsi="Times New Roman"/>
          <w:sz w:val="24"/>
          <w:szCs w:val="24"/>
        </w:rPr>
        <w:t>and</w:t>
      </w:r>
      <w:proofErr w:type="spellEnd"/>
      <w:r w:rsidRPr="00B051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51DB">
        <w:rPr>
          <w:rFonts w:ascii="Times New Roman" w:hAnsi="Times New Roman"/>
          <w:sz w:val="24"/>
          <w:szCs w:val="24"/>
        </w:rPr>
        <w:t>mania</w:t>
      </w:r>
      <w:proofErr w:type="gramEnd"/>
      <w:r w:rsidRPr="00B051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51DB">
        <w:rPr>
          <w:rFonts w:ascii="Times New Roman" w:hAnsi="Times New Roman"/>
          <w:sz w:val="24"/>
          <w:szCs w:val="24"/>
        </w:rPr>
        <w:t>L'Encéphale</w:t>
      </w:r>
      <w:proofErr w:type="spellEnd"/>
      <w:r w:rsidRPr="00B051D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051DB">
        <w:rPr>
          <w:rFonts w:ascii="Times New Roman" w:hAnsi="Times New Roman"/>
          <w:sz w:val="24"/>
          <w:szCs w:val="24"/>
        </w:rPr>
        <w:t>Revue</w:t>
      </w:r>
      <w:proofErr w:type="spellEnd"/>
      <w:r w:rsidRPr="00B051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51DB">
        <w:rPr>
          <w:rFonts w:ascii="Times New Roman" w:hAnsi="Times New Roman"/>
          <w:sz w:val="24"/>
          <w:szCs w:val="24"/>
        </w:rPr>
        <w:t>psychiatrie</w:t>
      </w:r>
      <w:proofErr w:type="spellEnd"/>
      <w:r w:rsidRPr="00B0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DB">
        <w:rPr>
          <w:rFonts w:ascii="Times New Roman" w:hAnsi="Times New Roman"/>
          <w:sz w:val="24"/>
          <w:szCs w:val="24"/>
        </w:rPr>
        <w:t>clinique</w:t>
      </w:r>
      <w:proofErr w:type="spellEnd"/>
      <w:r w:rsidRPr="00B051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1DB">
        <w:rPr>
          <w:rFonts w:ascii="Times New Roman" w:hAnsi="Times New Roman"/>
          <w:sz w:val="24"/>
          <w:szCs w:val="24"/>
        </w:rPr>
        <w:t>biologique</w:t>
      </w:r>
      <w:proofErr w:type="spellEnd"/>
      <w:r w:rsidRPr="00B051DB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B051DB">
        <w:rPr>
          <w:rFonts w:ascii="Times New Roman" w:hAnsi="Times New Roman"/>
          <w:sz w:val="24"/>
          <w:szCs w:val="24"/>
        </w:rPr>
        <w:t>thérapeutique</w:t>
      </w:r>
      <w:proofErr w:type="spellEnd"/>
      <w:r w:rsidRPr="00B051DB">
        <w:rPr>
          <w:rFonts w:ascii="Times New Roman" w:hAnsi="Times New Roman"/>
          <w:sz w:val="24"/>
          <w:szCs w:val="24"/>
        </w:rPr>
        <w:t>, 18(1), 45-50.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C34">
        <w:rPr>
          <w:rFonts w:ascii="Times New Roman" w:hAnsi="Times New Roman"/>
          <w:sz w:val="24"/>
          <w:szCs w:val="24"/>
        </w:rPr>
        <w:t>Leboyer</w:t>
      </w:r>
      <w:proofErr w:type="spellEnd"/>
      <w:r w:rsidRPr="00934C34">
        <w:rPr>
          <w:rFonts w:ascii="Times New Roman" w:hAnsi="Times New Roman"/>
          <w:sz w:val="24"/>
          <w:szCs w:val="24"/>
        </w:rPr>
        <w:t>, M</w:t>
      </w:r>
      <w:proofErr w:type="gramStart"/>
      <w:r w:rsidRPr="00934C34">
        <w:rPr>
          <w:rFonts w:ascii="Times New Roman" w:hAnsi="Times New Roman"/>
          <w:sz w:val="24"/>
          <w:szCs w:val="24"/>
        </w:rPr>
        <w:t>.,</w:t>
      </w:r>
      <w:proofErr w:type="gramEnd"/>
      <w:r w:rsidRPr="00934C34">
        <w:rPr>
          <w:rFonts w:ascii="Times New Roman" w:hAnsi="Times New Roman"/>
          <w:sz w:val="24"/>
          <w:szCs w:val="24"/>
        </w:rPr>
        <w:t xml:space="preserve"> Hen</w:t>
      </w:r>
      <w:r>
        <w:rPr>
          <w:rFonts w:ascii="Times New Roman" w:hAnsi="Times New Roman"/>
          <w:sz w:val="24"/>
          <w:szCs w:val="24"/>
        </w:rPr>
        <w:t xml:space="preserve">ry, C., </w:t>
      </w:r>
      <w:proofErr w:type="spellStart"/>
      <w:r>
        <w:rPr>
          <w:rFonts w:ascii="Times New Roman" w:hAnsi="Times New Roman"/>
          <w:sz w:val="24"/>
          <w:szCs w:val="24"/>
        </w:rPr>
        <w:t>Paillere-Martinot</w:t>
      </w:r>
      <w:proofErr w:type="spellEnd"/>
      <w:r>
        <w:rPr>
          <w:rFonts w:ascii="Times New Roman" w:hAnsi="Times New Roman"/>
          <w:sz w:val="24"/>
          <w:szCs w:val="24"/>
        </w:rPr>
        <w:t>, M. L. &amp;</w:t>
      </w:r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Bellivier</w:t>
      </w:r>
      <w:proofErr w:type="spellEnd"/>
      <w:r w:rsidRPr="00934C34">
        <w:rPr>
          <w:rFonts w:ascii="Times New Roman" w:hAnsi="Times New Roman"/>
          <w:sz w:val="24"/>
          <w:szCs w:val="24"/>
        </w:rPr>
        <w:t>, 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C34">
        <w:rPr>
          <w:rFonts w:ascii="Times New Roman" w:hAnsi="Times New Roman"/>
          <w:sz w:val="24"/>
          <w:szCs w:val="24"/>
        </w:rPr>
        <w:t xml:space="preserve">H. (2005). Age at </w:t>
      </w:r>
      <w:proofErr w:type="spellStart"/>
      <w:r w:rsidRPr="00934C34">
        <w:rPr>
          <w:rFonts w:ascii="Times New Roman" w:hAnsi="Times New Roman"/>
          <w:sz w:val="24"/>
          <w:szCs w:val="24"/>
        </w:rPr>
        <w:t>onset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934C34">
        <w:rPr>
          <w:rFonts w:ascii="Times New Roman" w:hAnsi="Times New Roman"/>
          <w:sz w:val="24"/>
          <w:szCs w:val="24"/>
        </w:rPr>
        <w:t>bipolar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affective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disorders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934C34">
        <w:rPr>
          <w:rFonts w:ascii="Times New Roman" w:hAnsi="Times New Roman"/>
          <w:sz w:val="24"/>
          <w:szCs w:val="24"/>
        </w:rPr>
        <w:t>review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C34">
        <w:rPr>
          <w:rFonts w:ascii="Times New Roman" w:hAnsi="Times New Roman"/>
          <w:sz w:val="24"/>
          <w:szCs w:val="24"/>
        </w:rPr>
        <w:t>Bipolar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Disorders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, 7(2), 111-118.  </w:t>
      </w:r>
      <w:proofErr w:type="spellStart"/>
      <w:r w:rsidRPr="00934C34">
        <w:rPr>
          <w:rFonts w:ascii="Times New Roman" w:hAnsi="Times New Roman"/>
          <w:sz w:val="24"/>
          <w:szCs w:val="24"/>
        </w:rPr>
        <w:t>doi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34C34">
        <w:rPr>
          <w:rFonts w:ascii="Times New Roman" w:hAnsi="Times New Roman"/>
          <w:sz w:val="24"/>
          <w:szCs w:val="24"/>
        </w:rPr>
        <w:t>10.1111</w:t>
      </w:r>
      <w:proofErr w:type="gramEnd"/>
      <w:r w:rsidRPr="00934C34">
        <w:rPr>
          <w:rFonts w:ascii="Times New Roman" w:hAnsi="Times New Roman"/>
          <w:sz w:val="24"/>
          <w:szCs w:val="24"/>
        </w:rPr>
        <w:t>/j.1399-5618.2005.00181.x.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C34">
        <w:rPr>
          <w:rFonts w:ascii="Times New Roman" w:hAnsi="Times New Roman"/>
          <w:sz w:val="24"/>
          <w:szCs w:val="24"/>
        </w:rPr>
        <w:t>Luborsky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, L. (1962). </w:t>
      </w:r>
      <w:proofErr w:type="spellStart"/>
      <w:r w:rsidRPr="00934C34">
        <w:rPr>
          <w:rFonts w:ascii="Times New Roman" w:hAnsi="Times New Roman"/>
          <w:sz w:val="24"/>
          <w:szCs w:val="24"/>
        </w:rPr>
        <w:t>Clinicians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' </w:t>
      </w:r>
      <w:proofErr w:type="spellStart"/>
      <w:r w:rsidRPr="00934C34">
        <w:rPr>
          <w:rFonts w:ascii="Times New Roman" w:hAnsi="Times New Roman"/>
          <w:sz w:val="24"/>
          <w:szCs w:val="24"/>
        </w:rPr>
        <w:t>Judgements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34C34">
        <w:rPr>
          <w:rFonts w:ascii="Times New Roman" w:hAnsi="Times New Roman"/>
          <w:sz w:val="24"/>
          <w:szCs w:val="24"/>
        </w:rPr>
        <w:t>Mental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Health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C34">
        <w:rPr>
          <w:rFonts w:ascii="Times New Roman" w:hAnsi="Times New Roman"/>
          <w:sz w:val="24"/>
          <w:szCs w:val="24"/>
        </w:rPr>
        <w:t>Arch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Gen </w:t>
      </w:r>
      <w:proofErr w:type="spellStart"/>
      <w:r w:rsidRPr="00934C34">
        <w:rPr>
          <w:rFonts w:ascii="Times New Roman" w:hAnsi="Times New Roman"/>
          <w:sz w:val="24"/>
          <w:szCs w:val="24"/>
        </w:rPr>
        <w:t>Psychiatry</w:t>
      </w:r>
      <w:proofErr w:type="spellEnd"/>
      <w:r w:rsidRPr="00934C34">
        <w:rPr>
          <w:rFonts w:ascii="Times New Roman" w:hAnsi="Times New Roman"/>
          <w:sz w:val="24"/>
          <w:szCs w:val="24"/>
        </w:rPr>
        <w:t>, 7, 407–17.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C34">
        <w:rPr>
          <w:rFonts w:ascii="Times New Roman" w:hAnsi="Times New Roman"/>
          <w:sz w:val="24"/>
          <w:szCs w:val="24"/>
        </w:rPr>
        <w:t>Miklowitz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, D. (2008). </w:t>
      </w:r>
      <w:proofErr w:type="spellStart"/>
      <w:r w:rsidRPr="00934C34">
        <w:rPr>
          <w:rFonts w:ascii="Times New Roman" w:hAnsi="Times New Roman"/>
          <w:sz w:val="24"/>
          <w:szCs w:val="24"/>
        </w:rPr>
        <w:t>Adjunctive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Psychotherapy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for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Bipolar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Disorder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34C34">
        <w:rPr>
          <w:rFonts w:ascii="Times New Roman" w:hAnsi="Times New Roman"/>
          <w:sz w:val="24"/>
          <w:szCs w:val="24"/>
        </w:rPr>
        <w:t>State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34C34">
        <w:rPr>
          <w:rFonts w:ascii="Times New Roman" w:hAnsi="Times New Roman"/>
          <w:sz w:val="24"/>
          <w:szCs w:val="24"/>
        </w:rPr>
        <w:t>the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Evidence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. Am J </w:t>
      </w:r>
      <w:proofErr w:type="spellStart"/>
      <w:r w:rsidRPr="00934C34">
        <w:rPr>
          <w:rFonts w:ascii="Times New Roman" w:hAnsi="Times New Roman"/>
          <w:sz w:val="24"/>
          <w:szCs w:val="24"/>
        </w:rPr>
        <w:t>Psychiatry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, 165(11), 1408–1419. </w:t>
      </w:r>
      <w:proofErr w:type="spellStart"/>
      <w:r w:rsidRPr="00934C34">
        <w:rPr>
          <w:rFonts w:ascii="Times New Roman" w:hAnsi="Times New Roman"/>
          <w:sz w:val="24"/>
          <w:szCs w:val="24"/>
        </w:rPr>
        <w:t>doi</w:t>
      </w:r>
      <w:proofErr w:type="spellEnd"/>
      <w:r w:rsidRPr="00934C34">
        <w:rPr>
          <w:rFonts w:ascii="Times New Roman" w:hAnsi="Times New Roman"/>
          <w:sz w:val="24"/>
          <w:szCs w:val="24"/>
        </w:rPr>
        <w:t>: 10.1176/</w:t>
      </w:r>
      <w:proofErr w:type="gramStart"/>
      <w:r w:rsidRPr="00934C34">
        <w:rPr>
          <w:rFonts w:ascii="Times New Roman" w:hAnsi="Times New Roman"/>
          <w:sz w:val="24"/>
          <w:szCs w:val="24"/>
        </w:rPr>
        <w:t>appi.ajp</w:t>
      </w:r>
      <w:proofErr w:type="gramEnd"/>
      <w:r w:rsidRPr="00934C34">
        <w:rPr>
          <w:rFonts w:ascii="Times New Roman" w:hAnsi="Times New Roman"/>
          <w:sz w:val="24"/>
          <w:szCs w:val="24"/>
        </w:rPr>
        <w:t>.2008.08040488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C34">
        <w:rPr>
          <w:rFonts w:ascii="Times New Roman" w:hAnsi="Times New Roman"/>
          <w:sz w:val="24"/>
          <w:szCs w:val="24"/>
        </w:rPr>
        <w:t>Miziou</w:t>
      </w:r>
      <w:proofErr w:type="spellEnd"/>
      <w:r w:rsidRPr="00934C34">
        <w:rPr>
          <w:rFonts w:ascii="Times New Roman" w:hAnsi="Times New Roman"/>
          <w:sz w:val="24"/>
          <w:szCs w:val="24"/>
        </w:rPr>
        <w:t>, S</w:t>
      </w:r>
      <w:proofErr w:type="gramStart"/>
      <w:r w:rsidRPr="00934C34">
        <w:rPr>
          <w:rFonts w:ascii="Times New Roman" w:hAnsi="Times New Roman"/>
          <w:sz w:val="24"/>
          <w:szCs w:val="24"/>
        </w:rPr>
        <w:t>.,</w:t>
      </w:r>
      <w:proofErr w:type="gram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Tsitsipa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, E., </w:t>
      </w:r>
      <w:proofErr w:type="spellStart"/>
      <w:r w:rsidRPr="00934C34">
        <w:rPr>
          <w:rFonts w:ascii="Times New Roman" w:hAnsi="Times New Roman"/>
          <w:sz w:val="24"/>
          <w:szCs w:val="24"/>
        </w:rPr>
        <w:t>Moysidou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934C34">
        <w:rPr>
          <w:rFonts w:ascii="Times New Roman" w:hAnsi="Times New Roman"/>
          <w:sz w:val="24"/>
          <w:szCs w:val="24"/>
        </w:rPr>
        <w:t>Karavelas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, V., </w:t>
      </w:r>
      <w:proofErr w:type="spellStart"/>
      <w:r w:rsidRPr="00934C34">
        <w:rPr>
          <w:rFonts w:ascii="Times New Roman" w:hAnsi="Times New Roman"/>
          <w:sz w:val="24"/>
          <w:szCs w:val="24"/>
        </w:rPr>
        <w:t>Dimelis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, D., </w:t>
      </w:r>
      <w:proofErr w:type="spellStart"/>
      <w:r w:rsidRPr="00934C34">
        <w:rPr>
          <w:rFonts w:ascii="Times New Roman" w:hAnsi="Times New Roman"/>
          <w:sz w:val="24"/>
          <w:szCs w:val="24"/>
        </w:rPr>
        <w:t>Polyzoidou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, V., </w:t>
      </w:r>
      <w:proofErr w:type="spellStart"/>
      <w:r w:rsidRPr="00934C34">
        <w:rPr>
          <w:rFonts w:ascii="Times New Roman" w:hAnsi="Times New Roman"/>
          <w:sz w:val="24"/>
          <w:szCs w:val="24"/>
        </w:rPr>
        <w:t>Fountoulakis</w:t>
      </w:r>
      <w:proofErr w:type="spellEnd"/>
      <w:r w:rsidRPr="00934C34">
        <w:rPr>
          <w:rFonts w:ascii="Times New Roman" w:hAnsi="Times New Roman"/>
          <w:sz w:val="24"/>
          <w:szCs w:val="24"/>
        </w:rPr>
        <w:t>, 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C34">
        <w:rPr>
          <w:rFonts w:ascii="Times New Roman" w:hAnsi="Times New Roman"/>
          <w:sz w:val="24"/>
          <w:szCs w:val="24"/>
        </w:rPr>
        <w:t xml:space="preserve">N. (2015). </w:t>
      </w:r>
      <w:proofErr w:type="spellStart"/>
      <w:r w:rsidRPr="00934C34">
        <w:rPr>
          <w:rFonts w:ascii="Times New Roman" w:hAnsi="Times New Roman"/>
          <w:sz w:val="24"/>
          <w:szCs w:val="24"/>
        </w:rPr>
        <w:t>Psychosocial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treatment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and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interventions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for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bipolar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disorder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934C34">
        <w:rPr>
          <w:rFonts w:ascii="Times New Roman" w:hAnsi="Times New Roman"/>
          <w:sz w:val="24"/>
          <w:szCs w:val="24"/>
        </w:rPr>
        <w:t>systematic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review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C34">
        <w:rPr>
          <w:rFonts w:ascii="Times New Roman" w:hAnsi="Times New Roman"/>
          <w:sz w:val="24"/>
          <w:szCs w:val="24"/>
        </w:rPr>
        <w:t>Ann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Gen </w:t>
      </w:r>
      <w:proofErr w:type="spellStart"/>
      <w:r w:rsidRPr="00934C34">
        <w:rPr>
          <w:rFonts w:ascii="Times New Roman" w:hAnsi="Times New Roman"/>
          <w:sz w:val="24"/>
          <w:szCs w:val="24"/>
        </w:rPr>
        <w:t>Psychiatry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, 14, 19. </w:t>
      </w:r>
      <w:proofErr w:type="spellStart"/>
      <w:r w:rsidRPr="00934C34">
        <w:rPr>
          <w:rFonts w:ascii="Times New Roman" w:hAnsi="Times New Roman"/>
          <w:sz w:val="24"/>
          <w:szCs w:val="24"/>
        </w:rPr>
        <w:t>doi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34C34">
        <w:rPr>
          <w:rFonts w:ascii="Times New Roman" w:hAnsi="Times New Roman"/>
          <w:sz w:val="24"/>
          <w:szCs w:val="24"/>
        </w:rPr>
        <w:t>10.1186</w:t>
      </w:r>
      <w:proofErr w:type="gramEnd"/>
      <w:r w:rsidRPr="00934C34">
        <w:rPr>
          <w:rFonts w:ascii="Times New Roman" w:hAnsi="Times New Roman"/>
          <w:sz w:val="24"/>
          <w:szCs w:val="24"/>
        </w:rPr>
        <w:t>/s12991-015-0057-z.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C34">
        <w:rPr>
          <w:rFonts w:ascii="Times New Roman" w:hAnsi="Times New Roman"/>
          <w:sz w:val="24"/>
          <w:szCs w:val="24"/>
        </w:rPr>
        <w:lastRenderedPageBreak/>
        <w:t>Morisky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34C34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4C3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Pr="00934C34">
        <w:rPr>
          <w:rFonts w:ascii="Times New Roman" w:hAnsi="Times New Roman"/>
          <w:sz w:val="24"/>
          <w:szCs w:val="24"/>
        </w:rPr>
        <w:t xml:space="preserve"> </w:t>
      </w:r>
      <w:r w:rsidRPr="00C55348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934C34"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Matteo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, M. R. (2011). </w:t>
      </w:r>
      <w:proofErr w:type="spellStart"/>
      <w:r w:rsidRPr="00934C34">
        <w:rPr>
          <w:rFonts w:ascii="Times New Roman" w:hAnsi="Times New Roman"/>
          <w:sz w:val="24"/>
          <w:szCs w:val="24"/>
        </w:rPr>
        <w:t>Improving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the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measurement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34C34">
        <w:rPr>
          <w:rFonts w:ascii="Times New Roman" w:hAnsi="Times New Roman"/>
          <w:sz w:val="24"/>
          <w:szCs w:val="24"/>
        </w:rPr>
        <w:t>selfreported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medication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nonadherence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: Final </w:t>
      </w:r>
      <w:proofErr w:type="spellStart"/>
      <w:r w:rsidRPr="00934C34">
        <w:rPr>
          <w:rFonts w:ascii="Times New Roman" w:hAnsi="Times New Roman"/>
          <w:sz w:val="24"/>
          <w:szCs w:val="24"/>
        </w:rPr>
        <w:t>response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C34">
        <w:rPr>
          <w:rFonts w:ascii="Times New Roman" w:hAnsi="Times New Roman"/>
          <w:sz w:val="24"/>
          <w:szCs w:val="24"/>
        </w:rPr>
        <w:t>Journal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34C34">
        <w:rPr>
          <w:rFonts w:ascii="Times New Roman" w:hAnsi="Times New Roman"/>
          <w:sz w:val="24"/>
          <w:szCs w:val="24"/>
        </w:rPr>
        <w:t>Clinical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Epidemiology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C34">
        <w:rPr>
          <w:rFonts w:ascii="Times New Roman" w:hAnsi="Times New Roman"/>
          <w:sz w:val="24"/>
          <w:szCs w:val="24"/>
        </w:rPr>
        <w:t xml:space="preserve">64, 262-263. </w:t>
      </w:r>
      <w:proofErr w:type="spellStart"/>
      <w:r w:rsidRPr="00934C34">
        <w:rPr>
          <w:rFonts w:ascii="Times New Roman" w:hAnsi="Times New Roman"/>
          <w:sz w:val="24"/>
          <w:szCs w:val="24"/>
        </w:rPr>
        <w:t>doi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934C34">
        <w:rPr>
          <w:rFonts w:ascii="Times New Roman" w:hAnsi="Times New Roman"/>
          <w:sz w:val="24"/>
          <w:szCs w:val="24"/>
        </w:rPr>
        <w:t>10.1016</w:t>
      </w:r>
      <w:proofErr w:type="gramEnd"/>
      <w:r w:rsidRPr="00934C34">
        <w:rPr>
          <w:rFonts w:ascii="Times New Roman" w:hAnsi="Times New Roman"/>
          <w:sz w:val="24"/>
          <w:szCs w:val="24"/>
        </w:rPr>
        <w:t>/j.jclinepi.2010.09.002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C34">
        <w:rPr>
          <w:rFonts w:ascii="Times New Roman" w:hAnsi="Times New Roman"/>
          <w:sz w:val="24"/>
          <w:szCs w:val="24"/>
        </w:rPr>
        <w:t>Peet</w:t>
      </w:r>
      <w:proofErr w:type="spellEnd"/>
      <w:r>
        <w:rPr>
          <w:rFonts w:ascii="Times New Roman" w:hAnsi="Times New Roman"/>
          <w:sz w:val="24"/>
          <w:szCs w:val="24"/>
        </w:rPr>
        <w:t>, M.</w:t>
      </w:r>
      <w:r w:rsidRPr="00934C34">
        <w:rPr>
          <w:rFonts w:ascii="Times New Roman" w:hAnsi="Times New Roman"/>
          <w:sz w:val="24"/>
          <w:szCs w:val="24"/>
        </w:rPr>
        <w:t xml:space="preserve"> H. </w:t>
      </w:r>
      <w:r w:rsidRPr="00B83E3A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B83E3A">
        <w:rPr>
          <w:rFonts w:ascii="Times New Roman" w:hAnsi="Times New Roman"/>
          <w:sz w:val="24"/>
          <w:szCs w:val="24"/>
        </w:rPr>
        <w:t>Harvey</w:t>
      </w:r>
      <w:proofErr w:type="spellEnd"/>
      <w:r w:rsidRPr="00B83E3A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 xml:space="preserve">. S. </w:t>
      </w:r>
      <w:r w:rsidRPr="00934C34">
        <w:rPr>
          <w:rFonts w:ascii="Times New Roman" w:hAnsi="Times New Roman"/>
          <w:sz w:val="24"/>
          <w:szCs w:val="24"/>
        </w:rPr>
        <w:t xml:space="preserve">(1991). </w:t>
      </w:r>
      <w:proofErr w:type="spellStart"/>
      <w:r w:rsidRPr="00934C34">
        <w:rPr>
          <w:rFonts w:ascii="Times New Roman" w:hAnsi="Times New Roman"/>
          <w:sz w:val="24"/>
          <w:szCs w:val="24"/>
        </w:rPr>
        <w:t>Lithium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maintenance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: 1. A </w:t>
      </w:r>
      <w:proofErr w:type="spellStart"/>
      <w:r w:rsidRPr="00934C34">
        <w:rPr>
          <w:rFonts w:ascii="Times New Roman" w:hAnsi="Times New Roman"/>
          <w:sz w:val="24"/>
          <w:szCs w:val="24"/>
        </w:rPr>
        <w:t>standard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education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34C34">
        <w:rPr>
          <w:rFonts w:ascii="Times New Roman" w:hAnsi="Times New Roman"/>
          <w:sz w:val="24"/>
          <w:szCs w:val="24"/>
        </w:rPr>
        <w:t>for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patients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4C34">
        <w:rPr>
          <w:rFonts w:ascii="Times New Roman" w:hAnsi="Times New Roman"/>
          <w:sz w:val="24"/>
          <w:szCs w:val="24"/>
        </w:rPr>
        <w:t>Br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J </w:t>
      </w:r>
      <w:proofErr w:type="spellStart"/>
      <w:r w:rsidRPr="00934C34">
        <w:rPr>
          <w:rFonts w:ascii="Times New Roman" w:hAnsi="Times New Roman"/>
          <w:sz w:val="24"/>
          <w:szCs w:val="24"/>
        </w:rPr>
        <w:t>Psychiatry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34C34">
        <w:rPr>
          <w:rFonts w:ascii="Times New Roman" w:hAnsi="Times New Roman"/>
          <w:sz w:val="24"/>
          <w:szCs w:val="24"/>
        </w:rPr>
        <w:t xml:space="preserve"> 158, 197–200.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34C34">
        <w:rPr>
          <w:rFonts w:ascii="Times New Roman" w:hAnsi="Times New Roman"/>
          <w:sz w:val="24"/>
          <w:szCs w:val="24"/>
        </w:rPr>
        <w:t>Perry</w:t>
      </w:r>
      <w:r>
        <w:rPr>
          <w:rFonts w:ascii="Times New Roman" w:hAnsi="Times New Roman"/>
          <w:sz w:val="24"/>
          <w:szCs w:val="24"/>
        </w:rPr>
        <w:t>,</w:t>
      </w:r>
      <w:r w:rsidRPr="00934C34">
        <w:rPr>
          <w:rFonts w:ascii="Times New Roman" w:hAnsi="Times New Roman"/>
          <w:sz w:val="24"/>
          <w:szCs w:val="24"/>
        </w:rPr>
        <w:t xml:space="preserve"> A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34C34">
        <w:rPr>
          <w:rFonts w:ascii="Times New Roman" w:hAnsi="Times New Roman"/>
          <w:sz w:val="24"/>
          <w:szCs w:val="24"/>
        </w:rPr>
        <w:t>,</w:t>
      </w:r>
      <w:proofErr w:type="gram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78D">
        <w:rPr>
          <w:rFonts w:ascii="Times New Roman" w:hAnsi="Times New Roman"/>
          <w:sz w:val="24"/>
          <w:szCs w:val="24"/>
        </w:rPr>
        <w:t>Tarrier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6778D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.</w:t>
      </w:r>
      <w:r w:rsidRPr="007677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778D">
        <w:rPr>
          <w:rFonts w:ascii="Times New Roman" w:hAnsi="Times New Roman"/>
          <w:sz w:val="24"/>
          <w:szCs w:val="24"/>
        </w:rPr>
        <w:t>Morriss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6778D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  <w:r w:rsidRPr="007677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778D">
        <w:rPr>
          <w:rFonts w:ascii="Times New Roman" w:hAnsi="Times New Roman"/>
          <w:sz w:val="24"/>
          <w:szCs w:val="24"/>
        </w:rPr>
        <w:t>McCarthy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6778D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.</w:t>
      </w:r>
      <w:r w:rsidRPr="0076778D">
        <w:rPr>
          <w:rFonts w:ascii="Times New Roman" w:hAnsi="Times New Roman"/>
          <w:sz w:val="24"/>
          <w:szCs w:val="24"/>
        </w:rPr>
        <w:t xml:space="preserve"> </w:t>
      </w:r>
      <w:r w:rsidRPr="00B87013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76778D">
        <w:rPr>
          <w:rFonts w:ascii="Times New Roman" w:hAnsi="Times New Roman"/>
          <w:sz w:val="24"/>
          <w:szCs w:val="24"/>
        </w:rPr>
        <w:t>Limb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6778D">
        <w:rPr>
          <w:rFonts w:ascii="Times New Roman" w:hAnsi="Times New Roman"/>
          <w:sz w:val="24"/>
          <w:szCs w:val="24"/>
        </w:rPr>
        <w:t xml:space="preserve"> K. </w:t>
      </w:r>
      <w:r w:rsidRPr="00934C34">
        <w:rPr>
          <w:rFonts w:ascii="Times New Roman" w:hAnsi="Times New Roman"/>
          <w:sz w:val="24"/>
          <w:szCs w:val="24"/>
        </w:rPr>
        <w:t xml:space="preserve">(1999). </w:t>
      </w:r>
      <w:proofErr w:type="spellStart"/>
      <w:r w:rsidRPr="00934C34">
        <w:rPr>
          <w:rFonts w:ascii="Times New Roman" w:hAnsi="Times New Roman"/>
          <w:sz w:val="24"/>
          <w:szCs w:val="24"/>
        </w:rPr>
        <w:t>Randomised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controlled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trial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34C34">
        <w:rPr>
          <w:rFonts w:ascii="Times New Roman" w:hAnsi="Times New Roman"/>
          <w:sz w:val="24"/>
          <w:szCs w:val="24"/>
        </w:rPr>
        <w:t>efficacy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34C34">
        <w:rPr>
          <w:rFonts w:ascii="Times New Roman" w:hAnsi="Times New Roman"/>
          <w:sz w:val="24"/>
          <w:szCs w:val="24"/>
        </w:rPr>
        <w:t>teaching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patients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with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bipolar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disorder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to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identify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early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symptoms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34C34">
        <w:rPr>
          <w:rFonts w:ascii="Times New Roman" w:hAnsi="Times New Roman"/>
          <w:sz w:val="24"/>
          <w:szCs w:val="24"/>
        </w:rPr>
        <w:t>relapse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and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obtain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treatment</w:t>
      </w:r>
      <w:proofErr w:type="spellEnd"/>
      <w:r w:rsidRPr="00934C34">
        <w:rPr>
          <w:rFonts w:ascii="Times New Roman" w:hAnsi="Times New Roman"/>
          <w:sz w:val="24"/>
          <w:szCs w:val="24"/>
        </w:rPr>
        <w:t>. BMJ</w:t>
      </w:r>
      <w:r>
        <w:rPr>
          <w:rFonts w:ascii="Times New Roman" w:hAnsi="Times New Roman"/>
          <w:sz w:val="24"/>
          <w:szCs w:val="24"/>
        </w:rPr>
        <w:t>,</w:t>
      </w:r>
      <w:r w:rsidRPr="00934C34">
        <w:rPr>
          <w:rFonts w:ascii="Times New Roman" w:hAnsi="Times New Roman"/>
          <w:sz w:val="24"/>
          <w:szCs w:val="24"/>
        </w:rPr>
        <w:t xml:space="preserve"> 318, 149–</w:t>
      </w:r>
      <w:r>
        <w:rPr>
          <w:rFonts w:ascii="Times New Roman" w:hAnsi="Times New Roman"/>
          <w:sz w:val="24"/>
          <w:szCs w:val="24"/>
        </w:rPr>
        <w:t>1</w:t>
      </w:r>
      <w:r w:rsidRPr="00934C34">
        <w:rPr>
          <w:rFonts w:ascii="Times New Roman" w:hAnsi="Times New Roman"/>
          <w:sz w:val="24"/>
          <w:szCs w:val="24"/>
        </w:rPr>
        <w:t>53.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Rouget</w:t>
      </w:r>
      <w:proofErr w:type="spellEnd"/>
      <w:r>
        <w:rPr>
          <w:rFonts w:ascii="Times New Roman" w:hAnsi="Times New Roman"/>
          <w:sz w:val="24"/>
          <w:szCs w:val="24"/>
        </w:rPr>
        <w:t>, B. W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Augry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34C34">
        <w:rPr>
          <w:rFonts w:ascii="Times New Roman" w:hAnsi="Times New Roman"/>
          <w:sz w:val="24"/>
          <w:szCs w:val="24"/>
        </w:rPr>
        <w:t xml:space="preserve"> J.</w:t>
      </w:r>
      <w:r>
        <w:rPr>
          <w:rFonts w:ascii="Times New Roman" w:hAnsi="Times New Roman"/>
          <w:sz w:val="24"/>
          <w:szCs w:val="24"/>
        </w:rPr>
        <w:t xml:space="preserve"> M.</w:t>
      </w:r>
      <w:r w:rsidRPr="00934C34">
        <w:rPr>
          <w:rFonts w:ascii="Times New Roman" w:hAnsi="Times New Roman"/>
          <w:sz w:val="24"/>
          <w:szCs w:val="24"/>
        </w:rPr>
        <w:t xml:space="preserve"> (2007). </w:t>
      </w:r>
      <w:proofErr w:type="spellStart"/>
      <w:r w:rsidRPr="00934C34">
        <w:rPr>
          <w:rFonts w:ascii="Times New Roman" w:hAnsi="Times New Roman"/>
          <w:sz w:val="24"/>
          <w:szCs w:val="24"/>
        </w:rPr>
        <w:t>Efficacy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34C34">
        <w:rPr>
          <w:rFonts w:ascii="Times New Roman" w:hAnsi="Times New Roman"/>
          <w:sz w:val="24"/>
          <w:szCs w:val="24"/>
        </w:rPr>
        <w:t>psychoeducational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approaches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34C34">
        <w:rPr>
          <w:rFonts w:ascii="Times New Roman" w:hAnsi="Times New Roman"/>
          <w:sz w:val="24"/>
          <w:szCs w:val="24"/>
        </w:rPr>
        <w:t>bipolar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disorders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934C34">
        <w:rPr>
          <w:rFonts w:ascii="Times New Roman" w:hAnsi="Times New Roman"/>
          <w:sz w:val="24"/>
          <w:szCs w:val="24"/>
        </w:rPr>
        <w:t>review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34C34">
        <w:rPr>
          <w:rFonts w:ascii="Times New Roman" w:hAnsi="Times New Roman"/>
          <w:sz w:val="24"/>
          <w:szCs w:val="24"/>
        </w:rPr>
        <w:t>the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literature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. J </w:t>
      </w:r>
      <w:proofErr w:type="spellStart"/>
      <w:r w:rsidRPr="00934C34">
        <w:rPr>
          <w:rFonts w:ascii="Times New Roman" w:hAnsi="Times New Roman"/>
          <w:sz w:val="24"/>
          <w:szCs w:val="24"/>
        </w:rPr>
        <w:t>Affective</w:t>
      </w:r>
      <w:proofErr w:type="spellEnd"/>
      <w:r w:rsidRPr="00934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C34">
        <w:rPr>
          <w:rFonts w:ascii="Times New Roman" w:hAnsi="Times New Roman"/>
          <w:sz w:val="24"/>
          <w:szCs w:val="24"/>
        </w:rPr>
        <w:t>Disord</w:t>
      </w:r>
      <w:proofErr w:type="spellEnd"/>
      <w:proofErr w:type="gramStart"/>
      <w:r w:rsidRPr="00934C34">
        <w:rPr>
          <w:rFonts w:ascii="Times New Roman" w:hAnsi="Times New Roman"/>
          <w:sz w:val="24"/>
          <w:szCs w:val="24"/>
        </w:rPr>
        <w:t>.,</w:t>
      </w:r>
      <w:proofErr w:type="gramEnd"/>
      <w:r w:rsidRPr="00934C34">
        <w:rPr>
          <w:rFonts w:ascii="Times New Roman" w:hAnsi="Times New Roman"/>
          <w:sz w:val="24"/>
          <w:szCs w:val="24"/>
        </w:rPr>
        <w:t xml:space="preserve"> 98(1-2), 11–27.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228">
        <w:rPr>
          <w:rFonts w:ascii="Times New Roman" w:hAnsi="Times New Roman"/>
          <w:sz w:val="24"/>
          <w:szCs w:val="24"/>
        </w:rPr>
        <w:t>Sajatovic</w:t>
      </w:r>
      <w:proofErr w:type="spellEnd"/>
      <w:r w:rsidRPr="00757228">
        <w:rPr>
          <w:rFonts w:ascii="Times New Roman" w:hAnsi="Times New Roman"/>
          <w:sz w:val="24"/>
          <w:szCs w:val="24"/>
        </w:rPr>
        <w:t>, M</w:t>
      </w:r>
      <w:proofErr w:type="gramStart"/>
      <w:r w:rsidRPr="00757228">
        <w:rPr>
          <w:rFonts w:ascii="Times New Roman" w:hAnsi="Times New Roman"/>
          <w:sz w:val="24"/>
          <w:szCs w:val="24"/>
        </w:rPr>
        <w:t>.,</w:t>
      </w:r>
      <w:proofErr w:type="gramEnd"/>
      <w:r w:rsidRPr="00757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228">
        <w:rPr>
          <w:rFonts w:ascii="Times New Roman" w:hAnsi="Times New Roman"/>
          <w:sz w:val="24"/>
          <w:szCs w:val="24"/>
        </w:rPr>
        <w:t>Davies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, M. A., </w:t>
      </w:r>
      <w:proofErr w:type="spellStart"/>
      <w:r w:rsidRPr="00757228">
        <w:rPr>
          <w:rFonts w:ascii="Times New Roman" w:hAnsi="Times New Roman"/>
          <w:sz w:val="24"/>
          <w:szCs w:val="24"/>
        </w:rPr>
        <w:t>Ganocy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, S. J., </w:t>
      </w:r>
      <w:proofErr w:type="spellStart"/>
      <w:r w:rsidRPr="00757228">
        <w:rPr>
          <w:rFonts w:ascii="Times New Roman" w:hAnsi="Times New Roman"/>
          <w:sz w:val="24"/>
          <w:szCs w:val="24"/>
        </w:rPr>
        <w:t>Bauer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, M. S., </w:t>
      </w:r>
      <w:proofErr w:type="spellStart"/>
      <w:r w:rsidRPr="00757228">
        <w:rPr>
          <w:rFonts w:ascii="Times New Roman" w:hAnsi="Times New Roman"/>
          <w:sz w:val="24"/>
          <w:szCs w:val="24"/>
        </w:rPr>
        <w:t>Cassidy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, K. A., Hays, R. W., … </w:t>
      </w:r>
      <w:proofErr w:type="spellStart"/>
      <w:r w:rsidRPr="00757228">
        <w:rPr>
          <w:rFonts w:ascii="Times New Roman" w:hAnsi="Times New Roman"/>
          <w:sz w:val="24"/>
          <w:szCs w:val="24"/>
        </w:rPr>
        <w:t>Calabrese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, J. R. (2009). A </w:t>
      </w:r>
      <w:proofErr w:type="spellStart"/>
      <w:r w:rsidRPr="00757228">
        <w:rPr>
          <w:rFonts w:ascii="Times New Roman" w:hAnsi="Times New Roman"/>
          <w:sz w:val="24"/>
          <w:szCs w:val="24"/>
        </w:rPr>
        <w:t>comparison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757228">
        <w:rPr>
          <w:rFonts w:ascii="Times New Roman" w:hAnsi="Times New Roman"/>
          <w:sz w:val="24"/>
          <w:szCs w:val="24"/>
        </w:rPr>
        <w:t>the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 life </w:t>
      </w:r>
      <w:proofErr w:type="spellStart"/>
      <w:r w:rsidRPr="00757228">
        <w:rPr>
          <w:rFonts w:ascii="Times New Roman" w:hAnsi="Times New Roman"/>
          <w:sz w:val="24"/>
          <w:szCs w:val="24"/>
        </w:rPr>
        <w:t>goals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757228">
        <w:rPr>
          <w:rFonts w:ascii="Times New Roman" w:hAnsi="Times New Roman"/>
          <w:sz w:val="24"/>
          <w:szCs w:val="24"/>
        </w:rPr>
        <w:t>and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228">
        <w:rPr>
          <w:rFonts w:ascii="Times New Roman" w:hAnsi="Times New Roman"/>
          <w:sz w:val="24"/>
          <w:szCs w:val="24"/>
        </w:rPr>
        <w:t>treatment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Pr="00757228">
        <w:rPr>
          <w:rFonts w:ascii="Times New Roman" w:hAnsi="Times New Roman"/>
          <w:sz w:val="24"/>
          <w:szCs w:val="24"/>
        </w:rPr>
        <w:t>usual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228">
        <w:rPr>
          <w:rFonts w:ascii="Times New Roman" w:hAnsi="Times New Roman"/>
          <w:sz w:val="24"/>
          <w:szCs w:val="24"/>
        </w:rPr>
        <w:t>for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228">
        <w:rPr>
          <w:rFonts w:ascii="Times New Roman" w:hAnsi="Times New Roman"/>
          <w:sz w:val="24"/>
          <w:szCs w:val="24"/>
        </w:rPr>
        <w:t>individuals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228">
        <w:rPr>
          <w:rFonts w:ascii="Times New Roman" w:hAnsi="Times New Roman"/>
          <w:sz w:val="24"/>
          <w:szCs w:val="24"/>
        </w:rPr>
        <w:t>with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228">
        <w:rPr>
          <w:rFonts w:ascii="Times New Roman" w:hAnsi="Times New Roman"/>
          <w:sz w:val="24"/>
          <w:szCs w:val="24"/>
        </w:rPr>
        <w:t>bipolar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228">
        <w:rPr>
          <w:rFonts w:ascii="Times New Roman" w:hAnsi="Times New Roman"/>
          <w:sz w:val="24"/>
          <w:szCs w:val="24"/>
        </w:rPr>
        <w:t>disorder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7228">
        <w:rPr>
          <w:rFonts w:ascii="Times New Roman" w:hAnsi="Times New Roman"/>
          <w:sz w:val="24"/>
          <w:szCs w:val="24"/>
        </w:rPr>
        <w:t>Psychiatric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228">
        <w:rPr>
          <w:rFonts w:ascii="Times New Roman" w:hAnsi="Times New Roman"/>
          <w:sz w:val="24"/>
          <w:szCs w:val="24"/>
        </w:rPr>
        <w:t>services</w:t>
      </w:r>
      <w:proofErr w:type="spellEnd"/>
      <w:r w:rsidRPr="00757228">
        <w:rPr>
          <w:rFonts w:ascii="Times New Roman" w:hAnsi="Times New Roman"/>
          <w:sz w:val="24"/>
          <w:szCs w:val="24"/>
        </w:rPr>
        <w:t xml:space="preserve"> (Washington, D.C.), 60(9), 1182–1189. doi:</w:t>
      </w:r>
      <w:proofErr w:type="gramStart"/>
      <w:r w:rsidRPr="00757228">
        <w:rPr>
          <w:rFonts w:ascii="Times New Roman" w:hAnsi="Times New Roman"/>
          <w:sz w:val="24"/>
          <w:szCs w:val="24"/>
        </w:rPr>
        <w:t>10.1176</w:t>
      </w:r>
      <w:proofErr w:type="gramEnd"/>
      <w:r w:rsidRPr="00757228">
        <w:rPr>
          <w:rFonts w:ascii="Times New Roman" w:hAnsi="Times New Roman"/>
          <w:sz w:val="24"/>
          <w:szCs w:val="24"/>
        </w:rPr>
        <w:t>/ps.2009.60.9.1182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14B">
        <w:rPr>
          <w:rFonts w:ascii="Times New Roman" w:hAnsi="Times New Roman"/>
          <w:sz w:val="24"/>
          <w:szCs w:val="24"/>
        </w:rPr>
        <w:t>Segarra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1114B">
        <w:rPr>
          <w:rFonts w:ascii="Times New Roman" w:hAnsi="Times New Roman"/>
          <w:sz w:val="24"/>
          <w:szCs w:val="24"/>
        </w:rPr>
        <w:t xml:space="preserve"> R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1114B">
        <w:rPr>
          <w:rFonts w:ascii="Times New Roman" w:hAnsi="Times New Roman"/>
          <w:sz w:val="24"/>
          <w:szCs w:val="24"/>
        </w:rPr>
        <w:t>,</w:t>
      </w:r>
      <w:proofErr w:type="gram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340E">
        <w:rPr>
          <w:rFonts w:ascii="Times New Roman" w:hAnsi="Times New Roman"/>
          <w:sz w:val="24"/>
          <w:szCs w:val="24"/>
        </w:rPr>
        <w:t>Ojeda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D340E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.</w:t>
      </w:r>
      <w:r w:rsidRPr="00CD34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40E">
        <w:rPr>
          <w:rFonts w:ascii="Times New Roman" w:hAnsi="Times New Roman"/>
          <w:sz w:val="24"/>
          <w:szCs w:val="24"/>
        </w:rPr>
        <w:t>Peña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D340E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CD34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40E">
        <w:rPr>
          <w:rFonts w:ascii="Times New Roman" w:hAnsi="Times New Roman"/>
          <w:sz w:val="24"/>
          <w:szCs w:val="24"/>
        </w:rPr>
        <w:t>García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D340E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.</w:t>
      </w:r>
      <w:r w:rsidRPr="00CD34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40E">
        <w:rPr>
          <w:rFonts w:ascii="Times New Roman" w:hAnsi="Times New Roman"/>
          <w:sz w:val="24"/>
          <w:szCs w:val="24"/>
        </w:rPr>
        <w:t>Rodriguez-Morales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D340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CD34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340E">
        <w:rPr>
          <w:rFonts w:ascii="Times New Roman" w:hAnsi="Times New Roman"/>
          <w:sz w:val="24"/>
          <w:szCs w:val="24"/>
        </w:rPr>
        <w:t>Ruiz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D340E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.</w:t>
      </w:r>
      <w:r w:rsidRPr="00CD340E">
        <w:rPr>
          <w:rFonts w:ascii="Times New Roman" w:hAnsi="Times New Roman"/>
          <w:sz w:val="24"/>
          <w:szCs w:val="24"/>
        </w:rPr>
        <w:t>,</w:t>
      </w:r>
      <w:r w:rsidRPr="00111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CD340E">
        <w:t xml:space="preserve"> </w:t>
      </w:r>
      <w:proofErr w:type="spellStart"/>
      <w:r w:rsidRPr="00CD340E">
        <w:rPr>
          <w:rFonts w:ascii="Times New Roman" w:hAnsi="Times New Roman"/>
          <w:sz w:val="24"/>
          <w:szCs w:val="24"/>
        </w:rPr>
        <w:t>Gutiérrez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D340E"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</w:rPr>
        <w:t xml:space="preserve"> (2012</w:t>
      </w:r>
      <w:r w:rsidRPr="0011114B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11114B">
        <w:rPr>
          <w:rFonts w:ascii="Times New Roman" w:hAnsi="Times New Roman"/>
          <w:sz w:val="24"/>
          <w:szCs w:val="24"/>
        </w:rPr>
        <w:t>Longitudinal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changes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1114B">
        <w:rPr>
          <w:rFonts w:ascii="Times New Roman" w:hAnsi="Times New Roman"/>
          <w:sz w:val="24"/>
          <w:szCs w:val="24"/>
        </w:rPr>
        <w:t>insight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11114B">
        <w:rPr>
          <w:rFonts w:ascii="Times New Roman" w:hAnsi="Times New Roman"/>
          <w:sz w:val="24"/>
          <w:szCs w:val="24"/>
        </w:rPr>
        <w:t>first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episode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psychosis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and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its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relation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to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clinical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symptoms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114B">
        <w:rPr>
          <w:rFonts w:ascii="Times New Roman" w:hAnsi="Times New Roman"/>
          <w:sz w:val="24"/>
          <w:szCs w:val="24"/>
        </w:rPr>
        <w:t>treatment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adherence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and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14B">
        <w:rPr>
          <w:rFonts w:ascii="Times New Roman" w:hAnsi="Times New Roman"/>
          <w:sz w:val="24"/>
          <w:szCs w:val="24"/>
        </w:rPr>
        <w:t>global</w:t>
      </w:r>
      <w:proofErr w:type="gram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functioning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1114B">
        <w:rPr>
          <w:rFonts w:ascii="Times New Roman" w:hAnsi="Times New Roman"/>
          <w:sz w:val="24"/>
          <w:szCs w:val="24"/>
        </w:rPr>
        <w:t>One-year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follow-up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from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the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Eiffel </w:t>
      </w:r>
      <w:proofErr w:type="spellStart"/>
      <w:r w:rsidRPr="0011114B">
        <w:rPr>
          <w:rFonts w:ascii="Times New Roman" w:hAnsi="Times New Roman"/>
          <w:sz w:val="24"/>
          <w:szCs w:val="24"/>
        </w:rPr>
        <w:t>study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114B">
        <w:rPr>
          <w:rFonts w:ascii="Times New Roman" w:hAnsi="Times New Roman"/>
          <w:sz w:val="24"/>
          <w:szCs w:val="24"/>
        </w:rPr>
        <w:t>Eur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Psychiatry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1114B">
        <w:rPr>
          <w:rFonts w:ascii="Times New Roman" w:hAnsi="Times New Roman"/>
          <w:sz w:val="24"/>
          <w:szCs w:val="24"/>
        </w:rPr>
        <w:t xml:space="preserve"> 27(1), 43-</w:t>
      </w:r>
      <w:r>
        <w:rPr>
          <w:rFonts w:ascii="Times New Roman" w:hAnsi="Times New Roman"/>
          <w:sz w:val="24"/>
          <w:szCs w:val="24"/>
        </w:rPr>
        <w:t>4</w:t>
      </w:r>
      <w:r w:rsidRPr="0011114B">
        <w:rPr>
          <w:rFonts w:ascii="Times New Roman" w:hAnsi="Times New Roman"/>
          <w:sz w:val="24"/>
          <w:szCs w:val="24"/>
        </w:rPr>
        <w:t>9.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1114B">
        <w:rPr>
          <w:rFonts w:ascii="Times New Roman" w:hAnsi="Times New Roman"/>
          <w:sz w:val="24"/>
          <w:szCs w:val="24"/>
        </w:rPr>
        <w:t>Smith, D</w:t>
      </w:r>
      <w:proofErr w:type="gramStart"/>
      <w:r w:rsidRPr="0011114B">
        <w:rPr>
          <w:rFonts w:ascii="Times New Roman" w:hAnsi="Times New Roman"/>
          <w:sz w:val="24"/>
          <w:szCs w:val="24"/>
        </w:rPr>
        <w:t>.,</w:t>
      </w:r>
      <w:proofErr w:type="gram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Jones</w:t>
      </w:r>
      <w:proofErr w:type="spellEnd"/>
      <w:r>
        <w:rPr>
          <w:rFonts w:ascii="Times New Roman" w:hAnsi="Times New Roman"/>
          <w:sz w:val="24"/>
          <w:szCs w:val="24"/>
        </w:rPr>
        <w:t>, I. &amp;</w:t>
      </w:r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Simpson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, S. (2010) </w:t>
      </w:r>
      <w:proofErr w:type="spellStart"/>
      <w:r w:rsidRPr="0011114B">
        <w:rPr>
          <w:rFonts w:ascii="Times New Roman" w:hAnsi="Times New Roman"/>
          <w:sz w:val="24"/>
          <w:szCs w:val="24"/>
        </w:rPr>
        <w:t>Psychoeducation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for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bipolar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disorder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114B">
        <w:rPr>
          <w:rFonts w:ascii="Times New Roman" w:hAnsi="Times New Roman"/>
          <w:sz w:val="24"/>
          <w:szCs w:val="24"/>
        </w:rPr>
        <w:t>Advances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11114B">
        <w:rPr>
          <w:rFonts w:ascii="Times New Roman" w:hAnsi="Times New Roman"/>
          <w:sz w:val="24"/>
          <w:szCs w:val="24"/>
        </w:rPr>
        <w:t>psychiatric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treatment</w:t>
      </w:r>
      <w:proofErr w:type="spellEnd"/>
      <w:r w:rsidRPr="0011114B">
        <w:rPr>
          <w:rFonts w:ascii="Times New Roman" w:hAnsi="Times New Roman"/>
          <w:sz w:val="24"/>
          <w:szCs w:val="24"/>
        </w:rPr>
        <w:t>, 16(2), 147–154.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14B">
        <w:rPr>
          <w:rFonts w:ascii="Times New Roman" w:hAnsi="Times New Roman"/>
          <w:sz w:val="24"/>
          <w:szCs w:val="24"/>
        </w:rPr>
        <w:t>Strober</w:t>
      </w:r>
      <w:proofErr w:type="spellEnd"/>
      <w:r w:rsidRPr="0011114B">
        <w:rPr>
          <w:rFonts w:ascii="Times New Roman" w:hAnsi="Times New Roman"/>
          <w:sz w:val="24"/>
          <w:szCs w:val="24"/>
        </w:rPr>
        <w:t>, M</w:t>
      </w:r>
      <w:proofErr w:type="gramStart"/>
      <w:r w:rsidRPr="0011114B">
        <w:rPr>
          <w:rFonts w:ascii="Times New Roman" w:hAnsi="Times New Roman"/>
          <w:sz w:val="24"/>
          <w:szCs w:val="24"/>
        </w:rPr>
        <w:t>.,</w:t>
      </w:r>
      <w:proofErr w:type="gram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Schmidt-Lackner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11114B">
        <w:rPr>
          <w:rFonts w:ascii="Times New Roman" w:hAnsi="Times New Roman"/>
          <w:sz w:val="24"/>
          <w:szCs w:val="24"/>
        </w:rPr>
        <w:t>Freeman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, R., </w:t>
      </w:r>
      <w:proofErr w:type="spellStart"/>
      <w:r w:rsidRPr="0011114B">
        <w:rPr>
          <w:rFonts w:ascii="Times New Roman" w:hAnsi="Times New Roman"/>
          <w:sz w:val="24"/>
          <w:szCs w:val="24"/>
        </w:rPr>
        <w:t>Bower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11114B">
        <w:rPr>
          <w:rFonts w:ascii="Times New Roman" w:hAnsi="Times New Roman"/>
          <w:sz w:val="24"/>
          <w:szCs w:val="24"/>
        </w:rPr>
        <w:t>Lampert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, C., </w:t>
      </w:r>
      <w:r w:rsidRPr="007E5D37">
        <w:rPr>
          <w:rFonts w:ascii="Times New Roman" w:hAnsi="Times New Roman"/>
          <w:sz w:val="24"/>
          <w:szCs w:val="24"/>
        </w:rPr>
        <w:t xml:space="preserve">&amp; </w:t>
      </w:r>
      <w:r w:rsidRPr="0011114B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Antonio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, M. (1995). </w:t>
      </w:r>
      <w:proofErr w:type="spellStart"/>
      <w:r w:rsidRPr="0011114B">
        <w:rPr>
          <w:rFonts w:ascii="Times New Roman" w:hAnsi="Times New Roman"/>
          <w:sz w:val="24"/>
          <w:szCs w:val="24"/>
        </w:rPr>
        <w:t>Recovery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and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relapse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11114B">
        <w:rPr>
          <w:rFonts w:ascii="Times New Roman" w:hAnsi="Times New Roman"/>
          <w:sz w:val="24"/>
          <w:szCs w:val="24"/>
        </w:rPr>
        <w:t>adolescents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with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bipolar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affective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illness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Pr="0011114B">
        <w:rPr>
          <w:rFonts w:ascii="Times New Roman" w:hAnsi="Times New Roman"/>
          <w:sz w:val="24"/>
          <w:szCs w:val="24"/>
        </w:rPr>
        <w:t>five-year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naturalistic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114B">
        <w:rPr>
          <w:rFonts w:ascii="Times New Roman" w:hAnsi="Times New Roman"/>
          <w:sz w:val="24"/>
          <w:szCs w:val="24"/>
        </w:rPr>
        <w:t>prospective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follow-up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. J. Am. </w:t>
      </w:r>
      <w:proofErr w:type="spellStart"/>
      <w:r w:rsidRPr="0011114B">
        <w:rPr>
          <w:rFonts w:ascii="Times New Roman" w:hAnsi="Times New Roman"/>
          <w:sz w:val="24"/>
          <w:szCs w:val="24"/>
        </w:rPr>
        <w:t>Acad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. Child </w:t>
      </w:r>
      <w:proofErr w:type="spellStart"/>
      <w:r w:rsidRPr="0011114B">
        <w:rPr>
          <w:rFonts w:ascii="Times New Roman" w:hAnsi="Times New Roman"/>
          <w:sz w:val="24"/>
          <w:szCs w:val="24"/>
        </w:rPr>
        <w:t>Adolesc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114B">
        <w:rPr>
          <w:rFonts w:ascii="Times New Roman" w:hAnsi="Times New Roman"/>
          <w:sz w:val="24"/>
          <w:szCs w:val="24"/>
        </w:rPr>
        <w:t>Psychiatry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, 34(6), 724-31. </w:t>
      </w:r>
      <w:proofErr w:type="spellStart"/>
      <w:r w:rsidRPr="0011114B">
        <w:rPr>
          <w:rFonts w:ascii="Times New Roman" w:hAnsi="Times New Roman"/>
          <w:sz w:val="24"/>
          <w:szCs w:val="24"/>
        </w:rPr>
        <w:t>doi</w:t>
      </w:r>
      <w:proofErr w:type="spellEnd"/>
      <w:r w:rsidRPr="0011114B">
        <w:rPr>
          <w:rFonts w:ascii="Times New Roman" w:hAnsi="Times New Roman"/>
          <w:sz w:val="24"/>
          <w:szCs w:val="24"/>
        </w:rPr>
        <w:t>: 10.1097/00004583-</w:t>
      </w:r>
      <w:proofErr w:type="gramStart"/>
      <w:r w:rsidRPr="0011114B">
        <w:rPr>
          <w:rFonts w:ascii="Times New Roman" w:hAnsi="Times New Roman"/>
          <w:sz w:val="24"/>
          <w:szCs w:val="24"/>
        </w:rPr>
        <w:t>199506000</w:t>
      </w:r>
      <w:proofErr w:type="gramEnd"/>
      <w:r w:rsidRPr="0011114B">
        <w:rPr>
          <w:rFonts w:ascii="Times New Roman" w:hAnsi="Times New Roman"/>
          <w:sz w:val="24"/>
          <w:szCs w:val="24"/>
        </w:rPr>
        <w:t>-00012.</w:t>
      </w:r>
    </w:p>
    <w:p w:rsidR="00906B98" w:rsidRPr="0011114B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1114B">
        <w:rPr>
          <w:rFonts w:ascii="Times New Roman" w:hAnsi="Times New Roman"/>
          <w:sz w:val="24"/>
          <w:szCs w:val="24"/>
        </w:rPr>
        <w:lastRenderedPageBreak/>
        <w:t xml:space="preserve">Williams, B. (1978). A </w:t>
      </w:r>
      <w:proofErr w:type="spellStart"/>
      <w:r w:rsidRPr="0011114B">
        <w:rPr>
          <w:rFonts w:ascii="Times New Roman" w:hAnsi="Times New Roman"/>
          <w:sz w:val="24"/>
          <w:szCs w:val="24"/>
        </w:rPr>
        <w:t>structured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interview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guide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for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Hamilton </w:t>
      </w:r>
      <w:proofErr w:type="spellStart"/>
      <w:r w:rsidRPr="0011114B">
        <w:rPr>
          <w:rFonts w:ascii="Times New Roman" w:hAnsi="Times New Roman"/>
          <w:sz w:val="24"/>
          <w:szCs w:val="24"/>
        </w:rPr>
        <w:t>Depression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Rating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Scale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114B">
        <w:rPr>
          <w:rFonts w:ascii="Times New Roman" w:hAnsi="Times New Roman"/>
          <w:sz w:val="24"/>
          <w:szCs w:val="24"/>
        </w:rPr>
        <w:t>Arch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Gen </w:t>
      </w:r>
      <w:proofErr w:type="spellStart"/>
      <w:r w:rsidRPr="0011114B">
        <w:rPr>
          <w:rFonts w:ascii="Times New Roman" w:hAnsi="Times New Roman"/>
          <w:sz w:val="24"/>
          <w:szCs w:val="24"/>
        </w:rPr>
        <w:t>Psychiatr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(45), 742-747.</w:t>
      </w:r>
      <w:r w:rsidRPr="003B08F2">
        <w:t xml:space="preserve"> </w:t>
      </w:r>
    </w:p>
    <w:p w:rsidR="00906B98" w:rsidRPr="0011114B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E5D37">
        <w:rPr>
          <w:rFonts w:ascii="Times New Roman" w:hAnsi="Times New Roman"/>
          <w:sz w:val="24"/>
          <w:szCs w:val="24"/>
          <w:lang w:val="de-DE"/>
        </w:rPr>
        <w:t xml:space="preserve">Yen, C. F., Chen C. S., Ko, C. H., Yen, J. Y. &amp; Huang, C. F. (2007). </w:t>
      </w:r>
      <w:proofErr w:type="spellStart"/>
      <w:r w:rsidRPr="0011114B">
        <w:rPr>
          <w:rFonts w:ascii="Times New Roman" w:hAnsi="Times New Roman"/>
          <w:sz w:val="24"/>
          <w:szCs w:val="24"/>
        </w:rPr>
        <w:t>Changes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11114B">
        <w:rPr>
          <w:rFonts w:ascii="Times New Roman" w:hAnsi="Times New Roman"/>
          <w:sz w:val="24"/>
          <w:szCs w:val="24"/>
        </w:rPr>
        <w:t>insight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among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patients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with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bipolar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1114B">
        <w:rPr>
          <w:rFonts w:ascii="Times New Roman" w:hAnsi="Times New Roman"/>
          <w:sz w:val="24"/>
          <w:szCs w:val="24"/>
        </w:rPr>
        <w:t>disorder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: a 2-year </w:t>
      </w:r>
      <w:proofErr w:type="spellStart"/>
      <w:r w:rsidRPr="0011114B">
        <w:rPr>
          <w:rFonts w:ascii="Times New Roman" w:hAnsi="Times New Roman"/>
          <w:sz w:val="24"/>
          <w:szCs w:val="24"/>
        </w:rPr>
        <w:t>prospective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study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114B">
        <w:rPr>
          <w:rFonts w:ascii="Times New Roman" w:hAnsi="Times New Roman"/>
          <w:sz w:val="24"/>
          <w:szCs w:val="24"/>
        </w:rPr>
        <w:t>Bipolar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Disord</w:t>
      </w:r>
      <w:proofErr w:type="spellEnd"/>
      <w:r w:rsidRPr="0011114B">
        <w:rPr>
          <w:rFonts w:ascii="Times New Roman" w:hAnsi="Times New Roman"/>
          <w:sz w:val="24"/>
          <w:szCs w:val="24"/>
        </w:rPr>
        <w:t>. 9, 238-242.</w:t>
      </w:r>
      <w:r w:rsidRPr="005A6D05">
        <w:t xml:space="preserve"> </w:t>
      </w:r>
    </w:p>
    <w:p w:rsidR="00906B98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114B">
        <w:rPr>
          <w:rFonts w:ascii="Times New Roman" w:hAnsi="Times New Roman"/>
          <w:sz w:val="24"/>
          <w:szCs w:val="24"/>
        </w:rPr>
        <w:t>Young</w:t>
      </w:r>
      <w:proofErr w:type="spellEnd"/>
      <w:r w:rsidRPr="0011114B">
        <w:rPr>
          <w:rFonts w:ascii="Times New Roman" w:hAnsi="Times New Roman"/>
          <w:sz w:val="24"/>
          <w:szCs w:val="24"/>
        </w:rPr>
        <w:t>,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14B">
        <w:rPr>
          <w:rFonts w:ascii="Times New Roman" w:hAnsi="Times New Roman"/>
          <w:sz w:val="24"/>
          <w:szCs w:val="24"/>
        </w:rPr>
        <w:t>C</w:t>
      </w:r>
      <w:proofErr w:type="gramStart"/>
      <w:r w:rsidRPr="0011114B">
        <w:rPr>
          <w:rFonts w:ascii="Times New Roman" w:hAnsi="Times New Roman"/>
          <w:sz w:val="24"/>
          <w:szCs w:val="24"/>
        </w:rPr>
        <w:t>.,</w:t>
      </w:r>
      <w:proofErr w:type="gram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Biggs</w:t>
      </w:r>
      <w:proofErr w:type="spellEnd"/>
      <w:r w:rsidRPr="0011114B">
        <w:rPr>
          <w:rFonts w:ascii="Times New Roman" w:hAnsi="Times New Roman"/>
          <w:sz w:val="24"/>
          <w:szCs w:val="24"/>
        </w:rPr>
        <w:t>,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14B">
        <w:rPr>
          <w:rFonts w:ascii="Times New Roman" w:hAnsi="Times New Roman"/>
          <w:sz w:val="24"/>
          <w:szCs w:val="24"/>
        </w:rPr>
        <w:t xml:space="preserve">T., </w:t>
      </w:r>
      <w:proofErr w:type="spellStart"/>
      <w:r w:rsidRPr="0011114B">
        <w:rPr>
          <w:rFonts w:ascii="Times New Roman" w:hAnsi="Times New Roman"/>
          <w:sz w:val="24"/>
          <w:szCs w:val="24"/>
        </w:rPr>
        <w:t>Ziegler</w:t>
      </w:r>
      <w:proofErr w:type="spellEnd"/>
      <w:r w:rsidRPr="0011114B">
        <w:rPr>
          <w:rFonts w:ascii="Times New Roman" w:hAnsi="Times New Roman"/>
          <w:sz w:val="24"/>
          <w:szCs w:val="24"/>
        </w:rPr>
        <w:t>, V.</w:t>
      </w:r>
      <w:r>
        <w:rPr>
          <w:rFonts w:ascii="Times New Roman" w:hAnsi="Times New Roman"/>
          <w:sz w:val="24"/>
          <w:szCs w:val="24"/>
        </w:rPr>
        <w:t xml:space="preserve"> E.</w:t>
      </w:r>
      <w:r w:rsidRPr="0011114B">
        <w:rPr>
          <w:rFonts w:ascii="Times New Roman" w:hAnsi="Times New Roman"/>
          <w:sz w:val="24"/>
          <w:szCs w:val="24"/>
        </w:rPr>
        <w:t xml:space="preserve"> </w:t>
      </w:r>
      <w:r w:rsidRPr="007E5D37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Pr="0011114B">
        <w:rPr>
          <w:rFonts w:ascii="Times New Roman" w:hAnsi="Times New Roman"/>
          <w:sz w:val="24"/>
          <w:szCs w:val="24"/>
        </w:rPr>
        <w:t>Meyer</w:t>
      </w:r>
      <w:proofErr w:type="spellEnd"/>
      <w:r w:rsidRPr="0011114B">
        <w:rPr>
          <w:rFonts w:ascii="Times New Roman" w:hAnsi="Times New Roman"/>
          <w:sz w:val="24"/>
          <w:szCs w:val="24"/>
        </w:rPr>
        <w:t>,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14B">
        <w:rPr>
          <w:rFonts w:ascii="Times New Roman" w:hAnsi="Times New Roman"/>
          <w:sz w:val="24"/>
          <w:szCs w:val="24"/>
        </w:rPr>
        <w:t xml:space="preserve">A. (1978). A </w:t>
      </w:r>
      <w:proofErr w:type="spellStart"/>
      <w:r w:rsidRPr="0011114B">
        <w:rPr>
          <w:rFonts w:ascii="Times New Roman" w:hAnsi="Times New Roman"/>
          <w:sz w:val="24"/>
          <w:szCs w:val="24"/>
        </w:rPr>
        <w:t>rating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scale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for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14B">
        <w:rPr>
          <w:rFonts w:ascii="Times New Roman" w:hAnsi="Times New Roman"/>
          <w:sz w:val="24"/>
          <w:szCs w:val="24"/>
        </w:rPr>
        <w:t>mania</w:t>
      </w:r>
      <w:proofErr w:type="gramEnd"/>
      <w:r w:rsidRPr="0011114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1114B">
        <w:rPr>
          <w:rFonts w:ascii="Times New Roman" w:hAnsi="Times New Roman"/>
          <w:sz w:val="24"/>
          <w:szCs w:val="24"/>
        </w:rPr>
        <w:t>reliability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114B">
        <w:rPr>
          <w:rFonts w:ascii="Times New Roman" w:hAnsi="Times New Roman"/>
          <w:sz w:val="24"/>
          <w:szCs w:val="24"/>
        </w:rPr>
        <w:t>validity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and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114B">
        <w:rPr>
          <w:rFonts w:ascii="Times New Roman" w:hAnsi="Times New Roman"/>
          <w:sz w:val="24"/>
          <w:szCs w:val="24"/>
        </w:rPr>
        <w:t>sensitivity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1114B">
        <w:rPr>
          <w:rFonts w:ascii="Times New Roman" w:hAnsi="Times New Roman"/>
          <w:sz w:val="24"/>
          <w:szCs w:val="24"/>
        </w:rPr>
        <w:t>Br</w:t>
      </w:r>
      <w:proofErr w:type="spellEnd"/>
      <w:r w:rsidRPr="0011114B">
        <w:rPr>
          <w:rFonts w:ascii="Times New Roman" w:hAnsi="Times New Roman"/>
          <w:sz w:val="24"/>
          <w:szCs w:val="24"/>
        </w:rPr>
        <w:t xml:space="preserve"> J </w:t>
      </w:r>
      <w:proofErr w:type="spellStart"/>
      <w:r w:rsidRPr="0011114B">
        <w:rPr>
          <w:rFonts w:ascii="Times New Roman" w:hAnsi="Times New Roman"/>
          <w:sz w:val="24"/>
          <w:szCs w:val="24"/>
        </w:rPr>
        <w:t>Psychiatry</w:t>
      </w:r>
      <w:proofErr w:type="spellEnd"/>
      <w:r w:rsidRPr="0011114B">
        <w:rPr>
          <w:rFonts w:ascii="Times New Roman" w:hAnsi="Times New Roman"/>
          <w:sz w:val="24"/>
          <w:szCs w:val="24"/>
        </w:rPr>
        <w:t>, 133, 429-435.</w:t>
      </w:r>
    </w:p>
    <w:p w:rsidR="00906B98" w:rsidRPr="0011114B" w:rsidRDefault="00906B98" w:rsidP="00906B98">
      <w:pPr>
        <w:pStyle w:val="ListeParagraf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5460D">
        <w:rPr>
          <w:rFonts w:ascii="Times New Roman" w:hAnsi="Times New Roman"/>
          <w:sz w:val="24"/>
          <w:szCs w:val="24"/>
        </w:rPr>
        <w:t>Yurtsever, 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60D">
        <w:rPr>
          <w:rFonts w:ascii="Times New Roman" w:hAnsi="Times New Roman"/>
          <w:sz w:val="24"/>
          <w:szCs w:val="24"/>
        </w:rPr>
        <w:t>E</w:t>
      </w:r>
      <w:proofErr w:type="gramStart"/>
      <w:r w:rsidRPr="00D5460D">
        <w:rPr>
          <w:rFonts w:ascii="Times New Roman" w:hAnsi="Times New Roman"/>
          <w:sz w:val="24"/>
          <w:szCs w:val="24"/>
        </w:rPr>
        <w:t>.,</w:t>
      </w:r>
      <w:proofErr w:type="gramEnd"/>
      <w:r w:rsidRPr="00D5460D">
        <w:rPr>
          <w:rFonts w:ascii="Times New Roman" w:hAnsi="Times New Roman"/>
          <w:sz w:val="24"/>
          <w:szCs w:val="24"/>
        </w:rPr>
        <w:t xml:space="preserve"> Kutlar,</w:t>
      </w:r>
      <w:r>
        <w:rPr>
          <w:rFonts w:ascii="Times New Roman" w:hAnsi="Times New Roman"/>
          <w:sz w:val="24"/>
          <w:szCs w:val="24"/>
        </w:rPr>
        <w:t xml:space="preserve"> T., </w:t>
      </w:r>
      <w:proofErr w:type="spellStart"/>
      <w:r>
        <w:rPr>
          <w:rFonts w:ascii="Times New Roman" w:hAnsi="Times New Roman"/>
          <w:sz w:val="24"/>
          <w:szCs w:val="24"/>
        </w:rPr>
        <w:t>Tarlaci</w:t>
      </w:r>
      <w:proofErr w:type="spellEnd"/>
      <w:r>
        <w:rPr>
          <w:rFonts w:ascii="Times New Roman" w:hAnsi="Times New Roman"/>
          <w:sz w:val="24"/>
          <w:szCs w:val="24"/>
        </w:rPr>
        <w:t xml:space="preserve">, N., </w:t>
      </w:r>
      <w:proofErr w:type="spellStart"/>
      <w:r>
        <w:rPr>
          <w:rFonts w:ascii="Times New Roman" w:hAnsi="Times New Roman"/>
          <w:sz w:val="24"/>
          <w:szCs w:val="24"/>
        </w:rPr>
        <w:t>Kamberyan</w:t>
      </w:r>
      <w:proofErr w:type="spellEnd"/>
      <w:r>
        <w:rPr>
          <w:rFonts w:ascii="Times New Roman" w:hAnsi="Times New Roman"/>
          <w:sz w:val="24"/>
          <w:szCs w:val="24"/>
        </w:rPr>
        <w:t>, K.</w:t>
      </w:r>
      <w:r w:rsidRPr="00D5460D">
        <w:rPr>
          <w:rFonts w:ascii="Times New Roman" w:hAnsi="Times New Roman"/>
          <w:sz w:val="24"/>
          <w:szCs w:val="24"/>
        </w:rPr>
        <w:t xml:space="preserve"> </w:t>
      </w:r>
      <w:r w:rsidRPr="007E5D37">
        <w:rPr>
          <w:rFonts w:ascii="Times New Roman" w:hAnsi="Times New Roman"/>
          <w:sz w:val="24"/>
          <w:szCs w:val="24"/>
        </w:rPr>
        <w:t xml:space="preserve">&amp; </w:t>
      </w:r>
      <w:r w:rsidRPr="00D5460D">
        <w:rPr>
          <w:rFonts w:ascii="Times New Roman" w:hAnsi="Times New Roman"/>
          <w:sz w:val="24"/>
          <w:szCs w:val="24"/>
        </w:rPr>
        <w:t>Yaman, M. (2001). Düşünen adam, 14(1), 33-40.</w:t>
      </w:r>
    </w:p>
    <w:p w:rsidR="00906B98" w:rsidRDefault="00906B98" w:rsidP="00906B98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6B98" w:rsidRDefault="00906B98" w:rsidP="00906B98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6B98" w:rsidRDefault="00906B98" w:rsidP="00906B98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0F0E" w:rsidRDefault="00BD0F0E" w:rsidP="00906B98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0F0E" w:rsidRDefault="00BD0F0E" w:rsidP="00906B98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0F0E" w:rsidRDefault="00BD0F0E" w:rsidP="00906B98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0F0E" w:rsidRDefault="00BD0F0E" w:rsidP="00906B98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0F0E" w:rsidRDefault="00BD0F0E" w:rsidP="00906B98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0F0E" w:rsidRDefault="00BD0F0E" w:rsidP="00906B98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0F0E" w:rsidRDefault="00BD0F0E" w:rsidP="00906B98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0F0E" w:rsidRDefault="00BD0F0E" w:rsidP="00906B98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0F0E" w:rsidRPr="000D7A6A" w:rsidRDefault="00BD0F0E" w:rsidP="00906B98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BD0F0E" w:rsidRPr="000D7A6A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4DCD" w:rsidRDefault="00084DCD" w:rsidP="0096128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84DCD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B47" w:rsidRPr="001957D7" w:rsidRDefault="00C05B47" w:rsidP="00C05B47">
      <w:pPr>
        <w:pStyle w:val="Balk3"/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957D7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Tablo </w:t>
      </w:r>
      <w:r w:rsidR="00CE639B" w:rsidRPr="001957D7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1957D7">
        <w:rPr>
          <w:rFonts w:ascii="Times New Roman" w:hAnsi="Times New Roman" w:cs="Times New Roman"/>
          <w:color w:val="auto"/>
          <w:sz w:val="20"/>
          <w:szCs w:val="20"/>
        </w:rPr>
        <w:instrText xml:space="preserve"> SEQ Tablo \* ARABIC </w:instrText>
      </w:r>
      <w:r w:rsidR="00CE639B" w:rsidRPr="001957D7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1957D7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="00CE639B" w:rsidRPr="001957D7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1957D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gramStart"/>
      <w:r w:rsidRPr="001957D7">
        <w:rPr>
          <w:rFonts w:ascii="Times New Roman" w:hAnsi="Times New Roman" w:cs="Times New Roman"/>
          <w:color w:val="auto"/>
          <w:sz w:val="20"/>
          <w:szCs w:val="20"/>
        </w:rPr>
        <w:t xml:space="preserve">Grupların  </w:t>
      </w:r>
      <w:proofErr w:type="spellStart"/>
      <w:r w:rsidRPr="001957D7">
        <w:rPr>
          <w:rFonts w:ascii="Times New Roman" w:hAnsi="Times New Roman" w:cs="Times New Roman"/>
          <w:color w:val="auto"/>
          <w:sz w:val="20"/>
          <w:szCs w:val="20"/>
        </w:rPr>
        <w:t>Sosyodemografik</w:t>
      </w:r>
      <w:proofErr w:type="spellEnd"/>
      <w:proofErr w:type="gramEnd"/>
      <w:r w:rsidRPr="001957D7">
        <w:rPr>
          <w:rFonts w:ascii="Times New Roman" w:hAnsi="Times New Roman" w:cs="Times New Roman"/>
          <w:color w:val="auto"/>
          <w:sz w:val="20"/>
          <w:szCs w:val="20"/>
        </w:rPr>
        <w:t xml:space="preserve"> ve Klinik Özellikleri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  <w:gridCol w:w="2769"/>
        <w:gridCol w:w="2246"/>
        <w:gridCol w:w="1480"/>
      </w:tblGrid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Değişkenler</w:t>
            </w:r>
          </w:p>
        </w:tc>
        <w:tc>
          <w:tcPr>
            <w:tcW w:w="1514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368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Psikoeğitim</w:t>
            </w:r>
            <w:proofErr w:type="spellEnd"/>
            <w:r w:rsidRPr="004368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grubu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(n=30)</w:t>
            </w:r>
          </w:p>
        </w:tc>
        <w:tc>
          <w:tcPr>
            <w:tcW w:w="1218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Kontrol grubu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(n=30)</w:t>
            </w:r>
          </w:p>
        </w:tc>
        <w:tc>
          <w:tcPr>
            <w:tcW w:w="784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368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p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değeri</w:t>
            </w:r>
          </w:p>
        </w:tc>
      </w:tr>
      <w:tr w:rsidR="00C05B47" w:rsidRPr="00436837" w:rsidTr="00BD0F0E">
        <w:trPr>
          <w:trHeight w:val="318"/>
          <w:jc w:val="center"/>
        </w:trPr>
        <w:tc>
          <w:tcPr>
            <w:tcW w:w="1484" w:type="pct"/>
            <w:shd w:val="clear" w:color="auto" w:fill="auto"/>
            <w:noWrap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Yaş</w:t>
            </w:r>
          </w:p>
        </w:tc>
        <w:tc>
          <w:tcPr>
            <w:tcW w:w="1514" w:type="pct"/>
            <w:shd w:val="clear" w:color="auto" w:fill="auto"/>
            <w:noWrap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hAnsi="Times New Roman" w:cs="Times New Roman"/>
                <w:sz w:val="16"/>
                <w:szCs w:val="16"/>
              </w:rPr>
              <w:t>36.8± 10.55</w:t>
            </w:r>
          </w:p>
        </w:tc>
        <w:tc>
          <w:tcPr>
            <w:tcW w:w="1218" w:type="pct"/>
            <w:shd w:val="clear" w:color="auto" w:fill="auto"/>
            <w:noWrap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hAnsi="Times New Roman" w:cs="Times New Roman"/>
                <w:sz w:val="16"/>
                <w:szCs w:val="16"/>
              </w:rPr>
              <w:t>39.3±10.91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377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Cinsiyet</w:t>
            </w:r>
          </w:p>
        </w:tc>
        <w:tc>
          <w:tcPr>
            <w:tcW w:w="1514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299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Kadın</w:t>
            </w:r>
          </w:p>
        </w:tc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63.3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46.7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Erkek</w:t>
            </w:r>
          </w:p>
        </w:tc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36.7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53.3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Eğitim düzeyi</w:t>
            </w:r>
          </w:p>
        </w:tc>
        <w:tc>
          <w:tcPr>
            <w:tcW w:w="1514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863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İlkokul</w:t>
            </w:r>
          </w:p>
        </w:tc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40.0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Ortaokul</w:t>
            </w:r>
          </w:p>
        </w:tc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13.3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13.3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Lise</w:t>
            </w:r>
          </w:p>
        </w:tc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26.7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23.3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Üniversite</w:t>
            </w:r>
          </w:p>
        </w:tc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23.3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Medeni hal</w:t>
            </w:r>
          </w:p>
        </w:tc>
        <w:tc>
          <w:tcPr>
            <w:tcW w:w="1514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506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Evli</w:t>
            </w:r>
          </w:p>
        </w:tc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  <w:r w:rsidRPr="0043683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46.7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53.3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Bekar</w:t>
            </w:r>
            <w:proofErr w:type="gramEnd"/>
          </w:p>
        </w:tc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  <w:r w:rsidRPr="0043683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43.3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30.0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Ayrı</w:t>
            </w:r>
          </w:p>
        </w:tc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  <w:r w:rsidRPr="0043683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 (%</w:t>
            </w:r>
            <w:proofErr w:type="gramStart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16.7</w:t>
            </w:r>
            <w:proofErr w:type="gramEnd"/>
            <w:r w:rsidRPr="004368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C05B47" w:rsidRPr="004629CD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4629C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HAM-D</w:t>
            </w:r>
          </w:p>
        </w:tc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62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2.7±2.43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462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2.9±3.11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4629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828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  <w:hideMark/>
          </w:tcPr>
          <w:p w:rsidR="00C05B47" w:rsidRPr="00BF5B98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F5B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YMRS</w:t>
            </w:r>
          </w:p>
        </w:tc>
        <w:tc>
          <w:tcPr>
            <w:tcW w:w="1514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F5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0.5±0.93</w:t>
            </w:r>
          </w:p>
        </w:tc>
        <w:tc>
          <w:tcPr>
            <w:tcW w:w="1218" w:type="pct"/>
            <w:shd w:val="clear" w:color="auto" w:fill="auto"/>
            <w:noWrap/>
            <w:vAlign w:val="bottom"/>
            <w:hideMark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9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0.2±0.77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893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113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</w:tcPr>
          <w:p w:rsidR="00C05B47" w:rsidRPr="002D61F5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2D61F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İGD</w:t>
            </w:r>
          </w:p>
        </w:tc>
        <w:tc>
          <w:tcPr>
            <w:tcW w:w="1514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518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76.8±10.12</w:t>
            </w:r>
          </w:p>
        </w:tc>
        <w:tc>
          <w:tcPr>
            <w:tcW w:w="1218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7518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79.0±9.41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7518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387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</w:tcPr>
          <w:p w:rsidR="00C05B47" w:rsidRPr="00302F72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02F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Morisky</w:t>
            </w:r>
            <w:proofErr w:type="spellEnd"/>
            <w:r w:rsidRPr="00302F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tedavi uyumu</w:t>
            </w:r>
          </w:p>
        </w:tc>
        <w:tc>
          <w:tcPr>
            <w:tcW w:w="1514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84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15.0±2.54</w:t>
            </w:r>
          </w:p>
        </w:tc>
        <w:tc>
          <w:tcPr>
            <w:tcW w:w="1218" w:type="pct"/>
            <w:shd w:val="clear" w:color="auto" w:fill="auto"/>
            <w:noWrap/>
            <w:vAlign w:val="bottom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84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15.6±2.03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43683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984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385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bottom"/>
          </w:tcPr>
          <w:p w:rsidR="00C05B47" w:rsidRPr="00302F72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BBİ</w:t>
            </w:r>
          </w:p>
        </w:tc>
        <w:tc>
          <w:tcPr>
            <w:tcW w:w="1514" w:type="pct"/>
            <w:shd w:val="clear" w:color="auto" w:fill="auto"/>
            <w:noWrap/>
            <w:vAlign w:val="bottom"/>
          </w:tcPr>
          <w:p w:rsidR="00C05B47" w:rsidRPr="0098462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18" w:type="pct"/>
            <w:shd w:val="clear" w:color="auto" w:fill="auto"/>
            <w:noWrap/>
            <w:vAlign w:val="bottom"/>
          </w:tcPr>
          <w:p w:rsidR="00C05B47" w:rsidRPr="0098462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center"/>
          </w:tcPr>
          <w:p w:rsidR="00C05B47" w:rsidRPr="008C1C0E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C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Duygusal işlevsellik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8.20±0.99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7.66±1.74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3C1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496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center"/>
          </w:tcPr>
          <w:p w:rsidR="00C05B47" w:rsidRPr="008C1C0E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C1C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Zihinsel işlevsellik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9.76±2.12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9.43±2.73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3C1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988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center"/>
          </w:tcPr>
          <w:p w:rsidR="00C05B47" w:rsidRPr="008C1C0E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C1C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Cinsel işlevsellik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8.36±2.90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8.10±3.08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3C1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834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center"/>
          </w:tcPr>
          <w:p w:rsidR="00C05B47" w:rsidRPr="008C1C0E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C1C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Damgalanma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8.83±2.66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8.53±2.72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3C1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691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center"/>
          </w:tcPr>
          <w:p w:rsidR="00C05B47" w:rsidRPr="008C1C0E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C1C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İçe kapanıklık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6.56±1.45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6.70±1.78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3C1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598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center"/>
          </w:tcPr>
          <w:p w:rsidR="00C05B47" w:rsidRPr="008C1C0E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C1C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Ev içi ilişkileri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13.96±3.04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14.00±3.49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3C1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754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center"/>
          </w:tcPr>
          <w:p w:rsidR="00C05B47" w:rsidRPr="008C1C0E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C1C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Arkadaş ilişkileri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10.76±2.66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11.26±2.94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3C1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392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center"/>
          </w:tcPr>
          <w:p w:rsidR="00C05B47" w:rsidRPr="008C1C0E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C1C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Toplumsal işlevsellik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12.63±3.73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C10A4">
              <w:rPr>
                <w:rFonts w:ascii="Times New Roman" w:hAnsi="Times New Roman" w:cs="Times New Roman"/>
                <w:sz w:val="16"/>
                <w:szCs w:val="16"/>
              </w:rPr>
              <w:t>12.70±3.23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3C10A4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3C1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858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center"/>
          </w:tcPr>
          <w:p w:rsidR="00C05B47" w:rsidRPr="008216D8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216D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Günlük işlevsellik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:rsidR="00C05B47" w:rsidRPr="008216D8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216D8">
              <w:rPr>
                <w:rFonts w:ascii="Times New Roman" w:hAnsi="Times New Roman" w:cs="Times New Roman"/>
                <w:sz w:val="16"/>
                <w:szCs w:val="16"/>
              </w:rPr>
              <w:t>11.73±2.34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C05B47" w:rsidRPr="008216D8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216D8">
              <w:rPr>
                <w:rFonts w:ascii="Times New Roman" w:hAnsi="Times New Roman" w:cs="Times New Roman"/>
                <w:sz w:val="16"/>
                <w:szCs w:val="16"/>
              </w:rPr>
              <w:t>13.13±2.72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8216D8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821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080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center"/>
          </w:tcPr>
          <w:p w:rsidR="00C05B47" w:rsidRPr="008216D8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216D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İnsiyatif</w:t>
            </w:r>
            <w:proofErr w:type="spellEnd"/>
            <w:r w:rsidRPr="008216D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alma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:rsidR="00C05B47" w:rsidRPr="008216D8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216D8">
              <w:rPr>
                <w:rFonts w:ascii="Times New Roman" w:hAnsi="Times New Roman" w:cs="Times New Roman"/>
                <w:sz w:val="16"/>
                <w:szCs w:val="16"/>
              </w:rPr>
              <w:t>5.23±1.50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C05B47" w:rsidRPr="008216D8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216D8">
              <w:rPr>
                <w:rFonts w:ascii="Times New Roman" w:hAnsi="Times New Roman" w:cs="Times New Roman"/>
                <w:sz w:val="16"/>
                <w:szCs w:val="16"/>
              </w:rPr>
              <w:t>5.16±1.55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8216D8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821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827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center"/>
          </w:tcPr>
          <w:p w:rsidR="00C05B47" w:rsidRPr="008216D8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216D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Mesleki işlevsellik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:rsidR="00C05B47" w:rsidRPr="008216D8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216D8">
              <w:rPr>
                <w:rFonts w:ascii="Times New Roman" w:hAnsi="Times New Roman" w:cs="Times New Roman"/>
                <w:sz w:val="16"/>
                <w:szCs w:val="16"/>
              </w:rPr>
              <w:t>6.10±2.32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C05B47" w:rsidRPr="008216D8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216D8">
              <w:rPr>
                <w:rFonts w:ascii="Times New Roman" w:hAnsi="Times New Roman" w:cs="Times New Roman"/>
                <w:sz w:val="16"/>
                <w:szCs w:val="16"/>
              </w:rPr>
              <w:t>5.40±2.01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8216D8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0.</w:t>
            </w:r>
            <w:r w:rsidRPr="008216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131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1484" w:type="pct"/>
            <w:shd w:val="clear" w:color="auto" w:fill="auto"/>
            <w:noWrap/>
            <w:vAlign w:val="center"/>
          </w:tcPr>
          <w:p w:rsidR="00C05B47" w:rsidRPr="008216D8" w:rsidRDefault="00C05B47" w:rsidP="00B522B1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8572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İÜBDÖ</w:t>
            </w:r>
          </w:p>
        </w:tc>
        <w:tc>
          <w:tcPr>
            <w:tcW w:w="1514" w:type="pct"/>
            <w:shd w:val="clear" w:color="auto" w:fill="auto"/>
            <w:noWrap/>
            <w:vAlign w:val="center"/>
          </w:tcPr>
          <w:p w:rsidR="00C05B47" w:rsidRPr="00B85723" w:rsidRDefault="00C05B47" w:rsidP="00B52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723">
              <w:rPr>
                <w:rFonts w:ascii="Times New Roman" w:hAnsi="Times New Roman" w:cs="Times New Roman"/>
                <w:sz w:val="16"/>
                <w:szCs w:val="16"/>
              </w:rPr>
              <w:t>12.7±3.93</w:t>
            </w:r>
          </w:p>
        </w:tc>
        <w:tc>
          <w:tcPr>
            <w:tcW w:w="1218" w:type="pct"/>
            <w:shd w:val="clear" w:color="auto" w:fill="auto"/>
            <w:noWrap/>
            <w:vAlign w:val="center"/>
          </w:tcPr>
          <w:p w:rsidR="00C05B47" w:rsidRPr="00B85723" w:rsidRDefault="00C05B47" w:rsidP="00B522B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723">
              <w:rPr>
                <w:rFonts w:ascii="Times New Roman" w:hAnsi="Times New Roman" w:cs="Times New Roman"/>
                <w:sz w:val="16"/>
                <w:szCs w:val="16"/>
              </w:rPr>
              <w:t>15.7±2.87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C05B47" w:rsidRPr="00B85723" w:rsidRDefault="00C05B47" w:rsidP="00B522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0.</w:t>
            </w:r>
            <w:r w:rsidRPr="00B857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001</w:t>
            </w:r>
          </w:p>
        </w:tc>
      </w:tr>
      <w:tr w:rsidR="00C05B47" w:rsidRPr="00436837" w:rsidTr="00BD0F0E">
        <w:trPr>
          <w:trHeight w:val="300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C05B47" w:rsidRPr="00D234E3" w:rsidRDefault="00C05B47" w:rsidP="00B522B1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yüzde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). </w:t>
            </w:r>
            <w:proofErr w:type="gramStart"/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#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Ortalama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±S.D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 </w:t>
            </w:r>
            <w:proofErr w:type="spellStart"/>
            <w:r w:rsidRPr="00ED3F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a</w:t>
            </w:r>
            <w:r w:rsidRPr="00ED3F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Mann</w:t>
            </w:r>
            <w:proofErr w:type="spellEnd"/>
            <w:r w:rsidRPr="00ED3F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D3F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Whitney</w:t>
            </w:r>
            <w:proofErr w:type="spellEnd"/>
            <w:r w:rsidRPr="00ED3F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-U 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test, </w:t>
            </w:r>
            <w:proofErr w:type="spellStart"/>
            <w:r w:rsidRPr="00ED3F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b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Chi-square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test </w:t>
            </w:r>
            <w:proofErr w:type="spellStart"/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for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independence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p &lt; 0.05* </w:t>
            </w:r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Hamilton Depresyon Derecelendirme Ölçeği (HAM-D), </w:t>
            </w:r>
            <w:proofErr w:type="spellStart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Young</w:t>
            </w:r>
            <w:proofErr w:type="spellEnd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Mani Derecelendirme Ölçeği (YMRS), Klinik Global İzlenim Ölçeği (KGI), İşlevselliğin Genel Değerlendirilmesi Ölçeği (IGD), </w:t>
            </w:r>
            <w:proofErr w:type="spellStart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İçgörünün</w:t>
            </w:r>
            <w:proofErr w:type="spellEnd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Üç Bileşenini Değerlendirme Ölçeği (İÜBDÖ)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Morisky</w:t>
            </w:r>
            <w:proofErr w:type="spellEnd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Tedaviye Uyum Ölçeği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Bipolar</w:t>
            </w:r>
            <w:proofErr w:type="spellEnd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Bozuklukta İşlevsellik Ölçeği (BBİ)</w:t>
            </w:r>
            <w:proofErr w:type="gramEnd"/>
          </w:p>
        </w:tc>
      </w:tr>
    </w:tbl>
    <w:p w:rsidR="00C05B47" w:rsidRDefault="00C05B47" w:rsidP="00C05B4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C05B47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B47" w:rsidRDefault="00C05B47" w:rsidP="00C05B47">
      <w:pPr>
        <w:pStyle w:val="Balk3"/>
        <w:spacing w:line="48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C05B47" w:rsidRPr="001957D7" w:rsidRDefault="00C05B47" w:rsidP="00C05B47">
      <w:pPr>
        <w:pStyle w:val="Balk3"/>
        <w:spacing w:line="480" w:lineRule="auto"/>
        <w:rPr>
          <w:sz w:val="20"/>
          <w:szCs w:val="20"/>
        </w:rPr>
        <w:sectPr w:rsidR="00C05B47" w:rsidRPr="001957D7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957D7">
        <w:rPr>
          <w:rFonts w:ascii="Times New Roman" w:hAnsi="Times New Roman" w:cs="Times New Roman"/>
          <w:color w:val="auto"/>
          <w:sz w:val="20"/>
          <w:szCs w:val="20"/>
        </w:rPr>
        <w:t xml:space="preserve">Tablo </w:t>
      </w:r>
      <w:r w:rsidR="00CE639B" w:rsidRPr="001957D7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1957D7">
        <w:rPr>
          <w:rFonts w:ascii="Times New Roman" w:hAnsi="Times New Roman" w:cs="Times New Roman"/>
          <w:color w:val="auto"/>
          <w:sz w:val="20"/>
          <w:szCs w:val="20"/>
        </w:rPr>
        <w:instrText xml:space="preserve"> SEQ Tablo \* ARABIC </w:instrText>
      </w:r>
      <w:r w:rsidR="00CE639B" w:rsidRPr="001957D7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1957D7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r w:rsidR="00CE639B" w:rsidRPr="001957D7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1957D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gramStart"/>
      <w:r w:rsidRPr="001957D7">
        <w:rPr>
          <w:rFonts w:ascii="Times New Roman" w:hAnsi="Times New Roman" w:cs="Times New Roman"/>
          <w:color w:val="auto"/>
          <w:sz w:val="20"/>
          <w:szCs w:val="20"/>
        </w:rPr>
        <w:t xml:space="preserve">Grupların  </w:t>
      </w:r>
      <w:proofErr w:type="spellStart"/>
      <w:r w:rsidRPr="001957D7">
        <w:rPr>
          <w:rFonts w:ascii="Times New Roman" w:hAnsi="Times New Roman" w:cs="Times New Roman"/>
          <w:color w:val="auto"/>
          <w:sz w:val="20"/>
          <w:szCs w:val="20"/>
        </w:rPr>
        <w:t>Psikoeğitim</w:t>
      </w:r>
      <w:proofErr w:type="spellEnd"/>
      <w:proofErr w:type="gramEnd"/>
      <w:r w:rsidRPr="001957D7">
        <w:rPr>
          <w:rFonts w:ascii="Times New Roman" w:hAnsi="Times New Roman" w:cs="Times New Roman"/>
          <w:color w:val="auto"/>
          <w:sz w:val="20"/>
          <w:szCs w:val="20"/>
        </w:rPr>
        <w:t xml:space="preserve"> Öncesi ve Sonrası 16. Haftadaki Klinik Puanlarının Karşılaştırılması</w:t>
      </w:r>
    </w:p>
    <w:tbl>
      <w:tblPr>
        <w:tblW w:w="4780" w:type="pct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1471"/>
        <w:gridCol w:w="1302"/>
        <w:gridCol w:w="992"/>
        <w:gridCol w:w="1134"/>
        <w:gridCol w:w="993"/>
        <w:gridCol w:w="1133"/>
      </w:tblGrid>
      <w:tr w:rsidR="00C05B47" w:rsidRPr="008D63F1" w:rsidTr="00B522B1">
        <w:trPr>
          <w:trHeight w:val="300"/>
        </w:trPr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4" w:type="pct"/>
            <w:gridSpan w:val="2"/>
            <w:shd w:val="clear" w:color="auto" w:fill="auto"/>
            <w:noWrap/>
            <w:vAlign w:val="center"/>
            <w:hideMark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Psikoeğitim</w:t>
            </w:r>
            <w:proofErr w:type="spellEnd"/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Grubu</w:t>
            </w:r>
          </w:p>
        </w:tc>
        <w:tc>
          <w:tcPr>
            <w:tcW w:w="56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8" w:type="pct"/>
            <w:gridSpan w:val="2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Kontrol Grubu</w:t>
            </w:r>
          </w:p>
        </w:tc>
        <w:tc>
          <w:tcPr>
            <w:tcW w:w="64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05B47" w:rsidRPr="008D63F1" w:rsidTr="00B522B1">
        <w:trPr>
          <w:trHeight w:val="300"/>
        </w:trPr>
        <w:tc>
          <w:tcPr>
            <w:tcW w:w="1012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Değişkenler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Öncesi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Sonrası</w:t>
            </w:r>
          </w:p>
        </w:tc>
        <w:tc>
          <w:tcPr>
            <w:tcW w:w="56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proofErr w:type="gramEnd"/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Öncesi</w:t>
            </w:r>
          </w:p>
        </w:tc>
        <w:tc>
          <w:tcPr>
            <w:tcW w:w="56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Sonrası</w:t>
            </w:r>
          </w:p>
        </w:tc>
        <w:tc>
          <w:tcPr>
            <w:tcW w:w="64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proofErr w:type="gramEnd"/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C05B47" w:rsidRPr="008D63F1" w:rsidTr="00B522B1">
        <w:trPr>
          <w:trHeight w:val="651"/>
        </w:trPr>
        <w:tc>
          <w:tcPr>
            <w:tcW w:w="1012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HAM-D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2.7±2.43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2.2±3.54</w:t>
            </w:r>
          </w:p>
        </w:tc>
        <w:tc>
          <w:tcPr>
            <w:tcW w:w="56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0.311</w:t>
            </w:r>
          </w:p>
        </w:tc>
        <w:tc>
          <w:tcPr>
            <w:tcW w:w="64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2.9±3.11</w:t>
            </w:r>
          </w:p>
        </w:tc>
        <w:tc>
          <w:tcPr>
            <w:tcW w:w="56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5.1±5.37</w:t>
            </w:r>
          </w:p>
        </w:tc>
        <w:tc>
          <w:tcPr>
            <w:tcW w:w="64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0.032</w:t>
            </w:r>
          </w:p>
        </w:tc>
      </w:tr>
      <w:tr w:rsidR="00C05B47" w:rsidRPr="008D63F1" w:rsidTr="00B522B1">
        <w:trPr>
          <w:trHeight w:val="561"/>
        </w:trPr>
        <w:tc>
          <w:tcPr>
            <w:tcW w:w="1012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YMRS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0.5±0.93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0.5±1.22</w:t>
            </w:r>
          </w:p>
        </w:tc>
        <w:tc>
          <w:tcPr>
            <w:tcW w:w="56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0.859</w:t>
            </w:r>
          </w:p>
        </w:tc>
        <w:tc>
          <w:tcPr>
            <w:tcW w:w="64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0.2±0.77</w:t>
            </w:r>
          </w:p>
        </w:tc>
        <w:tc>
          <w:tcPr>
            <w:tcW w:w="56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2.5±3.05</w:t>
            </w:r>
          </w:p>
        </w:tc>
        <w:tc>
          <w:tcPr>
            <w:tcW w:w="64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0.000</w:t>
            </w:r>
          </w:p>
        </w:tc>
      </w:tr>
      <w:tr w:rsidR="00C05B47" w:rsidRPr="008D63F1" w:rsidTr="00B522B1">
        <w:trPr>
          <w:trHeight w:val="300"/>
        </w:trPr>
        <w:tc>
          <w:tcPr>
            <w:tcW w:w="1012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İGD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76.8±10.12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89.5±9.13</w:t>
            </w:r>
          </w:p>
        </w:tc>
        <w:tc>
          <w:tcPr>
            <w:tcW w:w="56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0.000</w:t>
            </w:r>
          </w:p>
        </w:tc>
        <w:tc>
          <w:tcPr>
            <w:tcW w:w="64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79.0±9.41</w:t>
            </w:r>
          </w:p>
        </w:tc>
        <w:tc>
          <w:tcPr>
            <w:tcW w:w="56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79.3±11.72</w:t>
            </w:r>
          </w:p>
        </w:tc>
        <w:tc>
          <w:tcPr>
            <w:tcW w:w="64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0.978</w:t>
            </w:r>
          </w:p>
        </w:tc>
      </w:tr>
      <w:tr w:rsidR="00C05B47" w:rsidRPr="008D63F1" w:rsidTr="00B522B1">
        <w:trPr>
          <w:trHeight w:val="543"/>
        </w:trPr>
        <w:tc>
          <w:tcPr>
            <w:tcW w:w="1012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İÜBDÖ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12.7±3.93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15.8±2.43</w:t>
            </w:r>
          </w:p>
        </w:tc>
        <w:tc>
          <w:tcPr>
            <w:tcW w:w="56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0.001</w:t>
            </w:r>
          </w:p>
        </w:tc>
        <w:tc>
          <w:tcPr>
            <w:tcW w:w="64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15.7±2.87</w:t>
            </w:r>
          </w:p>
        </w:tc>
        <w:tc>
          <w:tcPr>
            <w:tcW w:w="56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13.8±3.99</w:t>
            </w:r>
          </w:p>
        </w:tc>
        <w:tc>
          <w:tcPr>
            <w:tcW w:w="64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0.018</w:t>
            </w:r>
          </w:p>
        </w:tc>
      </w:tr>
      <w:tr w:rsidR="00C05B47" w:rsidRPr="008D63F1" w:rsidTr="00B522B1">
        <w:trPr>
          <w:trHeight w:val="300"/>
        </w:trPr>
        <w:tc>
          <w:tcPr>
            <w:tcW w:w="1012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Morisky</w:t>
            </w:r>
            <w:proofErr w:type="spellEnd"/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15.0±2.54</w:t>
            </w: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17.5±1.75</w:t>
            </w:r>
          </w:p>
        </w:tc>
        <w:tc>
          <w:tcPr>
            <w:tcW w:w="56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0.000</w:t>
            </w:r>
          </w:p>
        </w:tc>
        <w:tc>
          <w:tcPr>
            <w:tcW w:w="64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15.6±2.03</w:t>
            </w:r>
          </w:p>
        </w:tc>
        <w:tc>
          <w:tcPr>
            <w:tcW w:w="56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15.4±2.60</w:t>
            </w:r>
          </w:p>
        </w:tc>
        <w:tc>
          <w:tcPr>
            <w:tcW w:w="64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0.696</w:t>
            </w:r>
          </w:p>
        </w:tc>
      </w:tr>
      <w:tr w:rsidR="00C05B47" w:rsidRPr="008D63F1" w:rsidTr="00B522B1">
        <w:trPr>
          <w:trHeight w:val="300"/>
        </w:trPr>
        <w:tc>
          <w:tcPr>
            <w:tcW w:w="1012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BBİ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  <w:vAlign w:val="center"/>
          </w:tcPr>
          <w:p w:rsidR="00C05B47" w:rsidRPr="003B2B40" w:rsidRDefault="00C05B47" w:rsidP="00B522B1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B47" w:rsidRPr="000A76D2" w:rsidTr="00B522B1">
        <w:trPr>
          <w:trHeight w:val="3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Duygusal işlevsellik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8.20±0.99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7.70±1.66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0.197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7.66±1.74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7.50±1.77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0.589</w:t>
            </w:r>
          </w:p>
        </w:tc>
      </w:tr>
      <w:tr w:rsidR="00C05B47" w:rsidRPr="000A76D2" w:rsidTr="00B522B1">
        <w:trPr>
          <w:trHeight w:val="3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Zihinsel işlevsellik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9.76±2.12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9.60±1.92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0.791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9.43±2.73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8.63±2.39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0.144</w:t>
            </w:r>
          </w:p>
        </w:tc>
      </w:tr>
      <w:tr w:rsidR="00C05B47" w:rsidRPr="000A76D2" w:rsidTr="00B522B1">
        <w:trPr>
          <w:trHeight w:val="3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Cinsel işlevsellik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8.36±2.90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8.16±2.81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0.860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8.10±3.08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8.93±3.01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0.209</w:t>
            </w:r>
          </w:p>
        </w:tc>
      </w:tr>
      <w:tr w:rsidR="00C05B47" w:rsidRPr="000A76D2" w:rsidTr="00B522B1">
        <w:trPr>
          <w:trHeight w:val="3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Damgalanma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8.83±2.66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10.46±1.88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0.009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8.53±2.72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8.76±2.92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0.679</w:t>
            </w:r>
          </w:p>
        </w:tc>
      </w:tr>
      <w:tr w:rsidR="00C05B47" w:rsidRPr="000A76D2" w:rsidTr="00B522B1">
        <w:trPr>
          <w:trHeight w:val="3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İçe kapanıklık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6.56±1.45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7.50±1.59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0.034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6.70±1.78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6.66±2.05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0.935</w:t>
            </w:r>
          </w:p>
        </w:tc>
      </w:tr>
      <w:tr w:rsidR="00C05B47" w:rsidRPr="000A76D2" w:rsidTr="00B522B1">
        <w:trPr>
          <w:trHeight w:val="3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Ev içi ilişkileri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13.96±3.04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15.00±3.19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0.066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14.00±3.49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13.00±3.33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0.261</w:t>
            </w:r>
          </w:p>
        </w:tc>
      </w:tr>
      <w:tr w:rsidR="00C05B47" w:rsidRPr="000A76D2" w:rsidTr="00B522B1">
        <w:trPr>
          <w:trHeight w:val="3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Arkadaş ilişkileri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10.76±2.66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12.00±3.14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11.26±2.94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8.96±3.49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0.001</w:t>
            </w:r>
          </w:p>
        </w:tc>
      </w:tr>
      <w:tr w:rsidR="00C05B47" w:rsidRPr="000A76D2" w:rsidTr="00B522B1">
        <w:trPr>
          <w:trHeight w:val="3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Toplumsal işlevsellik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12.63±3.73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14.13±4.62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0.181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12.70±3.23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10.76±3.53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0.000</w:t>
            </w:r>
          </w:p>
        </w:tc>
      </w:tr>
      <w:tr w:rsidR="00C05B47" w:rsidRPr="000A76D2" w:rsidTr="00B522B1">
        <w:trPr>
          <w:trHeight w:val="3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Günlük işlevsellik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11.73±2.34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13.63±3.35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0.006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13.13±2.72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11.50±2.02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0.004</w:t>
            </w:r>
          </w:p>
        </w:tc>
      </w:tr>
      <w:tr w:rsidR="00C05B47" w:rsidRPr="000A76D2" w:rsidTr="00B522B1">
        <w:trPr>
          <w:trHeight w:val="3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İnsiyatif</w:t>
            </w:r>
            <w:proofErr w:type="spellEnd"/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alma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5.23±1.50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6.63±1.82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0.005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5.16±1.55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5.96±1.93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0.019</w:t>
            </w:r>
          </w:p>
        </w:tc>
      </w:tr>
      <w:tr w:rsidR="00C05B47" w:rsidRPr="000A76D2" w:rsidTr="00B522B1">
        <w:trPr>
          <w:trHeight w:val="30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Mesleki işlevsellik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6.10±2.32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10.30±2.39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5.40±2.01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sz w:val="16"/>
                <w:szCs w:val="16"/>
              </w:rPr>
              <w:t>8.10±3.07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47" w:rsidRPr="003B2B40" w:rsidRDefault="00C05B47" w:rsidP="00B522B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40">
              <w:rPr>
                <w:rFonts w:ascii="Times New Roman" w:hAnsi="Times New Roman" w:cs="Times New Roman"/>
                <w:b/>
                <w:sz w:val="16"/>
                <w:szCs w:val="16"/>
              </w:rPr>
              <w:t>0.002</w:t>
            </w:r>
          </w:p>
        </w:tc>
      </w:tr>
      <w:tr w:rsidR="00C05B47" w:rsidRPr="000A76D2" w:rsidTr="00B522B1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B47" w:rsidRPr="003B2B40" w:rsidRDefault="00C05B47" w:rsidP="00B522B1">
            <w:pPr>
              <w:spacing w:line="48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yüzde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). #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Ortalama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±S.D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 </w:t>
            </w:r>
            <w:proofErr w:type="spellStart"/>
            <w:r w:rsidRPr="00ED3F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Wilcoxon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test, p &lt; 0.05* </w:t>
            </w:r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Hamilton Depresyon Derecelendirme Ölçeği (HAM-D), </w:t>
            </w:r>
            <w:proofErr w:type="spellStart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Young</w:t>
            </w:r>
            <w:proofErr w:type="spellEnd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Mani Derecelendirme Ölçeği (YMRS), Klinik Global İzlenim Ölçeği (KGI), İşlevselliğin Genel Değerlendirilmesi Ölçeği (IGD), </w:t>
            </w:r>
            <w:proofErr w:type="spellStart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İçgörünün</w:t>
            </w:r>
            <w:proofErr w:type="spellEnd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Üç Bileşenini Değerlendirme Ölçeği (İÜBDÖ)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Morisky</w:t>
            </w:r>
            <w:proofErr w:type="spellEnd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Tedaviye Uyum Ölçeği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Bipolar</w:t>
            </w:r>
            <w:proofErr w:type="spellEnd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Bozuklukta İşlevsellik Ölçeği (BBİ)</w:t>
            </w:r>
          </w:p>
        </w:tc>
      </w:tr>
    </w:tbl>
    <w:p w:rsidR="00C05B47" w:rsidRPr="008D63F1" w:rsidRDefault="00C05B47" w:rsidP="00C05B47">
      <w:pPr>
        <w:jc w:val="both"/>
        <w:sectPr w:rsidR="00C05B47" w:rsidRPr="008D63F1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B47" w:rsidRDefault="00C05B47" w:rsidP="00C05B47">
      <w:pPr>
        <w:jc w:val="both"/>
        <w:rPr>
          <w:rFonts w:ascii="Times New Roman" w:hAnsi="Times New Roman" w:cs="Times New Roman"/>
          <w:sz w:val="24"/>
          <w:szCs w:val="24"/>
        </w:rPr>
        <w:sectPr w:rsidR="00C05B47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B47" w:rsidRPr="003C7C04" w:rsidRDefault="00C05B47" w:rsidP="00C05B47">
      <w:pPr>
        <w:sectPr w:rsidR="00C05B47" w:rsidRPr="003C7C04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B47" w:rsidRPr="001957D7" w:rsidRDefault="00C05B47" w:rsidP="00C05B47">
      <w:pPr>
        <w:pStyle w:val="Balk3"/>
        <w:spacing w:line="480" w:lineRule="auto"/>
        <w:rPr>
          <w:sz w:val="20"/>
          <w:szCs w:val="20"/>
        </w:rPr>
        <w:sectPr w:rsidR="00C05B47" w:rsidRPr="001957D7" w:rsidSect="001A7C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957D7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Tablo </w:t>
      </w:r>
      <w:r w:rsidR="00CE639B" w:rsidRPr="001957D7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1957D7">
        <w:rPr>
          <w:rFonts w:ascii="Times New Roman" w:hAnsi="Times New Roman" w:cs="Times New Roman"/>
          <w:color w:val="auto"/>
          <w:sz w:val="20"/>
          <w:szCs w:val="20"/>
        </w:rPr>
        <w:instrText xml:space="preserve"> SEQ Tablo \* ARABIC </w:instrText>
      </w:r>
      <w:r w:rsidR="00CE639B" w:rsidRPr="001957D7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1957D7">
        <w:rPr>
          <w:rFonts w:ascii="Times New Roman" w:hAnsi="Times New Roman" w:cs="Times New Roman"/>
          <w:noProof/>
          <w:color w:val="auto"/>
          <w:sz w:val="20"/>
          <w:szCs w:val="20"/>
        </w:rPr>
        <w:t>3</w:t>
      </w:r>
      <w:r w:rsidR="00CE639B" w:rsidRPr="001957D7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1957D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gramStart"/>
      <w:r w:rsidRPr="001957D7">
        <w:rPr>
          <w:rFonts w:ascii="Times New Roman" w:hAnsi="Times New Roman" w:cs="Times New Roman"/>
          <w:color w:val="auto"/>
          <w:sz w:val="20"/>
          <w:szCs w:val="20"/>
        </w:rPr>
        <w:t xml:space="preserve">Grupların  </w:t>
      </w:r>
      <w:proofErr w:type="spellStart"/>
      <w:r w:rsidRPr="001957D7">
        <w:rPr>
          <w:rFonts w:ascii="Times New Roman" w:hAnsi="Times New Roman" w:cs="Times New Roman"/>
          <w:color w:val="auto"/>
          <w:sz w:val="20"/>
          <w:szCs w:val="20"/>
        </w:rPr>
        <w:t>Psikoeğitim</w:t>
      </w:r>
      <w:proofErr w:type="spellEnd"/>
      <w:proofErr w:type="gramEnd"/>
      <w:r w:rsidRPr="001957D7">
        <w:rPr>
          <w:rFonts w:ascii="Times New Roman" w:hAnsi="Times New Roman" w:cs="Times New Roman"/>
          <w:color w:val="auto"/>
          <w:sz w:val="20"/>
          <w:szCs w:val="20"/>
        </w:rPr>
        <w:t xml:space="preserve"> Öncesi ve Sonrası 16. Haftadaki Klinik Puanlarındaki Değiş</w:t>
      </w:r>
      <w:r w:rsidR="00D03BA8">
        <w:rPr>
          <w:rFonts w:ascii="Times New Roman" w:hAnsi="Times New Roman" w:cs="Times New Roman"/>
          <w:color w:val="auto"/>
          <w:sz w:val="20"/>
          <w:szCs w:val="20"/>
        </w:rPr>
        <w:t>im Oranlarının Karşılaştırıl</w:t>
      </w:r>
      <w:r w:rsidR="007D360D">
        <w:rPr>
          <w:rFonts w:ascii="Times New Roman" w:hAnsi="Times New Roman" w:cs="Times New Roman"/>
          <w:color w:val="auto"/>
          <w:sz w:val="20"/>
          <w:szCs w:val="20"/>
        </w:rPr>
        <w:t>ması</w:t>
      </w:r>
    </w:p>
    <w:tbl>
      <w:tblPr>
        <w:tblpPr w:leftFromText="180" w:rightFromText="180" w:vertAnchor="text" w:horzAnchor="page" w:tblpX="1488" w:tblpY="140"/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3198"/>
        <w:gridCol w:w="3125"/>
        <w:gridCol w:w="937"/>
      </w:tblGrid>
      <w:tr w:rsidR="00D03BA8" w:rsidRPr="00683818" w:rsidTr="00A24C7A">
        <w:trPr>
          <w:trHeight w:val="1146"/>
        </w:trPr>
        <w:tc>
          <w:tcPr>
            <w:tcW w:w="1281" w:type="pct"/>
            <w:shd w:val="clear" w:color="auto" w:fill="auto"/>
            <w:noWrap/>
            <w:vAlign w:val="center"/>
          </w:tcPr>
          <w:p w:rsidR="00D03BA8" w:rsidRPr="00683818" w:rsidRDefault="00D03BA8" w:rsidP="00D03BA8">
            <w:pPr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8" w:type="pct"/>
          </w:tcPr>
          <w:p w:rsidR="00D03BA8" w:rsidRDefault="00D03BA8" w:rsidP="007D360D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3BA8" w:rsidRPr="00C545D6" w:rsidRDefault="00D03BA8" w:rsidP="00D03B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Psikoeğitim</w:t>
            </w:r>
            <w:proofErr w:type="spellEnd"/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Grubu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Değişim 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koru</w:t>
            </w: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(n=30)</w:t>
            </w:r>
          </w:p>
        </w:tc>
        <w:tc>
          <w:tcPr>
            <w:tcW w:w="1601" w:type="pct"/>
          </w:tcPr>
          <w:p w:rsidR="00D03BA8" w:rsidRDefault="00D03BA8" w:rsidP="00D03B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3BA8" w:rsidRPr="00C545D6" w:rsidRDefault="00D03BA8" w:rsidP="00D03B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Kontrol Grubu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Değişim S</w:t>
            </w:r>
            <w:r w:rsidRPr="002B279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koru</w:t>
            </w: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(n=30)</w:t>
            </w:r>
          </w:p>
        </w:tc>
        <w:tc>
          <w:tcPr>
            <w:tcW w:w="480" w:type="pct"/>
            <w:vAlign w:val="center"/>
          </w:tcPr>
          <w:p w:rsidR="00D03BA8" w:rsidRDefault="00D03BA8" w:rsidP="00D03BA8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03BA8" w:rsidRPr="00C545D6" w:rsidRDefault="00D03BA8" w:rsidP="00D03BA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proofErr w:type="gramEnd"/>
          </w:p>
        </w:tc>
      </w:tr>
      <w:tr w:rsidR="00C27E15" w:rsidRPr="00683818" w:rsidTr="00C27E15">
        <w:trPr>
          <w:trHeight w:val="322"/>
        </w:trPr>
        <w:tc>
          <w:tcPr>
            <w:tcW w:w="1281" w:type="pct"/>
            <w:shd w:val="clear" w:color="auto" w:fill="auto"/>
            <w:noWrap/>
            <w:vAlign w:val="center"/>
          </w:tcPr>
          <w:p w:rsidR="00C27E15" w:rsidRPr="00C545D6" w:rsidRDefault="00C27E15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HAM-D</w:t>
            </w:r>
          </w:p>
        </w:tc>
        <w:tc>
          <w:tcPr>
            <w:tcW w:w="1638" w:type="pct"/>
            <w:vAlign w:val="center"/>
          </w:tcPr>
          <w:p w:rsidR="00C27E15" w:rsidRPr="00683818" w:rsidRDefault="002B279A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-1.</w:t>
            </w:r>
            <w:r w:rsidR="00C27E15" w:rsidRPr="00C27E1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601" w:type="pct"/>
            <w:vAlign w:val="center"/>
          </w:tcPr>
          <w:p w:rsidR="00C27E15" w:rsidRPr="00683818" w:rsidRDefault="00AA31D2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A31D2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AA31D2">
              <w:rPr>
                <w:rFonts w:ascii="Times New Roman" w:eastAsia="Times New Roman" w:hAnsi="Times New Roman" w:cs="Times New Roman"/>
                <w:sz w:val="16"/>
                <w:szCs w:val="16"/>
              </w:rPr>
              <w:t>= -2.147</w:t>
            </w:r>
          </w:p>
        </w:tc>
        <w:tc>
          <w:tcPr>
            <w:tcW w:w="480" w:type="pct"/>
            <w:vAlign w:val="center"/>
          </w:tcPr>
          <w:p w:rsidR="00C27E15" w:rsidRPr="00B53171" w:rsidRDefault="001947B7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</w:t>
            </w:r>
            <w:r w:rsidR="00C27E15" w:rsidRPr="00B531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050</w:t>
            </w:r>
          </w:p>
        </w:tc>
      </w:tr>
      <w:tr w:rsidR="002E5F57" w:rsidRPr="00683818" w:rsidTr="002E5F57">
        <w:trPr>
          <w:trHeight w:val="300"/>
        </w:trPr>
        <w:tc>
          <w:tcPr>
            <w:tcW w:w="1281" w:type="pct"/>
            <w:shd w:val="clear" w:color="auto" w:fill="auto"/>
            <w:noWrap/>
            <w:vAlign w:val="center"/>
          </w:tcPr>
          <w:p w:rsidR="002E5F57" w:rsidRPr="00C545D6" w:rsidRDefault="002E5F57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YMRS</w:t>
            </w:r>
          </w:p>
        </w:tc>
        <w:tc>
          <w:tcPr>
            <w:tcW w:w="1638" w:type="pct"/>
            <w:vAlign w:val="center"/>
          </w:tcPr>
          <w:p w:rsidR="002E5F57" w:rsidRPr="00683818" w:rsidRDefault="002E5F57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-0.</w:t>
            </w:r>
            <w:r w:rsidRPr="002B279A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601" w:type="pct"/>
            <w:vAlign w:val="center"/>
          </w:tcPr>
          <w:p w:rsidR="002E5F57" w:rsidRPr="00683818" w:rsidRDefault="00AA31D2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A31D2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AA31D2">
              <w:rPr>
                <w:rFonts w:ascii="Times New Roman" w:eastAsia="Times New Roman" w:hAnsi="Times New Roman" w:cs="Times New Roman"/>
                <w:sz w:val="16"/>
                <w:szCs w:val="16"/>
              </w:rPr>
              <w:t>= -3.566</w:t>
            </w:r>
          </w:p>
        </w:tc>
        <w:tc>
          <w:tcPr>
            <w:tcW w:w="480" w:type="pct"/>
            <w:vAlign w:val="center"/>
          </w:tcPr>
          <w:p w:rsidR="002E5F57" w:rsidRPr="00B53171" w:rsidRDefault="001947B7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</w:t>
            </w:r>
            <w:r w:rsidR="002E5F57" w:rsidRPr="00B531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011</w:t>
            </w:r>
          </w:p>
        </w:tc>
      </w:tr>
      <w:tr w:rsidR="00AA31D2" w:rsidRPr="00683818" w:rsidTr="00AA31D2">
        <w:trPr>
          <w:trHeight w:val="699"/>
        </w:trPr>
        <w:tc>
          <w:tcPr>
            <w:tcW w:w="1281" w:type="pct"/>
            <w:shd w:val="clear" w:color="auto" w:fill="auto"/>
            <w:noWrap/>
            <w:vAlign w:val="center"/>
          </w:tcPr>
          <w:p w:rsidR="00AA31D2" w:rsidRPr="00C545D6" w:rsidRDefault="00AA31D2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İGD</w:t>
            </w:r>
          </w:p>
        </w:tc>
        <w:tc>
          <w:tcPr>
            <w:tcW w:w="1638" w:type="pct"/>
            <w:vAlign w:val="center"/>
          </w:tcPr>
          <w:p w:rsidR="00AA31D2" w:rsidRPr="00683818" w:rsidRDefault="00AA31D2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279A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B279A">
              <w:rPr>
                <w:rFonts w:ascii="Times New Roman" w:eastAsia="Times New Roman" w:hAnsi="Times New Roman" w:cs="Times New Roman"/>
                <w:sz w:val="16"/>
                <w:szCs w:val="16"/>
              </w:rPr>
              <w:t>= -4.106</w:t>
            </w:r>
          </w:p>
        </w:tc>
        <w:tc>
          <w:tcPr>
            <w:tcW w:w="1601" w:type="pct"/>
            <w:vAlign w:val="center"/>
          </w:tcPr>
          <w:p w:rsidR="00AA31D2" w:rsidRPr="00683818" w:rsidRDefault="00AA31D2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A31D2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AA31D2">
              <w:rPr>
                <w:rFonts w:ascii="Times New Roman" w:eastAsia="Times New Roman" w:hAnsi="Times New Roman" w:cs="Times New Roman"/>
                <w:sz w:val="16"/>
                <w:szCs w:val="16"/>
              </w:rPr>
              <w:t>= -0.027</w:t>
            </w:r>
          </w:p>
        </w:tc>
        <w:tc>
          <w:tcPr>
            <w:tcW w:w="480" w:type="pct"/>
            <w:vAlign w:val="center"/>
          </w:tcPr>
          <w:p w:rsidR="00AA31D2" w:rsidRPr="00B53171" w:rsidRDefault="001947B7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</w:t>
            </w:r>
            <w:r w:rsidR="00AA31D2" w:rsidRPr="00B531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050</w:t>
            </w:r>
          </w:p>
        </w:tc>
      </w:tr>
      <w:tr w:rsidR="00AA31D2" w:rsidRPr="00683818" w:rsidTr="00AA31D2">
        <w:trPr>
          <w:trHeight w:val="300"/>
        </w:trPr>
        <w:tc>
          <w:tcPr>
            <w:tcW w:w="1281" w:type="pct"/>
            <w:shd w:val="clear" w:color="auto" w:fill="auto"/>
            <w:noWrap/>
            <w:vAlign w:val="center"/>
          </w:tcPr>
          <w:p w:rsidR="00AA31D2" w:rsidRPr="00C545D6" w:rsidRDefault="00AA31D2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İçgörü</w:t>
            </w:r>
            <w:proofErr w:type="spellEnd"/>
          </w:p>
        </w:tc>
        <w:tc>
          <w:tcPr>
            <w:tcW w:w="1638" w:type="pct"/>
            <w:vAlign w:val="center"/>
          </w:tcPr>
          <w:p w:rsidR="00AA31D2" w:rsidRPr="00683818" w:rsidRDefault="00AA31D2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B279A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B279A">
              <w:rPr>
                <w:rFonts w:ascii="Times New Roman" w:eastAsia="Times New Roman" w:hAnsi="Times New Roman" w:cs="Times New Roman"/>
                <w:sz w:val="16"/>
                <w:szCs w:val="16"/>
              </w:rPr>
              <w:t>= -3.196</w:t>
            </w:r>
          </w:p>
        </w:tc>
        <w:tc>
          <w:tcPr>
            <w:tcW w:w="1601" w:type="pct"/>
            <w:vAlign w:val="center"/>
          </w:tcPr>
          <w:p w:rsidR="00AA31D2" w:rsidRPr="00683818" w:rsidRDefault="001947B7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947B7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1947B7">
              <w:rPr>
                <w:rFonts w:ascii="Times New Roman" w:eastAsia="Times New Roman" w:hAnsi="Times New Roman" w:cs="Times New Roman"/>
                <w:sz w:val="16"/>
                <w:szCs w:val="16"/>
              </w:rPr>
              <w:t>= -2.365</w:t>
            </w:r>
          </w:p>
        </w:tc>
        <w:tc>
          <w:tcPr>
            <w:tcW w:w="480" w:type="pct"/>
            <w:vAlign w:val="center"/>
          </w:tcPr>
          <w:p w:rsidR="00AA31D2" w:rsidRPr="00683818" w:rsidRDefault="001947B7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="00AA31D2" w:rsidRPr="00683818">
              <w:rPr>
                <w:rFonts w:ascii="Times New Roman" w:eastAsia="Times New Roman" w:hAnsi="Times New Roman" w:cs="Times New Roman"/>
                <w:sz w:val="16"/>
                <w:szCs w:val="16"/>
              </w:rPr>
              <w:t>492</w:t>
            </w:r>
          </w:p>
        </w:tc>
      </w:tr>
      <w:tr w:rsidR="00AA31D2" w:rsidRPr="00683818" w:rsidTr="00AA31D2">
        <w:trPr>
          <w:trHeight w:val="300"/>
        </w:trPr>
        <w:tc>
          <w:tcPr>
            <w:tcW w:w="1281" w:type="pct"/>
            <w:shd w:val="clear" w:color="auto" w:fill="auto"/>
            <w:noWrap/>
            <w:vAlign w:val="center"/>
          </w:tcPr>
          <w:p w:rsidR="00AA31D2" w:rsidRPr="00C545D6" w:rsidRDefault="00AA31D2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Morisky</w:t>
            </w:r>
            <w:proofErr w:type="spellEnd"/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tedavi uyumu</w:t>
            </w:r>
          </w:p>
        </w:tc>
        <w:tc>
          <w:tcPr>
            <w:tcW w:w="1638" w:type="pct"/>
            <w:vAlign w:val="center"/>
          </w:tcPr>
          <w:p w:rsidR="00AA31D2" w:rsidRPr="00683818" w:rsidRDefault="00AA31D2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C4F3F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9C4F3F">
              <w:rPr>
                <w:rFonts w:ascii="Times New Roman" w:eastAsia="Times New Roman" w:hAnsi="Times New Roman" w:cs="Times New Roman"/>
                <w:sz w:val="16"/>
                <w:szCs w:val="16"/>
              </w:rPr>
              <w:t>=-3.534</w:t>
            </w:r>
          </w:p>
        </w:tc>
        <w:tc>
          <w:tcPr>
            <w:tcW w:w="1601" w:type="pct"/>
            <w:vAlign w:val="center"/>
          </w:tcPr>
          <w:p w:rsidR="00AA31D2" w:rsidRPr="00683818" w:rsidRDefault="005B7A92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B7A92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5B7A92">
              <w:rPr>
                <w:rFonts w:ascii="Times New Roman" w:eastAsia="Times New Roman" w:hAnsi="Times New Roman" w:cs="Times New Roman"/>
                <w:sz w:val="16"/>
                <w:szCs w:val="16"/>
              </w:rPr>
              <w:t>= -0.390</w:t>
            </w:r>
          </w:p>
        </w:tc>
        <w:tc>
          <w:tcPr>
            <w:tcW w:w="480" w:type="pct"/>
            <w:vAlign w:val="center"/>
          </w:tcPr>
          <w:p w:rsidR="00AA31D2" w:rsidRPr="00683818" w:rsidRDefault="001947B7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="00AA31D2" w:rsidRPr="00683818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</w:tr>
      <w:tr w:rsidR="00814D54" w:rsidRPr="00683818" w:rsidTr="00814D54">
        <w:trPr>
          <w:trHeight w:val="300"/>
        </w:trPr>
        <w:tc>
          <w:tcPr>
            <w:tcW w:w="1281" w:type="pct"/>
            <w:shd w:val="clear" w:color="auto" w:fill="auto"/>
            <w:noWrap/>
            <w:vAlign w:val="center"/>
          </w:tcPr>
          <w:p w:rsidR="00814D54" w:rsidRPr="00C545D6" w:rsidRDefault="00814D54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BBİ</w:t>
            </w:r>
          </w:p>
        </w:tc>
        <w:tc>
          <w:tcPr>
            <w:tcW w:w="1638" w:type="pct"/>
            <w:vAlign w:val="center"/>
          </w:tcPr>
          <w:p w:rsidR="00814D54" w:rsidRPr="00683818" w:rsidRDefault="00814D54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1" w:type="pct"/>
            <w:vAlign w:val="center"/>
          </w:tcPr>
          <w:p w:rsidR="00814D54" w:rsidRPr="00683818" w:rsidRDefault="00814D54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814D54" w:rsidRPr="00683818" w:rsidRDefault="00814D54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31D2" w:rsidRPr="00683818" w:rsidTr="00AA31D2">
        <w:trPr>
          <w:trHeight w:val="499"/>
        </w:trPr>
        <w:tc>
          <w:tcPr>
            <w:tcW w:w="1281" w:type="pct"/>
            <w:shd w:val="clear" w:color="auto" w:fill="auto"/>
            <w:noWrap/>
            <w:vAlign w:val="center"/>
          </w:tcPr>
          <w:p w:rsidR="00AA31D2" w:rsidRPr="00C545D6" w:rsidRDefault="00AA31D2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Duygusal işlevsellik</w:t>
            </w:r>
          </w:p>
        </w:tc>
        <w:tc>
          <w:tcPr>
            <w:tcW w:w="1638" w:type="pct"/>
            <w:vAlign w:val="center"/>
          </w:tcPr>
          <w:p w:rsidR="00AA31D2" w:rsidRPr="00683818" w:rsidRDefault="00AA31D2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-1.</w:t>
            </w:r>
            <w:r w:rsidRPr="00D06E8F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601" w:type="pct"/>
            <w:vAlign w:val="center"/>
          </w:tcPr>
          <w:p w:rsidR="00AA31D2" w:rsidRPr="00683818" w:rsidRDefault="00F403F5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403F5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F403F5">
              <w:rPr>
                <w:rFonts w:ascii="Times New Roman" w:eastAsia="Times New Roman" w:hAnsi="Times New Roman" w:cs="Times New Roman"/>
                <w:sz w:val="16"/>
                <w:szCs w:val="16"/>
              </w:rPr>
              <w:t>= -0.541</w:t>
            </w:r>
          </w:p>
        </w:tc>
        <w:tc>
          <w:tcPr>
            <w:tcW w:w="480" w:type="pct"/>
            <w:vAlign w:val="center"/>
          </w:tcPr>
          <w:p w:rsidR="00AA31D2" w:rsidRPr="00683818" w:rsidRDefault="00F403F5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="00AA31D2" w:rsidRPr="00683818">
              <w:rPr>
                <w:rFonts w:ascii="Times New Roman" w:eastAsia="Times New Roman" w:hAnsi="Times New Roman" w:cs="Times New Roman"/>
                <w:sz w:val="16"/>
                <w:szCs w:val="16"/>
              </w:rPr>
              <w:t>217</w:t>
            </w:r>
          </w:p>
        </w:tc>
      </w:tr>
      <w:tr w:rsidR="00F403F5" w:rsidRPr="00683818" w:rsidTr="00F403F5">
        <w:trPr>
          <w:trHeight w:val="550"/>
        </w:trPr>
        <w:tc>
          <w:tcPr>
            <w:tcW w:w="1281" w:type="pct"/>
            <w:shd w:val="clear" w:color="auto" w:fill="auto"/>
            <w:noWrap/>
            <w:vAlign w:val="center"/>
          </w:tcPr>
          <w:p w:rsidR="00F403F5" w:rsidRPr="00C545D6" w:rsidRDefault="00F403F5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Zihinsel işlevsellik</w:t>
            </w:r>
          </w:p>
        </w:tc>
        <w:tc>
          <w:tcPr>
            <w:tcW w:w="1638" w:type="pct"/>
            <w:vAlign w:val="center"/>
          </w:tcPr>
          <w:p w:rsidR="00F403F5" w:rsidRPr="00683818" w:rsidRDefault="00F403F5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-0.264</w:t>
            </w:r>
          </w:p>
        </w:tc>
        <w:tc>
          <w:tcPr>
            <w:tcW w:w="1601" w:type="pct"/>
            <w:vAlign w:val="center"/>
          </w:tcPr>
          <w:p w:rsidR="00F403F5" w:rsidRPr="00683818" w:rsidRDefault="00F403F5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403F5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F403F5">
              <w:rPr>
                <w:rFonts w:ascii="Times New Roman" w:eastAsia="Times New Roman" w:hAnsi="Times New Roman" w:cs="Times New Roman"/>
                <w:sz w:val="16"/>
                <w:szCs w:val="16"/>
              </w:rPr>
              <w:t>= -1.463</w:t>
            </w:r>
          </w:p>
        </w:tc>
        <w:tc>
          <w:tcPr>
            <w:tcW w:w="480" w:type="pct"/>
            <w:vAlign w:val="center"/>
          </w:tcPr>
          <w:p w:rsidR="00F403F5" w:rsidRPr="00683818" w:rsidRDefault="00F403F5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683818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</w:tr>
      <w:tr w:rsidR="00F403F5" w:rsidRPr="00683818" w:rsidTr="00F403F5">
        <w:trPr>
          <w:trHeight w:val="300"/>
        </w:trPr>
        <w:tc>
          <w:tcPr>
            <w:tcW w:w="1281" w:type="pct"/>
            <w:shd w:val="clear" w:color="auto" w:fill="auto"/>
            <w:noWrap/>
            <w:vAlign w:val="center"/>
          </w:tcPr>
          <w:p w:rsidR="00F403F5" w:rsidRPr="00C545D6" w:rsidRDefault="00F403F5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Cinsel işlevsellik</w:t>
            </w:r>
          </w:p>
        </w:tc>
        <w:tc>
          <w:tcPr>
            <w:tcW w:w="1638" w:type="pct"/>
            <w:vAlign w:val="center"/>
          </w:tcPr>
          <w:p w:rsidR="00F403F5" w:rsidRPr="00683818" w:rsidRDefault="00F403F5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= -0.</w:t>
            </w:r>
            <w:r w:rsidRPr="00027A58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601" w:type="pct"/>
            <w:vAlign w:val="center"/>
          </w:tcPr>
          <w:p w:rsidR="00F403F5" w:rsidRPr="00683818" w:rsidRDefault="00431BD4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31BD4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431BD4">
              <w:rPr>
                <w:rFonts w:ascii="Times New Roman" w:eastAsia="Times New Roman" w:hAnsi="Times New Roman" w:cs="Times New Roman"/>
                <w:sz w:val="16"/>
                <w:szCs w:val="16"/>
              </w:rPr>
              <w:t>= -1.255</w:t>
            </w:r>
          </w:p>
        </w:tc>
        <w:tc>
          <w:tcPr>
            <w:tcW w:w="480" w:type="pct"/>
            <w:vAlign w:val="center"/>
          </w:tcPr>
          <w:p w:rsidR="00F403F5" w:rsidRPr="00683818" w:rsidRDefault="00F403F5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683818">
              <w:rPr>
                <w:rFonts w:ascii="Times New Roman" w:eastAsia="Times New Roman" w:hAnsi="Times New Roman" w:cs="Times New Roman"/>
                <w:sz w:val="16"/>
                <w:szCs w:val="16"/>
              </w:rPr>
              <w:t>706</w:t>
            </w:r>
          </w:p>
        </w:tc>
      </w:tr>
      <w:tr w:rsidR="00F403F5" w:rsidRPr="00683818" w:rsidTr="00F403F5">
        <w:trPr>
          <w:trHeight w:val="300"/>
        </w:trPr>
        <w:tc>
          <w:tcPr>
            <w:tcW w:w="1281" w:type="pct"/>
            <w:shd w:val="clear" w:color="auto" w:fill="auto"/>
            <w:noWrap/>
            <w:vAlign w:val="center"/>
          </w:tcPr>
          <w:p w:rsidR="00F403F5" w:rsidRPr="00C545D6" w:rsidRDefault="00F403F5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Damgalanma</w:t>
            </w:r>
          </w:p>
        </w:tc>
        <w:tc>
          <w:tcPr>
            <w:tcW w:w="1638" w:type="pct"/>
            <w:vAlign w:val="center"/>
          </w:tcPr>
          <w:p w:rsidR="00F403F5" w:rsidRPr="00683818" w:rsidRDefault="00F403F5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27A58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027A58">
              <w:rPr>
                <w:rFonts w:ascii="Times New Roman" w:eastAsia="Times New Roman" w:hAnsi="Times New Roman" w:cs="Times New Roman"/>
                <w:sz w:val="16"/>
                <w:szCs w:val="16"/>
              </w:rPr>
              <w:t>= -2.596</w:t>
            </w:r>
          </w:p>
        </w:tc>
        <w:tc>
          <w:tcPr>
            <w:tcW w:w="1601" w:type="pct"/>
            <w:vAlign w:val="center"/>
          </w:tcPr>
          <w:p w:rsidR="00F403F5" w:rsidRPr="00683818" w:rsidRDefault="00431BD4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31BD4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431BD4">
              <w:rPr>
                <w:rFonts w:ascii="Times New Roman" w:eastAsia="Times New Roman" w:hAnsi="Times New Roman" w:cs="Times New Roman"/>
                <w:sz w:val="16"/>
                <w:szCs w:val="16"/>
              </w:rPr>
              <w:t>= -0.414</w:t>
            </w:r>
          </w:p>
        </w:tc>
        <w:tc>
          <w:tcPr>
            <w:tcW w:w="480" w:type="pct"/>
            <w:vAlign w:val="center"/>
          </w:tcPr>
          <w:p w:rsidR="00F403F5" w:rsidRPr="00683818" w:rsidRDefault="00431BD4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="00F403F5" w:rsidRPr="00683818">
              <w:rPr>
                <w:rFonts w:ascii="Times New Roman" w:eastAsia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431BD4" w:rsidRPr="00683818" w:rsidTr="00431BD4">
        <w:trPr>
          <w:trHeight w:val="300"/>
        </w:trPr>
        <w:tc>
          <w:tcPr>
            <w:tcW w:w="1281" w:type="pct"/>
            <w:shd w:val="clear" w:color="auto" w:fill="auto"/>
            <w:noWrap/>
            <w:vAlign w:val="center"/>
          </w:tcPr>
          <w:p w:rsidR="00431BD4" w:rsidRPr="00C545D6" w:rsidRDefault="00431BD4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İçe kapanıklık</w:t>
            </w:r>
          </w:p>
        </w:tc>
        <w:tc>
          <w:tcPr>
            <w:tcW w:w="1638" w:type="pct"/>
            <w:vAlign w:val="center"/>
          </w:tcPr>
          <w:p w:rsidR="00431BD4" w:rsidRPr="00683818" w:rsidRDefault="00431BD4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170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D45170">
              <w:rPr>
                <w:rFonts w:ascii="Times New Roman" w:eastAsia="Times New Roman" w:hAnsi="Times New Roman" w:cs="Times New Roman"/>
                <w:sz w:val="16"/>
                <w:szCs w:val="16"/>
              </w:rPr>
              <w:t>= -2.117</w:t>
            </w:r>
          </w:p>
        </w:tc>
        <w:tc>
          <w:tcPr>
            <w:tcW w:w="1601" w:type="pct"/>
            <w:vAlign w:val="center"/>
          </w:tcPr>
          <w:p w:rsidR="00431BD4" w:rsidRPr="00683818" w:rsidRDefault="00D14213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14213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D14213">
              <w:rPr>
                <w:rFonts w:ascii="Times New Roman" w:eastAsia="Times New Roman" w:hAnsi="Times New Roman" w:cs="Times New Roman"/>
                <w:sz w:val="16"/>
                <w:szCs w:val="16"/>
              </w:rPr>
              <w:t>= -0.082</w:t>
            </w:r>
          </w:p>
        </w:tc>
        <w:tc>
          <w:tcPr>
            <w:tcW w:w="480" w:type="pct"/>
            <w:vAlign w:val="center"/>
          </w:tcPr>
          <w:p w:rsidR="00431BD4" w:rsidRPr="00683818" w:rsidRDefault="00431BD4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3818">
              <w:rPr>
                <w:rFonts w:ascii="Times New Roman" w:eastAsia="Times New Roman" w:hAnsi="Times New Roman" w:cs="Times New Roman"/>
                <w:sz w:val="16"/>
                <w:szCs w:val="16"/>
              </w:rPr>
              <w:t>0,326</w:t>
            </w:r>
          </w:p>
        </w:tc>
      </w:tr>
      <w:tr w:rsidR="00431BD4" w:rsidRPr="00683818" w:rsidTr="00431BD4">
        <w:trPr>
          <w:trHeight w:val="300"/>
        </w:trPr>
        <w:tc>
          <w:tcPr>
            <w:tcW w:w="1281" w:type="pct"/>
            <w:shd w:val="clear" w:color="auto" w:fill="auto"/>
            <w:noWrap/>
            <w:vAlign w:val="center"/>
          </w:tcPr>
          <w:p w:rsidR="00431BD4" w:rsidRPr="00C545D6" w:rsidRDefault="00431BD4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Ev içi ilişkileri</w:t>
            </w:r>
          </w:p>
        </w:tc>
        <w:tc>
          <w:tcPr>
            <w:tcW w:w="1638" w:type="pct"/>
            <w:vAlign w:val="center"/>
          </w:tcPr>
          <w:p w:rsidR="00431BD4" w:rsidRPr="00683818" w:rsidRDefault="00431BD4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45170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D45170">
              <w:rPr>
                <w:rFonts w:ascii="Times New Roman" w:eastAsia="Times New Roman" w:hAnsi="Times New Roman" w:cs="Times New Roman"/>
                <w:sz w:val="16"/>
                <w:szCs w:val="16"/>
              </w:rPr>
              <w:t>= -1.839</w:t>
            </w:r>
          </w:p>
        </w:tc>
        <w:tc>
          <w:tcPr>
            <w:tcW w:w="1601" w:type="pct"/>
            <w:vAlign w:val="center"/>
          </w:tcPr>
          <w:p w:rsidR="00431BD4" w:rsidRPr="00683818" w:rsidRDefault="00D14213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14213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D14213">
              <w:rPr>
                <w:rFonts w:ascii="Times New Roman" w:eastAsia="Times New Roman" w:hAnsi="Times New Roman" w:cs="Times New Roman"/>
                <w:sz w:val="16"/>
                <w:szCs w:val="16"/>
              </w:rPr>
              <w:t>= -1.125</w:t>
            </w:r>
          </w:p>
        </w:tc>
        <w:tc>
          <w:tcPr>
            <w:tcW w:w="480" w:type="pct"/>
            <w:vAlign w:val="center"/>
          </w:tcPr>
          <w:p w:rsidR="00431BD4" w:rsidRPr="00683818" w:rsidRDefault="00D14213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="00431BD4" w:rsidRPr="00683818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</w:tr>
      <w:tr w:rsidR="00D14213" w:rsidRPr="00683818" w:rsidTr="00D14213">
        <w:trPr>
          <w:trHeight w:val="300"/>
        </w:trPr>
        <w:tc>
          <w:tcPr>
            <w:tcW w:w="1281" w:type="pct"/>
            <w:shd w:val="clear" w:color="auto" w:fill="auto"/>
            <w:noWrap/>
            <w:vAlign w:val="center"/>
          </w:tcPr>
          <w:p w:rsidR="00D14213" w:rsidRPr="00C545D6" w:rsidRDefault="00D14213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Arkadaş ilişkileri</w:t>
            </w:r>
          </w:p>
        </w:tc>
        <w:tc>
          <w:tcPr>
            <w:tcW w:w="1638" w:type="pct"/>
            <w:vAlign w:val="center"/>
          </w:tcPr>
          <w:p w:rsidR="00D14213" w:rsidRPr="00683818" w:rsidRDefault="00D14213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631B5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5631B5">
              <w:rPr>
                <w:rFonts w:ascii="Times New Roman" w:eastAsia="Times New Roman" w:hAnsi="Times New Roman" w:cs="Times New Roman"/>
                <w:sz w:val="16"/>
                <w:szCs w:val="16"/>
              </w:rPr>
              <w:t>= -1.782</w:t>
            </w:r>
          </w:p>
        </w:tc>
        <w:tc>
          <w:tcPr>
            <w:tcW w:w="1601" w:type="pct"/>
            <w:vAlign w:val="center"/>
          </w:tcPr>
          <w:p w:rsidR="00D14213" w:rsidRPr="00683818" w:rsidRDefault="00D14213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14213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D14213">
              <w:rPr>
                <w:rFonts w:ascii="Times New Roman" w:eastAsia="Times New Roman" w:hAnsi="Times New Roman" w:cs="Times New Roman"/>
                <w:sz w:val="16"/>
                <w:szCs w:val="16"/>
              </w:rPr>
              <w:t>= -3.445</w:t>
            </w:r>
          </w:p>
        </w:tc>
        <w:tc>
          <w:tcPr>
            <w:tcW w:w="480" w:type="pct"/>
            <w:vAlign w:val="center"/>
          </w:tcPr>
          <w:p w:rsidR="00D14213" w:rsidRPr="00683818" w:rsidRDefault="00D14213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683818">
              <w:rPr>
                <w:rFonts w:ascii="Times New Roman" w:eastAsia="Times New Roman" w:hAnsi="Times New Roman" w:cs="Times New Roman"/>
                <w:sz w:val="16"/>
                <w:szCs w:val="16"/>
              </w:rPr>
              <w:t>061</w:t>
            </w:r>
          </w:p>
        </w:tc>
      </w:tr>
      <w:tr w:rsidR="00D14213" w:rsidRPr="00683818" w:rsidTr="00D14213">
        <w:trPr>
          <w:trHeight w:val="540"/>
        </w:trPr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D14213" w:rsidRPr="00C545D6" w:rsidRDefault="00D14213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Toplumsal işlevsellik</w:t>
            </w:r>
          </w:p>
        </w:tc>
        <w:tc>
          <w:tcPr>
            <w:tcW w:w="1638" w:type="pct"/>
            <w:vAlign w:val="center"/>
          </w:tcPr>
          <w:p w:rsidR="00D14213" w:rsidRPr="00683818" w:rsidRDefault="00D14213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27927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27927">
              <w:rPr>
                <w:rFonts w:ascii="Times New Roman" w:eastAsia="Times New Roman" w:hAnsi="Times New Roman" w:cs="Times New Roman"/>
                <w:sz w:val="16"/>
                <w:szCs w:val="16"/>
              </w:rPr>
              <w:t>= -1.339</w:t>
            </w:r>
          </w:p>
        </w:tc>
        <w:tc>
          <w:tcPr>
            <w:tcW w:w="1601" w:type="pct"/>
            <w:vAlign w:val="center"/>
          </w:tcPr>
          <w:p w:rsidR="00D14213" w:rsidRPr="00683818" w:rsidRDefault="00D14213" w:rsidP="00D1421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14213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D14213">
              <w:rPr>
                <w:rFonts w:ascii="Times New Roman" w:eastAsia="Times New Roman" w:hAnsi="Times New Roman" w:cs="Times New Roman"/>
                <w:sz w:val="16"/>
                <w:szCs w:val="16"/>
              </w:rPr>
              <w:t>= -3.526</w:t>
            </w:r>
          </w:p>
        </w:tc>
        <w:tc>
          <w:tcPr>
            <w:tcW w:w="480" w:type="pct"/>
            <w:vAlign w:val="center"/>
          </w:tcPr>
          <w:p w:rsidR="00D14213" w:rsidRPr="00683818" w:rsidRDefault="00D14213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Pr="00683818">
              <w:rPr>
                <w:rFonts w:ascii="Times New Roman" w:eastAsia="Times New Roman" w:hAnsi="Times New Roman" w:cs="Times New Roman"/>
                <w:sz w:val="16"/>
                <w:szCs w:val="16"/>
              </w:rPr>
              <w:t>057</w:t>
            </w:r>
          </w:p>
        </w:tc>
      </w:tr>
      <w:tr w:rsidR="005D2BFC" w:rsidRPr="00683818" w:rsidTr="005D2BFC">
        <w:trPr>
          <w:trHeight w:val="300"/>
        </w:trPr>
        <w:tc>
          <w:tcPr>
            <w:tcW w:w="1281" w:type="pct"/>
            <w:shd w:val="clear" w:color="auto" w:fill="auto"/>
            <w:noWrap/>
            <w:vAlign w:val="center"/>
          </w:tcPr>
          <w:p w:rsidR="005D2BFC" w:rsidRPr="00C545D6" w:rsidRDefault="005D2BFC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Günlük işlevsellik</w:t>
            </w:r>
          </w:p>
        </w:tc>
        <w:tc>
          <w:tcPr>
            <w:tcW w:w="1638" w:type="pct"/>
            <w:vAlign w:val="center"/>
          </w:tcPr>
          <w:p w:rsidR="005D2BFC" w:rsidRPr="00683818" w:rsidRDefault="005D2BFC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D3511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0D3511">
              <w:rPr>
                <w:rFonts w:ascii="Times New Roman" w:eastAsia="Times New Roman" w:hAnsi="Times New Roman" w:cs="Times New Roman"/>
                <w:sz w:val="16"/>
                <w:szCs w:val="16"/>
              </w:rPr>
              <w:t>= -2.724</w:t>
            </w:r>
          </w:p>
        </w:tc>
        <w:tc>
          <w:tcPr>
            <w:tcW w:w="1601" w:type="pct"/>
            <w:vAlign w:val="center"/>
          </w:tcPr>
          <w:p w:rsidR="005D2BFC" w:rsidRPr="00683818" w:rsidRDefault="005D2BFC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D2BFC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5D2BFC">
              <w:rPr>
                <w:rFonts w:ascii="Times New Roman" w:eastAsia="Times New Roman" w:hAnsi="Times New Roman" w:cs="Times New Roman"/>
                <w:sz w:val="16"/>
                <w:szCs w:val="16"/>
              </w:rPr>
              <w:t>= -2.870</w:t>
            </w:r>
          </w:p>
        </w:tc>
        <w:tc>
          <w:tcPr>
            <w:tcW w:w="480" w:type="pct"/>
            <w:vAlign w:val="center"/>
          </w:tcPr>
          <w:p w:rsidR="005D2BFC" w:rsidRPr="00683818" w:rsidRDefault="004348EE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="005D2BFC" w:rsidRPr="00683818">
              <w:rPr>
                <w:rFonts w:ascii="Times New Roman" w:eastAsia="Times New Roman" w:hAnsi="Times New Roman" w:cs="Times New Roman"/>
                <w:sz w:val="16"/>
                <w:szCs w:val="16"/>
              </w:rPr>
              <w:t>522</w:t>
            </w:r>
          </w:p>
        </w:tc>
      </w:tr>
      <w:tr w:rsidR="005D2BFC" w:rsidRPr="00683818" w:rsidTr="005D2BFC">
        <w:trPr>
          <w:trHeight w:val="300"/>
        </w:trPr>
        <w:tc>
          <w:tcPr>
            <w:tcW w:w="1281" w:type="pct"/>
            <w:shd w:val="clear" w:color="auto" w:fill="auto"/>
            <w:noWrap/>
            <w:vAlign w:val="center"/>
            <w:hideMark/>
          </w:tcPr>
          <w:p w:rsidR="005D2BFC" w:rsidRPr="00C545D6" w:rsidRDefault="005D2BFC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İnsiyatif</w:t>
            </w:r>
            <w:proofErr w:type="spellEnd"/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alma</w:t>
            </w:r>
          </w:p>
        </w:tc>
        <w:tc>
          <w:tcPr>
            <w:tcW w:w="1638" w:type="pct"/>
            <w:vAlign w:val="center"/>
          </w:tcPr>
          <w:p w:rsidR="005D2BFC" w:rsidRPr="00683818" w:rsidRDefault="005D2BFC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E5F57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E5F57">
              <w:rPr>
                <w:rFonts w:ascii="Times New Roman" w:eastAsia="Times New Roman" w:hAnsi="Times New Roman" w:cs="Times New Roman"/>
                <w:sz w:val="16"/>
                <w:szCs w:val="16"/>
              </w:rPr>
              <w:t>= -2.816</w:t>
            </w:r>
          </w:p>
        </w:tc>
        <w:tc>
          <w:tcPr>
            <w:tcW w:w="1601" w:type="pct"/>
            <w:vAlign w:val="center"/>
          </w:tcPr>
          <w:p w:rsidR="005D2BFC" w:rsidRPr="00683818" w:rsidRDefault="004348EE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348EE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4348EE">
              <w:rPr>
                <w:rFonts w:ascii="Times New Roman" w:eastAsia="Times New Roman" w:hAnsi="Times New Roman" w:cs="Times New Roman"/>
                <w:sz w:val="16"/>
                <w:szCs w:val="16"/>
              </w:rPr>
              <w:t>= -2.352</w:t>
            </w:r>
          </w:p>
        </w:tc>
        <w:tc>
          <w:tcPr>
            <w:tcW w:w="480" w:type="pct"/>
            <w:vAlign w:val="center"/>
          </w:tcPr>
          <w:p w:rsidR="005D2BFC" w:rsidRPr="00683818" w:rsidRDefault="004348EE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="005D2BFC" w:rsidRPr="00683818"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</w:tr>
      <w:tr w:rsidR="005D2BFC" w:rsidRPr="00683818" w:rsidTr="005D2BFC">
        <w:trPr>
          <w:trHeight w:val="300"/>
        </w:trPr>
        <w:tc>
          <w:tcPr>
            <w:tcW w:w="1281" w:type="pct"/>
            <w:shd w:val="clear" w:color="auto" w:fill="auto"/>
            <w:noWrap/>
            <w:vAlign w:val="center"/>
          </w:tcPr>
          <w:p w:rsidR="005D2BFC" w:rsidRPr="00C545D6" w:rsidRDefault="005D2BFC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45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Mesleki işlevsellik</w:t>
            </w:r>
          </w:p>
        </w:tc>
        <w:tc>
          <w:tcPr>
            <w:tcW w:w="1638" w:type="pct"/>
            <w:vAlign w:val="center"/>
          </w:tcPr>
          <w:p w:rsidR="005D2BFC" w:rsidRPr="00683818" w:rsidRDefault="005D2BFC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E5F57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E5F57">
              <w:rPr>
                <w:rFonts w:ascii="Times New Roman" w:eastAsia="Times New Roman" w:hAnsi="Times New Roman" w:cs="Times New Roman"/>
                <w:sz w:val="16"/>
                <w:szCs w:val="16"/>
              </w:rPr>
              <w:t>= -4.394</w:t>
            </w:r>
          </w:p>
        </w:tc>
        <w:tc>
          <w:tcPr>
            <w:tcW w:w="1601" w:type="pct"/>
            <w:vAlign w:val="center"/>
          </w:tcPr>
          <w:p w:rsidR="005D2BFC" w:rsidRPr="00683818" w:rsidRDefault="004348EE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348EE"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4348EE">
              <w:rPr>
                <w:rFonts w:ascii="Times New Roman" w:eastAsia="Times New Roman" w:hAnsi="Times New Roman" w:cs="Times New Roman"/>
                <w:sz w:val="16"/>
                <w:szCs w:val="16"/>
              </w:rPr>
              <w:t>= -3.056</w:t>
            </w:r>
          </w:p>
        </w:tc>
        <w:tc>
          <w:tcPr>
            <w:tcW w:w="480" w:type="pct"/>
            <w:vAlign w:val="center"/>
          </w:tcPr>
          <w:p w:rsidR="005D2BFC" w:rsidRPr="00B53171" w:rsidRDefault="004348EE" w:rsidP="00B522B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0.</w:t>
            </w:r>
            <w:r w:rsidR="005D2BFC" w:rsidRPr="00B531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002</w:t>
            </w:r>
          </w:p>
        </w:tc>
      </w:tr>
      <w:tr w:rsidR="00C05B47" w:rsidRPr="00683818" w:rsidTr="002E5F57">
        <w:trPr>
          <w:trHeight w:val="1211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C05B47" w:rsidRPr="00683818" w:rsidRDefault="00C05B47" w:rsidP="00BD0F0E">
            <w:pPr>
              <w:spacing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Sayı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yüzde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). #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Ortalama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±S.D</w:t>
            </w:r>
            <w:proofErr w:type="spellEnd"/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 </w:t>
            </w:r>
            <w:proofErr w:type="spellStart"/>
            <w:r w:rsidRPr="00ED3F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Wilcoxon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test, </w:t>
            </w:r>
            <w:r w:rsidR="00F129E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z: Değişim skoru, </w:t>
            </w:r>
            <w:r w:rsidRPr="00D234E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 &lt; 0.05* </w:t>
            </w:r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Hamilton Depresyon Derecelendirme Ölçeği (HAM-D), </w:t>
            </w:r>
            <w:proofErr w:type="spellStart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Young</w:t>
            </w:r>
            <w:proofErr w:type="spellEnd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Mani Derecelendirme Ölçeği (YMRS), </w:t>
            </w:r>
            <w:r w:rsidR="00BD0F0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</w:t>
            </w:r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şlevselliğin Genel Değerlendirilmesi Ölçeği (IGD), </w:t>
            </w:r>
            <w:proofErr w:type="spellStart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İçgörünün</w:t>
            </w:r>
            <w:proofErr w:type="spellEnd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Üç Bileşenini Değerlendirme Ölçeği (İÜBDÖ)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</w:t>
            </w:r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Morisky</w:t>
            </w:r>
            <w:proofErr w:type="spellEnd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Tedaviye Uyum Ölçeği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Bipolar</w:t>
            </w:r>
            <w:proofErr w:type="spellEnd"/>
            <w:r w:rsidRPr="00E8529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Bozuklukta İşlevsellik Ölçeği (BBİ)</w:t>
            </w:r>
          </w:p>
        </w:tc>
      </w:tr>
    </w:tbl>
    <w:p w:rsidR="00961280" w:rsidRDefault="00961280" w:rsidP="004348E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GoBack"/>
      <w:bookmarkEnd w:id="31"/>
    </w:p>
    <w:sectPr w:rsidR="00961280" w:rsidSect="001A7C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6E" w:rsidRDefault="00331A6E" w:rsidP="00AD16D6">
      <w:pPr>
        <w:spacing w:after="0" w:line="240" w:lineRule="auto"/>
      </w:pPr>
      <w:r>
        <w:separator/>
      </w:r>
    </w:p>
  </w:endnote>
  <w:endnote w:type="continuationSeparator" w:id="0">
    <w:p w:rsidR="00331A6E" w:rsidRDefault="00331A6E" w:rsidP="00AD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6E" w:rsidRDefault="00331A6E" w:rsidP="00AD16D6">
      <w:pPr>
        <w:spacing w:after="0" w:line="240" w:lineRule="auto"/>
      </w:pPr>
      <w:r>
        <w:separator/>
      </w:r>
    </w:p>
  </w:footnote>
  <w:footnote w:type="continuationSeparator" w:id="0">
    <w:p w:rsidR="00331A6E" w:rsidRDefault="00331A6E" w:rsidP="00AD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D94"/>
    <w:multiLevelType w:val="multilevel"/>
    <w:tmpl w:val="EE2ED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C83EDD"/>
    <w:multiLevelType w:val="hybridMultilevel"/>
    <w:tmpl w:val="C4F47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04E"/>
    <w:multiLevelType w:val="multilevel"/>
    <w:tmpl w:val="663A5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E42C7A"/>
    <w:multiLevelType w:val="multilevel"/>
    <w:tmpl w:val="00483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0B5F77"/>
    <w:multiLevelType w:val="hybridMultilevel"/>
    <w:tmpl w:val="42F404C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07977"/>
    <w:multiLevelType w:val="multilevel"/>
    <w:tmpl w:val="465EFE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355CDF"/>
    <w:multiLevelType w:val="hybridMultilevel"/>
    <w:tmpl w:val="5F3265B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E53830"/>
    <w:multiLevelType w:val="hybridMultilevel"/>
    <w:tmpl w:val="614ABB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B73C5"/>
    <w:multiLevelType w:val="hybridMultilevel"/>
    <w:tmpl w:val="3F26E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B329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D901FE"/>
    <w:multiLevelType w:val="multilevel"/>
    <w:tmpl w:val="150E0AA0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1">
    <w:nsid w:val="76631888"/>
    <w:multiLevelType w:val="hybridMultilevel"/>
    <w:tmpl w:val="A4E44D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D1"/>
    <w:rsid w:val="0000289A"/>
    <w:rsid w:val="0000424E"/>
    <w:rsid w:val="00006931"/>
    <w:rsid w:val="00006CCB"/>
    <w:rsid w:val="000077B3"/>
    <w:rsid w:val="00011183"/>
    <w:rsid w:val="00012115"/>
    <w:rsid w:val="00016871"/>
    <w:rsid w:val="00020EE0"/>
    <w:rsid w:val="00024429"/>
    <w:rsid w:val="00025C01"/>
    <w:rsid w:val="00027A58"/>
    <w:rsid w:val="00031386"/>
    <w:rsid w:val="00032425"/>
    <w:rsid w:val="00034225"/>
    <w:rsid w:val="00047552"/>
    <w:rsid w:val="000509F4"/>
    <w:rsid w:val="000547B9"/>
    <w:rsid w:val="000627A4"/>
    <w:rsid w:val="00065281"/>
    <w:rsid w:val="00072173"/>
    <w:rsid w:val="000766DF"/>
    <w:rsid w:val="00082AE0"/>
    <w:rsid w:val="00084DCD"/>
    <w:rsid w:val="00091C76"/>
    <w:rsid w:val="000936E7"/>
    <w:rsid w:val="00095A26"/>
    <w:rsid w:val="000A11D6"/>
    <w:rsid w:val="000A19C9"/>
    <w:rsid w:val="000A1D07"/>
    <w:rsid w:val="000B7C2F"/>
    <w:rsid w:val="000C0782"/>
    <w:rsid w:val="000C1B02"/>
    <w:rsid w:val="000D1D58"/>
    <w:rsid w:val="000D32A1"/>
    <w:rsid w:val="000D3511"/>
    <w:rsid w:val="000D65DB"/>
    <w:rsid w:val="000D7090"/>
    <w:rsid w:val="000D7A6A"/>
    <w:rsid w:val="000E07DF"/>
    <w:rsid w:val="000E14C1"/>
    <w:rsid w:val="000E25E2"/>
    <w:rsid w:val="000E5352"/>
    <w:rsid w:val="000E60F7"/>
    <w:rsid w:val="000F674B"/>
    <w:rsid w:val="000F77AD"/>
    <w:rsid w:val="001012EC"/>
    <w:rsid w:val="00105CA0"/>
    <w:rsid w:val="0011120A"/>
    <w:rsid w:val="00126970"/>
    <w:rsid w:val="0014474E"/>
    <w:rsid w:val="001459FC"/>
    <w:rsid w:val="00147BA2"/>
    <w:rsid w:val="00152531"/>
    <w:rsid w:val="001552A7"/>
    <w:rsid w:val="00155CC6"/>
    <w:rsid w:val="0017023C"/>
    <w:rsid w:val="0017087F"/>
    <w:rsid w:val="00171808"/>
    <w:rsid w:val="001741C3"/>
    <w:rsid w:val="00174B0B"/>
    <w:rsid w:val="00175E07"/>
    <w:rsid w:val="00184F49"/>
    <w:rsid w:val="0019220E"/>
    <w:rsid w:val="001947B7"/>
    <w:rsid w:val="001A318F"/>
    <w:rsid w:val="001A6A61"/>
    <w:rsid w:val="001A7C3E"/>
    <w:rsid w:val="001B0E2A"/>
    <w:rsid w:val="001C6DF6"/>
    <w:rsid w:val="001C736B"/>
    <w:rsid w:val="001D1676"/>
    <w:rsid w:val="001D2221"/>
    <w:rsid w:val="001D774D"/>
    <w:rsid w:val="001E328D"/>
    <w:rsid w:val="001E7529"/>
    <w:rsid w:val="001F1FA0"/>
    <w:rsid w:val="001F230D"/>
    <w:rsid w:val="001F6019"/>
    <w:rsid w:val="001F6E2C"/>
    <w:rsid w:val="0020789A"/>
    <w:rsid w:val="00212AD7"/>
    <w:rsid w:val="00214455"/>
    <w:rsid w:val="00227912"/>
    <w:rsid w:val="00227927"/>
    <w:rsid w:val="00236471"/>
    <w:rsid w:val="00240B6C"/>
    <w:rsid w:val="00240DFC"/>
    <w:rsid w:val="00252683"/>
    <w:rsid w:val="0025448F"/>
    <w:rsid w:val="00260673"/>
    <w:rsid w:val="00262CBD"/>
    <w:rsid w:val="00266FFA"/>
    <w:rsid w:val="00272256"/>
    <w:rsid w:val="002728B8"/>
    <w:rsid w:val="002738C7"/>
    <w:rsid w:val="00277E47"/>
    <w:rsid w:val="00280129"/>
    <w:rsid w:val="00284B88"/>
    <w:rsid w:val="002873B2"/>
    <w:rsid w:val="0028772F"/>
    <w:rsid w:val="00294F50"/>
    <w:rsid w:val="002A2C13"/>
    <w:rsid w:val="002A331E"/>
    <w:rsid w:val="002A4061"/>
    <w:rsid w:val="002B279A"/>
    <w:rsid w:val="002C0C5F"/>
    <w:rsid w:val="002C2EF6"/>
    <w:rsid w:val="002C3E0F"/>
    <w:rsid w:val="002C4519"/>
    <w:rsid w:val="002C5399"/>
    <w:rsid w:val="002C542A"/>
    <w:rsid w:val="002C5442"/>
    <w:rsid w:val="002C5942"/>
    <w:rsid w:val="002C5E79"/>
    <w:rsid w:val="002D080A"/>
    <w:rsid w:val="002D61F5"/>
    <w:rsid w:val="002D6619"/>
    <w:rsid w:val="002E00C2"/>
    <w:rsid w:val="002E1A17"/>
    <w:rsid w:val="002E1E08"/>
    <w:rsid w:val="002E289D"/>
    <w:rsid w:val="002E5F57"/>
    <w:rsid w:val="002F0D04"/>
    <w:rsid w:val="002F14C9"/>
    <w:rsid w:val="002F222D"/>
    <w:rsid w:val="002F71D2"/>
    <w:rsid w:val="003020A3"/>
    <w:rsid w:val="00302F72"/>
    <w:rsid w:val="0031647B"/>
    <w:rsid w:val="003170EC"/>
    <w:rsid w:val="003208F7"/>
    <w:rsid w:val="00321887"/>
    <w:rsid w:val="00324EBD"/>
    <w:rsid w:val="003263CB"/>
    <w:rsid w:val="00331A6E"/>
    <w:rsid w:val="00332EB6"/>
    <w:rsid w:val="0034444E"/>
    <w:rsid w:val="003512DC"/>
    <w:rsid w:val="00363E53"/>
    <w:rsid w:val="00365695"/>
    <w:rsid w:val="00365FE8"/>
    <w:rsid w:val="00366574"/>
    <w:rsid w:val="003814FD"/>
    <w:rsid w:val="00390C60"/>
    <w:rsid w:val="00393D13"/>
    <w:rsid w:val="003974BA"/>
    <w:rsid w:val="003B7A78"/>
    <w:rsid w:val="003C10A4"/>
    <w:rsid w:val="003C7C0F"/>
    <w:rsid w:val="003E503C"/>
    <w:rsid w:val="003F2DCC"/>
    <w:rsid w:val="003F6AED"/>
    <w:rsid w:val="003F7CC5"/>
    <w:rsid w:val="00401003"/>
    <w:rsid w:val="004013C2"/>
    <w:rsid w:val="00406293"/>
    <w:rsid w:val="004272A6"/>
    <w:rsid w:val="00427BD2"/>
    <w:rsid w:val="004305DE"/>
    <w:rsid w:val="00431994"/>
    <w:rsid w:val="00431BD4"/>
    <w:rsid w:val="004348EE"/>
    <w:rsid w:val="00436837"/>
    <w:rsid w:val="00436EE5"/>
    <w:rsid w:val="00437C48"/>
    <w:rsid w:val="0044017D"/>
    <w:rsid w:val="004402DF"/>
    <w:rsid w:val="00442A5C"/>
    <w:rsid w:val="00451226"/>
    <w:rsid w:val="00451BF7"/>
    <w:rsid w:val="004532D2"/>
    <w:rsid w:val="004629CD"/>
    <w:rsid w:val="004637AC"/>
    <w:rsid w:val="0047617C"/>
    <w:rsid w:val="00476459"/>
    <w:rsid w:val="00482294"/>
    <w:rsid w:val="0048599A"/>
    <w:rsid w:val="004859D4"/>
    <w:rsid w:val="004874A7"/>
    <w:rsid w:val="00493FC9"/>
    <w:rsid w:val="004A25C8"/>
    <w:rsid w:val="004C034A"/>
    <w:rsid w:val="004D111A"/>
    <w:rsid w:val="004E3AE6"/>
    <w:rsid w:val="004F064F"/>
    <w:rsid w:val="00500125"/>
    <w:rsid w:val="00512C5C"/>
    <w:rsid w:val="005149B6"/>
    <w:rsid w:val="00514D4D"/>
    <w:rsid w:val="005175BD"/>
    <w:rsid w:val="00524497"/>
    <w:rsid w:val="00526CDA"/>
    <w:rsid w:val="00527D8B"/>
    <w:rsid w:val="005322F7"/>
    <w:rsid w:val="00534229"/>
    <w:rsid w:val="00536E5D"/>
    <w:rsid w:val="00537F75"/>
    <w:rsid w:val="00544F9F"/>
    <w:rsid w:val="0054515A"/>
    <w:rsid w:val="00554D88"/>
    <w:rsid w:val="005550DA"/>
    <w:rsid w:val="00555D7C"/>
    <w:rsid w:val="005631B5"/>
    <w:rsid w:val="005803DA"/>
    <w:rsid w:val="00583BB3"/>
    <w:rsid w:val="00583E3D"/>
    <w:rsid w:val="0058711D"/>
    <w:rsid w:val="00593198"/>
    <w:rsid w:val="005932DD"/>
    <w:rsid w:val="00597638"/>
    <w:rsid w:val="005A043F"/>
    <w:rsid w:val="005A1A43"/>
    <w:rsid w:val="005B233D"/>
    <w:rsid w:val="005B26C4"/>
    <w:rsid w:val="005B7510"/>
    <w:rsid w:val="005B7A92"/>
    <w:rsid w:val="005C0282"/>
    <w:rsid w:val="005C348F"/>
    <w:rsid w:val="005C42A7"/>
    <w:rsid w:val="005D01BB"/>
    <w:rsid w:val="005D1331"/>
    <w:rsid w:val="005D2BA5"/>
    <w:rsid w:val="005D2BFC"/>
    <w:rsid w:val="005D7278"/>
    <w:rsid w:val="005E056E"/>
    <w:rsid w:val="005E0E58"/>
    <w:rsid w:val="005E106A"/>
    <w:rsid w:val="005E31D6"/>
    <w:rsid w:val="005F192A"/>
    <w:rsid w:val="006054D7"/>
    <w:rsid w:val="00610246"/>
    <w:rsid w:val="00617311"/>
    <w:rsid w:val="00617841"/>
    <w:rsid w:val="00625D9F"/>
    <w:rsid w:val="0063154E"/>
    <w:rsid w:val="006321C0"/>
    <w:rsid w:val="006327CC"/>
    <w:rsid w:val="0063574B"/>
    <w:rsid w:val="00641B33"/>
    <w:rsid w:val="00643CC4"/>
    <w:rsid w:val="006441AE"/>
    <w:rsid w:val="006472F9"/>
    <w:rsid w:val="006515C8"/>
    <w:rsid w:val="0065190E"/>
    <w:rsid w:val="00654E9A"/>
    <w:rsid w:val="0066152C"/>
    <w:rsid w:val="00662769"/>
    <w:rsid w:val="00662E1E"/>
    <w:rsid w:val="006641E5"/>
    <w:rsid w:val="00664581"/>
    <w:rsid w:val="006674BD"/>
    <w:rsid w:val="00676FAE"/>
    <w:rsid w:val="00682266"/>
    <w:rsid w:val="00682334"/>
    <w:rsid w:val="00683818"/>
    <w:rsid w:val="006839E5"/>
    <w:rsid w:val="00694A99"/>
    <w:rsid w:val="00696BB9"/>
    <w:rsid w:val="006A12A9"/>
    <w:rsid w:val="006A25D3"/>
    <w:rsid w:val="006A2625"/>
    <w:rsid w:val="006A3ABA"/>
    <w:rsid w:val="006B26EE"/>
    <w:rsid w:val="006B32C9"/>
    <w:rsid w:val="006B5801"/>
    <w:rsid w:val="006B70BC"/>
    <w:rsid w:val="006C297A"/>
    <w:rsid w:val="006D00ED"/>
    <w:rsid w:val="006D348F"/>
    <w:rsid w:val="006D51C6"/>
    <w:rsid w:val="006D7B37"/>
    <w:rsid w:val="006E1331"/>
    <w:rsid w:val="006E2B46"/>
    <w:rsid w:val="006E7E7D"/>
    <w:rsid w:val="006F3634"/>
    <w:rsid w:val="006F5211"/>
    <w:rsid w:val="006F5A90"/>
    <w:rsid w:val="0070353C"/>
    <w:rsid w:val="00703FC9"/>
    <w:rsid w:val="007076CA"/>
    <w:rsid w:val="00713715"/>
    <w:rsid w:val="0071397B"/>
    <w:rsid w:val="007177C5"/>
    <w:rsid w:val="00721D3B"/>
    <w:rsid w:val="00722EE7"/>
    <w:rsid w:val="00724A1E"/>
    <w:rsid w:val="00732939"/>
    <w:rsid w:val="00732E89"/>
    <w:rsid w:val="00740729"/>
    <w:rsid w:val="00741958"/>
    <w:rsid w:val="00744F87"/>
    <w:rsid w:val="007450F4"/>
    <w:rsid w:val="007477EE"/>
    <w:rsid w:val="007518D4"/>
    <w:rsid w:val="007518E2"/>
    <w:rsid w:val="007543E8"/>
    <w:rsid w:val="0075659C"/>
    <w:rsid w:val="007578F7"/>
    <w:rsid w:val="00765429"/>
    <w:rsid w:val="00765871"/>
    <w:rsid w:val="00765B61"/>
    <w:rsid w:val="00770724"/>
    <w:rsid w:val="007718A8"/>
    <w:rsid w:val="00771C54"/>
    <w:rsid w:val="0077373C"/>
    <w:rsid w:val="00776F45"/>
    <w:rsid w:val="007818C7"/>
    <w:rsid w:val="00790060"/>
    <w:rsid w:val="00791D6E"/>
    <w:rsid w:val="00794B39"/>
    <w:rsid w:val="007A49F8"/>
    <w:rsid w:val="007B0ECE"/>
    <w:rsid w:val="007B12AC"/>
    <w:rsid w:val="007B1E56"/>
    <w:rsid w:val="007B21C1"/>
    <w:rsid w:val="007B285E"/>
    <w:rsid w:val="007C27D6"/>
    <w:rsid w:val="007C2E12"/>
    <w:rsid w:val="007C405E"/>
    <w:rsid w:val="007D360D"/>
    <w:rsid w:val="007D5193"/>
    <w:rsid w:val="007D5D66"/>
    <w:rsid w:val="007D5DB4"/>
    <w:rsid w:val="007E647E"/>
    <w:rsid w:val="007E683E"/>
    <w:rsid w:val="007E6B9F"/>
    <w:rsid w:val="007F2AFF"/>
    <w:rsid w:val="008045C7"/>
    <w:rsid w:val="00804B6E"/>
    <w:rsid w:val="008107EC"/>
    <w:rsid w:val="00810DD4"/>
    <w:rsid w:val="0081410C"/>
    <w:rsid w:val="00814743"/>
    <w:rsid w:val="00814D54"/>
    <w:rsid w:val="00816FAA"/>
    <w:rsid w:val="008216D8"/>
    <w:rsid w:val="00822CC5"/>
    <w:rsid w:val="00824CA2"/>
    <w:rsid w:val="00830259"/>
    <w:rsid w:val="008423F6"/>
    <w:rsid w:val="00847321"/>
    <w:rsid w:val="00854EAF"/>
    <w:rsid w:val="00855E90"/>
    <w:rsid w:val="008601EA"/>
    <w:rsid w:val="0087111D"/>
    <w:rsid w:val="008803F0"/>
    <w:rsid w:val="00884C35"/>
    <w:rsid w:val="0089311F"/>
    <w:rsid w:val="008950A6"/>
    <w:rsid w:val="00897987"/>
    <w:rsid w:val="008A519C"/>
    <w:rsid w:val="008A5369"/>
    <w:rsid w:val="008B04D4"/>
    <w:rsid w:val="008B447A"/>
    <w:rsid w:val="008B7117"/>
    <w:rsid w:val="008C105B"/>
    <w:rsid w:val="008C1071"/>
    <w:rsid w:val="008C1636"/>
    <w:rsid w:val="008C1C0E"/>
    <w:rsid w:val="008C5DF3"/>
    <w:rsid w:val="008D63F1"/>
    <w:rsid w:val="008E1541"/>
    <w:rsid w:val="008E75B6"/>
    <w:rsid w:val="008F64AD"/>
    <w:rsid w:val="008F7C67"/>
    <w:rsid w:val="00900E7E"/>
    <w:rsid w:val="00906B98"/>
    <w:rsid w:val="00913286"/>
    <w:rsid w:val="0091366F"/>
    <w:rsid w:val="00917816"/>
    <w:rsid w:val="00920373"/>
    <w:rsid w:val="00921583"/>
    <w:rsid w:val="009237A9"/>
    <w:rsid w:val="00924A57"/>
    <w:rsid w:val="00932E85"/>
    <w:rsid w:val="00935591"/>
    <w:rsid w:val="00937753"/>
    <w:rsid w:val="00950DCB"/>
    <w:rsid w:val="00961007"/>
    <w:rsid w:val="00961280"/>
    <w:rsid w:val="00966766"/>
    <w:rsid w:val="00971B83"/>
    <w:rsid w:val="009748E0"/>
    <w:rsid w:val="009751C2"/>
    <w:rsid w:val="00981D26"/>
    <w:rsid w:val="00983E6D"/>
    <w:rsid w:val="00984627"/>
    <w:rsid w:val="00991367"/>
    <w:rsid w:val="009935EF"/>
    <w:rsid w:val="00995A3B"/>
    <w:rsid w:val="009A11B9"/>
    <w:rsid w:val="009A3450"/>
    <w:rsid w:val="009A62E5"/>
    <w:rsid w:val="009B14BA"/>
    <w:rsid w:val="009B4EC2"/>
    <w:rsid w:val="009B7EA8"/>
    <w:rsid w:val="009C2346"/>
    <w:rsid w:val="009C271E"/>
    <w:rsid w:val="009C4C8D"/>
    <w:rsid w:val="009C4F3F"/>
    <w:rsid w:val="009C631D"/>
    <w:rsid w:val="009D3DA6"/>
    <w:rsid w:val="009D3FBA"/>
    <w:rsid w:val="009D443D"/>
    <w:rsid w:val="009D542C"/>
    <w:rsid w:val="009E459E"/>
    <w:rsid w:val="009E51D1"/>
    <w:rsid w:val="009E5316"/>
    <w:rsid w:val="009E6218"/>
    <w:rsid w:val="009F3591"/>
    <w:rsid w:val="009F39B2"/>
    <w:rsid w:val="00A011F2"/>
    <w:rsid w:val="00A04DFA"/>
    <w:rsid w:val="00A063D3"/>
    <w:rsid w:val="00A14E9D"/>
    <w:rsid w:val="00A1663F"/>
    <w:rsid w:val="00A1702A"/>
    <w:rsid w:val="00A17F6E"/>
    <w:rsid w:val="00A22135"/>
    <w:rsid w:val="00A242E8"/>
    <w:rsid w:val="00A246F3"/>
    <w:rsid w:val="00A25034"/>
    <w:rsid w:val="00A30DE1"/>
    <w:rsid w:val="00A33553"/>
    <w:rsid w:val="00A36859"/>
    <w:rsid w:val="00A406D1"/>
    <w:rsid w:val="00A42AA5"/>
    <w:rsid w:val="00A444D3"/>
    <w:rsid w:val="00A4479A"/>
    <w:rsid w:val="00A502F0"/>
    <w:rsid w:val="00A51E48"/>
    <w:rsid w:val="00A54D77"/>
    <w:rsid w:val="00A565A5"/>
    <w:rsid w:val="00A60019"/>
    <w:rsid w:val="00A64A6E"/>
    <w:rsid w:val="00A7145D"/>
    <w:rsid w:val="00A81541"/>
    <w:rsid w:val="00A86F83"/>
    <w:rsid w:val="00A91266"/>
    <w:rsid w:val="00A9440F"/>
    <w:rsid w:val="00A94965"/>
    <w:rsid w:val="00A9599E"/>
    <w:rsid w:val="00A97671"/>
    <w:rsid w:val="00A97E71"/>
    <w:rsid w:val="00AA19DE"/>
    <w:rsid w:val="00AA2983"/>
    <w:rsid w:val="00AA31D2"/>
    <w:rsid w:val="00AA339D"/>
    <w:rsid w:val="00AA61F6"/>
    <w:rsid w:val="00AB0E4D"/>
    <w:rsid w:val="00AC39CF"/>
    <w:rsid w:val="00AC64E6"/>
    <w:rsid w:val="00AC6898"/>
    <w:rsid w:val="00AC69D9"/>
    <w:rsid w:val="00AD0657"/>
    <w:rsid w:val="00AD16D6"/>
    <w:rsid w:val="00AD577D"/>
    <w:rsid w:val="00AD5E31"/>
    <w:rsid w:val="00AE126F"/>
    <w:rsid w:val="00AE2F2F"/>
    <w:rsid w:val="00AE3ADC"/>
    <w:rsid w:val="00AF4C4A"/>
    <w:rsid w:val="00AF50B1"/>
    <w:rsid w:val="00AF7B58"/>
    <w:rsid w:val="00B03210"/>
    <w:rsid w:val="00B03726"/>
    <w:rsid w:val="00B07D01"/>
    <w:rsid w:val="00B14BAF"/>
    <w:rsid w:val="00B25673"/>
    <w:rsid w:val="00B3005F"/>
    <w:rsid w:val="00B367F9"/>
    <w:rsid w:val="00B445E6"/>
    <w:rsid w:val="00B522B1"/>
    <w:rsid w:val="00B52D5B"/>
    <w:rsid w:val="00B5359B"/>
    <w:rsid w:val="00B535D1"/>
    <w:rsid w:val="00B70562"/>
    <w:rsid w:val="00B7605E"/>
    <w:rsid w:val="00B82732"/>
    <w:rsid w:val="00B85723"/>
    <w:rsid w:val="00B85CE5"/>
    <w:rsid w:val="00B94205"/>
    <w:rsid w:val="00B97D00"/>
    <w:rsid w:val="00BA237D"/>
    <w:rsid w:val="00BA2E30"/>
    <w:rsid w:val="00BA77F0"/>
    <w:rsid w:val="00BB50A6"/>
    <w:rsid w:val="00BC3962"/>
    <w:rsid w:val="00BC694D"/>
    <w:rsid w:val="00BD0F0E"/>
    <w:rsid w:val="00BF4A7B"/>
    <w:rsid w:val="00BF5B98"/>
    <w:rsid w:val="00C035FC"/>
    <w:rsid w:val="00C055A2"/>
    <w:rsid w:val="00C05B47"/>
    <w:rsid w:val="00C06040"/>
    <w:rsid w:val="00C12551"/>
    <w:rsid w:val="00C140BC"/>
    <w:rsid w:val="00C2315E"/>
    <w:rsid w:val="00C27E15"/>
    <w:rsid w:val="00C31E73"/>
    <w:rsid w:val="00C328ED"/>
    <w:rsid w:val="00C33C47"/>
    <w:rsid w:val="00C3545F"/>
    <w:rsid w:val="00C362DE"/>
    <w:rsid w:val="00C364EE"/>
    <w:rsid w:val="00C36523"/>
    <w:rsid w:val="00C4182A"/>
    <w:rsid w:val="00C44312"/>
    <w:rsid w:val="00C545C2"/>
    <w:rsid w:val="00C547B1"/>
    <w:rsid w:val="00C65274"/>
    <w:rsid w:val="00C6688C"/>
    <w:rsid w:val="00C70AF8"/>
    <w:rsid w:val="00C72809"/>
    <w:rsid w:val="00C74663"/>
    <w:rsid w:val="00C75DE5"/>
    <w:rsid w:val="00C7611D"/>
    <w:rsid w:val="00C773E9"/>
    <w:rsid w:val="00C82094"/>
    <w:rsid w:val="00C82988"/>
    <w:rsid w:val="00C86F3B"/>
    <w:rsid w:val="00C8779E"/>
    <w:rsid w:val="00C93C38"/>
    <w:rsid w:val="00C96ABB"/>
    <w:rsid w:val="00CA0A01"/>
    <w:rsid w:val="00CA463A"/>
    <w:rsid w:val="00CA4F84"/>
    <w:rsid w:val="00CA7C3E"/>
    <w:rsid w:val="00CA7E45"/>
    <w:rsid w:val="00CB5A36"/>
    <w:rsid w:val="00CB6B85"/>
    <w:rsid w:val="00CC2148"/>
    <w:rsid w:val="00CC22B4"/>
    <w:rsid w:val="00CD099D"/>
    <w:rsid w:val="00CE0D6C"/>
    <w:rsid w:val="00CE14BB"/>
    <w:rsid w:val="00CE22B1"/>
    <w:rsid w:val="00CE639B"/>
    <w:rsid w:val="00CF1A33"/>
    <w:rsid w:val="00D028C5"/>
    <w:rsid w:val="00D03BA8"/>
    <w:rsid w:val="00D06127"/>
    <w:rsid w:val="00D06E8F"/>
    <w:rsid w:val="00D100FE"/>
    <w:rsid w:val="00D102EE"/>
    <w:rsid w:val="00D114C1"/>
    <w:rsid w:val="00D13EA6"/>
    <w:rsid w:val="00D14213"/>
    <w:rsid w:val="00D15742"/>
    <w:rsid w:val="00D21F2F"/>
    <w:rsid w:val="00D227D4"/>
    <w:rsid w:val="00D234E3"/>
    <w:rsid w:val="00D2711B"/>
    <w:rsid w:val="00D40078"/>
    <w:rsid w:val="00D44519"/>
    <w:rsid w:val="00D45170"/>
    <w:rsid w:val="00D47705"/>
    <w:rsid w:val="00D52694"/>
    <w:rsid w:val="00D52744"/>
    <w:rsid w:val="00D52879"/>
    <w:rsid w:val="00D541DE"/>
    <w:rsid w:val="00D55C95"/>
    <w:rsid w:val="00D6182E"/>
    <w:rsid w:val="00D70BE1"/>
    <w:rsid w:val="00D73ADD"/>
    <w:rsid w:val="00D7751D"/>
    <w:rsid w:val="00D77C41"/>
    <w:rsid w:val="00D8687B"/>
    <w:rsid w:val="00D87610"/>
    <w:rsid w:val="00D91EED"/>
    <w:rsid w:val="00D97CDD"/>
    <w:rsid w:val="00DA20E5"/>
    <w:rsid w:val="00DA2A75"/>
    <w:rsid w:val="00DB0375"/>
    <w:rsid w:val="00DB2259"/>
    <w:rsid w:val="00DB45D2"/>
    <w:rsid w:val="00DB6049"/>
    <w:rsid w:val="00DD15C9"/>
    <w:rsid w:val="00DD2833"/>
    <w:rsid w:val="00DD5F65"/>
    <w:rsid w:val="00DD76C0"/>
    <w:rsid w:val="00DD7815"/>
    <w:rsid w:val="00DE73B1"/>
    <w:rsid w:val="00DF04E9"/>
    <w:rsid w:val="00DF1832"/>
    <w:rsid w:val="00DF433B"/>
    <w:rsid w:val="00E00ED4"/>
    <w:rsid w:val="00E02E33"/>
    <w:rsid w:val="00E03EA1"/>
    <w:rsid w:val="00E0491A"/>
    <w:rsid w:val="00E10356"/>
    <w:rsid w:val="00E1230F"/>
    <w:rsid w:val="00E12900"/>
    <w:rsid w:val="00E14849"/>
    <w:rsid w:val="00E15E81"/>
    <w:rsid w:val="00E17409"/>
    <w:rsid w:val="00E178B4"/>
    <w:rsid w:val="00E26768"/>
    <w:rsid w:val="00E2747C"/>
    <w:rsid w:val="00E34B8C"/>
    <w:rsid w:val="00E35C3D"/>
    <w:rsid w:val="00E37E19"/>
    <w:rsid w:val="00E405D3"/>
    <w:rsid w:val="00E4159C"/>
    <w:rsid w:val="00E41C2A"/>
    <w:rsid w:val="00E53699"/>
    <w:rsid w:val="00E5583D"/>
    <w:rsid w:val="00E57943"/>
    <w:rsid w:val="00E62634"/>
    <w:rsid w:val="00E62F40"/>
    <w:rsid w:val="00E6368E"/>
    <w:rsid w:val="00E658AA"/>
    <w:rsid w:val="00E731D4"/>
    <w:rsid w:val="00E82AF0"/>
    <w:rsid w:val="00E84AD1"/>
    <w:rsid w:val="00E8529D"/>
    <w:rsid w:val="00E8683F"/>
    <w:rsid w:val="00E90C81"/>
    <w:rsid w:val="00E931FE"/>
    <w:rsid w:val="00E94B4E"/>
    <w:rsid w:val="00E94D7F"/>
    <w:rsid w:val="00E94E41"/>
    <w:rsid w:val="00E97A70"/>
    <w:rsid w:val="00EA3B5A"/>
    <w:rsid w:val="00EA50EE"/>
    <w:rsid w:val="00EA5529"/>
    <w:rsid w:val="00EA6B40"/>
    <w:rsid w:val="00EB559D"/>
    <w:rsid w:val="00EC531D"/>
    <w:rsid w:val="00ED2FE6"/>
    <w:rsid w:val="00ED3F41"/>
    <w:rsid w:val="00ED4DC5"/>
    <w:rsid w:val="00EE4F51"/>
    <w:rsid w:val="00EE5E2B"/>
    <w:rsid w:val="00EE70B9"/>
    <w:rsid w:val="00EE7504"/>
    <w:rsid w:val="00EE7F16"/>
    <w:rsid w:val="00EF27FC"/>
    <w:rsid w:val="00F012CD"/>
    <w:rsid w:val="00F02FDE"/>
    <w:rsid w:val="00F0481E"/>
    <w:rsid w:val="00F05C48"/>
    <w:rsid w:val="00F129EF"/>
    <w:rsid w:val="00F1498C"/>
    <w:rsid w:val="00F14C78"/>
    <w:rsid w:val="00F15787"/>
    <w:rsid w:val="00F17618"/>
    <w:rsid w:val="00F20749"/>
    <w:rsid w:val="00F23907"/>
    <w:rsid w:val="00F26EE0"/>
    <w:rsid w:val="00F310C4"/>
    <w:rsid w:val="00F31280"/>
    <w:rsid w:val="00F34673"/>
    <w:rsid w:val="00F403F5"/>
    <w:rsid w:val="00F40B52"/>
    <w:rsid w:val="00F52711"/>
    <w:rsid w:val="00F5313A"/>
    <w:rsid w:val="00F66D4D"/>
    <w:rsid w:val="00F73DCA"/>
    <w:rsid w:val="00F8127C"/>
    <w:rsid w:val="00F85408"/>
    <w:rsid w:val="00F8648B"/>
    <w:rsid w:val="00F9110B"/>
    <w:rsid w:val="00F92527"/>
    <w:rsid w:val="00F93A26"/>
    <w:rsid w:val="00F9633F"/>
    <w:rsid w:val="00F97F7C"/>
    <w:rsid w:val="00FA0D7A"/>
    <w:rsid w:val="00FA1128"/>
    <w:rsid w:val="00FA129B"/>
    <w:rsid w:val="00FA34DE"/>
    <w:rsid w:val="00FA67C1"/>
    <w:rsid w:val="00FB20E6"/>
    <w:rsid w:val="00FB2C7B"/>
    <w:rsid w:val="00FB3E5C"/>
    <w:rsid w:val="00FB5429"/>
    <w:rsid w:val="00FB7533"/>
    <w:rsid w:val="00FC5780"/>
    <w:rsid w:val="00FC5B58"/>
    <w:rsid w:val="00FC6694"/>
    <w:rsid w:val="00FC6B89"/>
    <w:rsid w:val="00FD0DE3"/>
    <w:rsid w:val="00FE4C2F"/>
    <w:rsid w:val="00FF5EBE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83"/>
  </w:style>
  <w:style w:type="paragraph" w:styleId="Balk1">
    <w:name w:val="heading 1"/>
    <w:basedOn w:val="Normal"/>
    <w:next w:val="Normal"/>
    <w:link w:val="Balk1Char"/>
    <w:uiPriority w:val="9"/>
    <w:qFormat/>
    <w:rsid w:val="00C140BC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140BC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1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140B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0BC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0BC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0BC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0BC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0B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AD16D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D16D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D16D6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D16D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D16D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D16D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29B"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uiPriority w:val="37"/>
    <w:unhideWhenUsed/>
    <w:rsid w:val="00C140BC"/>
  </w:style>
  <w:style w:type="character" w:customStyle="1" w:styleId="Balk1Char">
    <w:name w:val="Başlık 1 Char"/>
    <w:basedOn w:val="VarsaylanParagrafYazTipi"/>
    <w:link w:val="Balk1"/>
    <w:uiPriority w:val="9"/>
    <w:rsid w:val="00C14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14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C140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0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0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0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oKlavuzu">
    <w:name w:val="Table Grid"/>
    <w:basedOn w:val="NormalTablo"/>
    <w:uiPriority w:val="59"/>
    <w:rsid w:val="00E6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6315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simYazs">
    <w:name w:val="caption"/>
    <w:basedOn w:val="Normal"/>
    <w:next w:val="Normal"/>
    <w:uiPriority w:val="35"/>
    <w:unhideWhenUsed/>
    <w:qFormat/>
    <w:rsid w:val="006E2B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6E2B4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E2B4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2B4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2B46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D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3F1"/>
  </w:style>
  <w:style w:type="paragraph" w:styleId="Altbilgi">
    <w:name w:val="footer"/>
    <w:basedOn w:val="Normal"/>
    <w:link w:val="AltbilgiChar"/>
    <w:uiPriority w:val="99"/>
    <w:unhideWhenUsed/>
    <w:rsid w:val="008D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3F1"/>
  </w:style>
  <w:style w:type="paragraph" w:customStyle="1" w:styleId="DecimalAligned">
    <w:name w:val="Decimal Aligned"/>
    <w:basedOn w:val="Normal"/>
    <w:uiPriority w:val="40"/>
    <w:qFormat/>
    <w:rsid w:val="00C4182A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C4182A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C4182A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351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83"/>
  </w:style>
  <w:style w:type="paragraph" w:styleId="Balk1">
    <w:name w:val="heading 1"/>
    <w:basedOn w:val="Normal"/>
    <w:next w:val="Normal"/>
    <w:link w:val="Balk1Char"/>
    <w:uiPriority w:val="9"/>
    <w:qFormat/>
    <w:rsid w:val="00C140BC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140BC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31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140B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0BC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0BC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0BC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0BC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0B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AD16D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D16D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D16D6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D16D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D16D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D16D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29B"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uiPriority w:val="37"/>
    <w:unhideWhenUsed/>
    <w:rsid w:val="00C140BC"/>
  </w:style>
  <w:style w:type="character" w:customStyle="1" w:styleId="Balk1Char">
    <w:name w:val="Başlık 1 Char"/>
    <w:basedOn w:val="VarsaylanParagrafYazTipi"/>
    <w:link w:val="Balk1"/>
    <w:uiPriority w:val="9"/>
    <w:rsid w:val="00C14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14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C140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0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0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0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0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0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oKlavuzu">
    <w:name w:val="Table Grid"/>
    <w:basedOn w:val="NormalTablo"/>
    <w:uiPriority w:val="59"/>
    <w:rsid w:val="00E6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6315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simYazs">
    <w:name w:val="caption"/>
    <w:basedOn w:val="Normal"/>
    <w:next w:val="Normal"/>
    <w:uiPriority w:val="35"/>
    <w:unhideWhenUsed/>
    <w:qFormat/>
    <w:rsid w:val="006E2B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6E2B4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E2B4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E2B4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E2B46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D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3F1"/>
  </w:style>
  <w:style w:type="paragraph" w:styleId="Altbilgi">
    <w:name w:val="footer"/>
    <w:basedOn w:val="Normal"/>
    <w:link w:val="AltbilgiChar"/>
    <w:uiPriority w:val="99"/>
    <w:unhideWhenUsed/>
    <w:rsid w:val="008D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3F1"/>
  </w:style>
  <w:style w:type="paragraph" w:customStyle="1" w:styleId="DecimalAligned">
    <w:name w:val="Decimal Aligned"/>
    <w:basedOn w:val="Normal"/>
    <w:uiPriority w:val="40"/>
    <w:qFormat/>
    <w:rsid w:val="00C4182A"/>
    <w:pPr>
      <w:tabs>
        <w:tab w:val="decimal" w:pos="360"/>
      </w:tabs>
    </w:pPr>
    <w:rPr>
      <w:lang w:eastAsia="tr-TR"/>
    </w:rPr>
  </w:style>
  <w:style w:type="character" w:styleId="HafifVurgulama">
    <w:name w:val="Subtle Emphasis"/>
    <w:basedOn w:val="VarsaylanParagrafYazTipi"/>
    <w:uiPriority w:val="19"/>
    <w:qFormat/>
    <w:rsid w:val="00C4182A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C4182A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3512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80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Can011</b:Tag>
    <b:SourceType>JournalArticle</b:SourceType>
    <b:Guid>{6D74D05C-C4D9-4479-B4C5-C47FD4D0416F}</b:Guid>
    <b:Title>Bipolar bozukluk bir yıllık izlem çalışması</b:Title>
    <b:Year>2001</b:Year>
    <b:Pages>283-92</b:Pages>
    <b:Author>
      <b:Author>
        <b:NameList>
          <b:Person>
            <b:Last>Can Saka M</b:Last>
            <b:First>Özer</b:First>
            <b:Middle>S, Uluşahin A.</b:Middle>
          </b:Person>
        </b:NameList>
      </b:Author>
    </b:Author>
    <b:JournalName>Türk Psikiyatri Dergisi</b:JournalName>
    <b:Issue>12</b:Issue>
    <b:RefOrder>48</b:RefOrder>
  </b:Source>
  <b:Source>
    <b:Tag>Leb05</b:Tag>
    <b:SourceType>JournalArticle</b:SourceType>
    <b:Guid>{D80078E8-E380-468E-8B6C-61E3E2FAA8EE}</b:Guid>
    <b:Author>
      <b:Author>
        <b:NameList>
          <b:Person>
            <b:Last>Leboyer M</b:Last>
            <b:First>Henry</b:First>
            <b:Middle>C, Paillere-Martinot M-L, Bellivier F.</b:Middle>
          </b:Person>
        </b:NameList>
      </b:Author>
    </b:Author>
    <b:Title>Age at onset in bipolar affective disorders: a review</b:Title>
    <b:JournalName>Bipolar Disorders</b:JournalName>
    <b:Year>2005</b:Year>
    <b:Pages>111-118</b:Pages>
    <b:Issue>7</b:Issue>
    <b:RefOrder>1</b:RefOrder>
  </b:Source>
  <b:Source>
    <b:Tag>Miz15</b:Tag>
    <b:SourceType>Misc</b:SourceType>
    <b:Guid>{B07412DB-A8E9-4540-AF39-113FF7711FB2}</b:Guid>
    <b:Title>Psychosocial treatment and interventions for bipolar disorder: a systematic review</b:Title>
    <b:Year>2015</b:Year>
    <b:Author>
      <b:Author>
        <b:NameList>
          <b:Person>
            <b:Last>Miziou S</b:Last>
            <b:First>Tsitsipa</b:First>
            <b:Middle>E, Moysidou S, Karavelas V, Dimelis D, Polyzoidou V.</b:Middle>
          </b:Person>
        </b:NameList>
      </b:Author>
    </b:Author>
    <b:JournalName>Ann Gen Psychiatry</b:JournalName>
    <b:Volume>14</b:Volume>
    <b:Issue>19</b:Issue>
    <b:RefOrder>3</b:RefOrder>
  </b:Source>
  <b:Source>
    <b:Tag>Akd14</b:Tag>
    <b:SourceType>JournalArticle</b:SourceType>
    <b:Guid>{D6AFC752-6FE3-46EA-9B49-AEA6D1AEA639}</b:Guid>
    <b:Title>Psikolojik Yardım Sürecinde Terapötik Bir Hedef Olarak İçgörü</b:Title>
    <b:Year>2014</b:Year>
    <b:JournalName>Psikiyatride Güncel Yaklaşımlar </b:JournalName>
    <b:Pages>375-388</b:Pages>
    <b:Volume>6</b:Volume>
    <b:Issue>4</b:Issue>
    <b:Author>
      <b:Author>
        <b:NameList>
          <b:Person>
            <b:Last>Akdoğan R</b:Last>
            <b:First>Türküm</b:First>
            <b:Middle>AS.</b:Middle>
          </b:Person>
        </b:NameList>
      </b:Author>
    </b:Author>
    <b:RefOrder>29</b:RefOrder>
  </b:Source>
  <b:Source>
    <b:Tag>Akd96</b:Tag>
    <b:SourceType>JournalArticle</b:SourceType>
    <b:Guid>{DAA5EBCE-1DD4-4DBC-9586-3908DE18FE61}</b:Guid>
    <b:Author>
      <b:Author>
        <b:NameList>
          <b:Person>
            <b:Last>Akdemir A</b:Last>
            <b:First>Örsel</b:First>
            <b:Middle>S, Dağ İ, Türkçapar H, İşcan N, Özbay H.</b:Middle>
          </b:Person>
        </b:NameList>
      </b:Author>
    </b:Author>
    <b:Title>Hamilton Depresyon Derecelendirme Ölçeğinin Geçerliği, Güvenirliği Ve Klinikte Kullanımı</b:Title>
    <b:JournalName>Psikiyatri Psikoloji Psikofarmakoloji Dergisi</b:JournalName>
    <b:Year>1996</b:Year>
    <b:Pages>251-259</b:Pages>
    <b:Volume>4</b:Volume>
    <b:Issue>4</b:Issue>
    <b:RefOrder>9</b:RefOrder>
  </b:Source>
  <b:Source>
    <b:Tag>Str</b:Tag>
    <b:SourceType>JournalArticle</b:SourceType>
    <b:Guid>{00D3A8C3-D0F6-4DDF-8658-F0D1E802B7CC}</b:Guid>
    <b:Author>
      <b:Author>
        <b:NameList>
          <b:Person>
            <b:Last>Strober M</b:Last>
            <b:First>Schmidt-</b:First>
            <b:Middle>lackner S, Freeman R et al.</b:Middle>
          </b:Person>
        </b:NameList>
      </b:Author>
    </b:Author>
    <b:Title>Recovery and relapse in adolescents with bipolar affective illness: a five-year naturalistic, prospective follow-up.</b:Title>
    <b:JournalName>J. AM. Acad. Child Adolesc. Psychiatry</b:JournalName>
    <b:Year>1995</b:Year>
    <b:Pages>724-731</b:Pages>
    <b:Issue>34</b:Issue>
    <b:RefOrder>2</b:RefOrder>
  </b:Source>
  <b:Source>
    <b:Tag>Ang98</b:Tag>
    <b:SourceType>JournalArticle</b:SourceType>
    <b:Guid>{33F88729-503F-49BC-8F46-C3BCC481B690}</b:Guid>
    <b:Author>
      <b:Author>
        <b:NameList>
          <b:Person>
            <b:Last>Angst</b:Last>
            <b:First>J</b:First>
          </b:Person>
        </b:NameList>
      </b:Author>
    </b:Author>
    <b:Title>The emerging epidemiology of hypomania and bipolar II disorder</b:Title>
    <b:JournalName>J. Affect. Disord.</b:JournalName>
    <b:Year>1998</b:Year>
    <b:Pages>143- 151</b:Pages>
    <b:Issue>50</b:Issue>
    <b:RefOrder>49</b:RefOrder>
  </b:Source>
  <b:Source>
    <b:Tag>Cas01</b:Tag>
    <b:SourceType>JournalArticle</b:SourceType>
    <b:Guid>{705ACD29-AD9E-46B9-91FA-BA2C902D46C9}</b:Guid>
    <b:Author>
      <b:Author>
        <b:NameList>
          <b:Person>
            <b:Last>Cassidy F</b:Last>
            <b:First>McEvoy</b:First>
            <b:Middle>JP, Yang YK ve ark.</b:Middle>
          </b:Person>
        </b:NameList>
      </b:Author>
    </b:Author>
    <b:Title>Insight is greater in mixed than in pure manic episodes of Bipolar I Disorder</b:Title>
    <b:JournalName>J Nerv Ment Dis.</b:JournalName>
    <b:Year>2010</b:Year>
    <b:Pages>398</b:Pages>
    <b:Volume>189</b:Volume>
    <b:Issue>6</b:Issue>
    <b:RefOrder>38</b:RefOrder>
  </b:Source>
  <b:Source>
    <b:Tag>Güç11</b:Tag>
    <b:SourceType>JournalArticle</b:SourceType>
    <b:Guid>{B325666C-5EDD-4B96-B6FD-C3071CE716D3}</b:Guid>
    <b:Author>
      <b:Author>
        <b:NameList>
          <b:Person>
            <b:Last>Güçlü O</b:Last>
            <b:First>Karaca</b:First>
            <b:Middle>O, Yıldırım B.</b:Middle>
          </b:Person>
        </b:NameList>
      </b:Author>
    </b:Author>
    <b:Title>Bipolar Bozuklukta İçgörü İle Klinik Özelliklerin İlişkisi</b:Title>
    <b:JournalName>Türk Psikiyatri Dergisi</b:JournalName>
    <b:Year>2011</b:Year>
    <b:Pages>230-38</b:Pages>
    <b:Volume>22</b:Volume>
    <b:Issue>4</b:Issue>
    <b:RefOrder>39</b:RefOrder>
  </b:Source>
  <b:Source>
    <b:Tag>Dem15</b:Tag>
    <b:SourceType>JournalArticle</b:SourceType>
    <b:Guid>{39AD6C46-9B03-44DC-9D42-D458AA512713}</b:Guid>
    <b:Title>Psikiyatri Hastalarının Tedaviye Uyumu</b:Title>
    <b:Year>2015</b:Year>
    <b:Pages>555-568</b:Pages>
    <b:Author>
      <b:Author>
        <b:NameList>
          <b:Person>
            <b:Last>Demirkol ME</b:Last>
            <b:First>Tamam</b:First>
            <b:Middle>L, Evlice YE, Karaytuğ MO.</b:Middle>
          </b:Person>
        </b:NameList>
      </b:Author>
    </b:Author>
    <b:JournalName>Cukurova Medical Journal</b:JournalName>
    <b:Volume>40</b:Volume>
    <b:Issue>3</b:Issue>
    <b:RefOrder>41</b:RefOrder>
  </b:Source>
  <b:Source>
    <b:Tag>Kul99</b:Tag>
    <b:SourceType>JournalArticle</b:SourceType>
    <b:Guid>{77A59AA7-84AD-4940-AB8E-8B994E2C0BD7}</b:Guid>
    <b:Author>
      <b:Author>
        <b:NameList>
          <b:Person>
            <b:Last>Kulhara P</b:Last>
            <b:First>Basu</b:First>
            <b:Middle>D, Mattoo SK ve ark.</b:Middle>
          </b:Person>
        </b:NameList>
      </b:Author>
    </b:Author>
    <b:Title>Lithium prophylaxis of recurrent bipolar affective disorder: long-term outcome and its psychosocial corraletes</b:Title>
    <b:JournalName>J Affect Disord.</b:JournalName>
    <b:Year>1999</b:Year>
    <b:Pages>87–96</b:Pages>
    <b:Volume>54</b:Volume>
    <b:RefOrder>42</b:RefOrder>
  </b:Source>
  <b:Source>
    <b:Tag>Soy13</b:Tag>
    <b:SourceType>JournalArticle</b:SourceType>
    <b:Guid>{C7A61B9C-D33F-4306-89AF-4D2C31604AD4}</b:Guid>
    <b:Author>
      <b:Author>
        <b:NameList>
          <b:Person>
            <b:Last>Soykan</b:Last>
            <b:First>A</b:First>
          </b:Person>
        </b:NameList>
      </b:Author>
    </b:Author>
    <b:Title>İki uçlu bozuklukta tedavi uyumunu arttırma stratejileri</b:Title>
    <b:JournalName>JMOOD; 3(Suppl.1)</b:JournalName>
    <b:Year>2013</b:Year>
    <b:Pages>9-10</b:Pages>
    <b:RefOrder>33</b:RefOrder>
  </b:Source>
  <b:Source>
    <b:Tag>Mac01</b:Tag>
    <b:SourceType>JournalArticle</b:SourceType>
    <b:Guid>{FEAC59EC-1FDF-4B7E-88D9-D9F6A12CC97B}</b:Guid>
    <b:Author>
      <b:Author>
        <b:NameList>
          <b:Person>
            <b:Last>MacQueen GM</b:Last>
            <b:First>Young</b:First>
            <b:Middle>LT, Joffe RT.</b:Middle>
          </b:Person>
        </b:NameList>
      </b:Author>
    </b:Author>
    <b:Title>A review of psychosocial outcome in patients with bipolar disorder</b:Title>
    <b:Year>2001</b:Year>
    <b:JournalName>Acta Psychiatr Scand</b:JournalName>
    <b:Pages>163-170</b:Pages>
    <b:Volume>103</b:Volume>
    <b:RefOrder>43</b:RefOrder>
  </b:Source>
  <b:Source>
    <b:Tag>Jud02</b:Tag>
    <b:SourceType>JournalArticle</b:SourceType>
    <b:Guid>{1171556F-2758-4A02-8DAE-D6CF1A98B6E5}</b:Guid>
    <b:Author>
      <b:Author>
        <b:NameList>
          <b:Person>
            <b:Last>Judd LL</b:Last>
            <b:First>Akiskal</b:First>
            <b:Middle>HS, Schettler PJ ve ark.</b:Middle>
          </b:Person>
        </b:NameList>
      </b:Author>
    </b:Author>
    <b:Title>The long-term natural history of the weekly symptomatic status of bipolar I disorder</b:Title>
    <b:JournalName>Arch Gen Psychiatry</b:JournalName>
    <b:Year>2002</b:Year>
    <b:Pages>530-7</b:Pages>
    <b:Issue>59</b:Issue>
    <b:RefOrder>44</b:RefOrder>
  </b:Source>
  <b:Source>
    <b:Tag>Bor08</b:Tag>
    <b:SourceType>JournalArticle</b:SourceType>
    <b:Guid>{B780BC2C-37BA-444B-9930-B745BE25E14E}</b:Guid>
    <b:Author>
      <b:Author>
        <b:NameList>
          <b:Person>
            <b:Last>Bora E</b:Last>
            <b:First>Vahip</b:First>
            <b:Middle>S, Akdeniz F.</b:Middle>
          </b:Person>
        </b:NameList>
      </b:Author>
    </b:Author>
    <b:Title>Bipolar bozuklukta bilişsel işlevlerin doğası ve önemi</b:Title>
    <b:JournalName>Türk Psikiyatri Dergisi</b:JournalName>
    <b:Year>2008</b:Year>
    <b:Pages>81-93</b:Pages>
    <b:Issue>19</b:Issue>
    <b:RefOrder>45</b:RefOrder>
  </b:Source>
  <b:Source>
    <b:Tag>Çak</b:Tag>
    <b:SourceType>JournalArticle</b:SourceType>
    <b:Guid>{5B0969A9-43A9-4FD6-9C5B-8B1E00C16CB8}</b:Guid>
    <b:Author>
      <b:Author>
        <b:NameList>
          <b:Person>
            <b:Last>Çakır S</b:Last>
            <b:First>Özerdem</b:First>
            <b:Middle>A.</b:Middle>
          </b:Person>
        </b:NameList>
      </b:Author>
    </b:Author>
    <b:Title>İki Uçlu Bozuklukta Psikoterapötik ve Psikososyal Sağaltımlar</b:Title>
    <b:JournalName>Türk Psikiyatri Dergisi</b:JournalName>
    <b:Year>2010</b:Year>
    <b:Pages>143-154</b:Pages>
    <b:Volume>21</b:Volume>
    <b:Issue>2</b:Issue>
    <b:RefOrder>28</b:RefOrder>
  </b:Source>
  <b:Source>
    <b:Tag>Dea04</b:Tag>
    <b:SourceType>JournalArticle</b:SourceType>
    <b:Guid>{18A814DD-C64F-4B8E-B96F-F6A75E5DBECF}</b:Guid>
    <b:Author>
      <b:Author>
        <b:NameList>
          <b:Person>
            <b:Last>Dean BB</b:Last>
            <b:First>Gerner</b:First>
            <b:Middle>D, Gerner RH.</b:Middle>
          </b:Person>
        </b:NameList>
      </b:Author>
    </b:Author>
    <b:Title>A systematic review evaluating health-related quality of life, work impairment, and healthcare costs and utilization in bipolar disorder</b:Title>
    <b:JournalName>Current Medical Research and Opinion</b:JournalName>
    <b:Year>2004</b:Year>
    <b:Volume>20</b:Volume>
    <b:Issue>2</b:Issue>
    <b:RefOrder>4</b:RefOrder>
  </b:Source>
  <b:Source>
    <b:Tag>htt05</b:Tag>
    <b:SourceType>InternetSite</b:SourceType>
    <b:Guid>{D684B497-162F-4A7E-B2B4-0D036AFAC16B}</b:Guid>
    <b:Title>APA</b:Title>
    <b:Year>2005</b:Year>
    <b:InternetSiteTitle>http://www.psychiatryonline.com/content.aspx?aid=148430</b:InternetSiteTitle>
    <b:RefOrder>5</b:RefOrder>
  </b:Source>
  <b:Source>
    <b:Tag>Yat05</b:Tag>
    <b:SourceType>JournalArticle</b:SourceType>
    <b:Guid>{057B5D2C-26A7-49DD-AF1E-ED54CE7ED61B}</b:Guid>
    <b:Title>Canadian Network for Mood and Anxiety Treatments guidelines for the management of patients with bipolar disorder: consensus and controversies</b:Title>
    <b:Year>2013</b:Year>
    <b:Author>
      <b:Author>
        <b:NameList>
          <b:Person>
            <b:Last>CANMAT guideline</b:Last>
            <b:First>Yatham</b:First>
            <b:Middle>LN, Kennedy SH, O’Donovan C ve ark</b:Middle>
          </b:Person>
        </b:NameList>
      </b:Author>
    </b:Author>
    <b:JournalName>Bipolar Disorders</b:JournalName>
    <b:Pages>1–44</b:Pages>
    <b:Issue>15</b:Issue>
    <b:RefOrder>6</b:RefOrder>
  </b:Source>
  <b:Source>
    <b:Tag>Sup05</b:Tag>
    <b:SourceType>JournalArticle</b:SourceType>
    <b:Guid>{48F4DAAE-D2F0-468F-A101-7023A816708D}</b:Guid>
    <b:Author>
      <b:Author>
        <b:NameList>
          <b:Person>
            <b:Last>Texas Consensus</b:Last>
            <b:First>Suppes</b:First>
            <b:Middle>T, Dennehy EB, Hirschfeld RM ve ark.</b:Middle>
          </b:Person>
        </b:NameList>
      </b:Author>
    </b:Author>
    <b:Title>Texas Consensus Conference Panel on Medication Treatment of Bipolar Disorder. The Texas implementation of medication algorithms: update to the algorithms for treatment of bipolar I disorder</b:Title>
    <b:JournalName>J Clin Psychiatry</b:JournalName>
    <b:Year>2005</b:Year>
    <b:Pages>870-86</b:Pages>
    <b:Volume>66</b:Volume>
    <b:Issue>7</b:Issue>
    <b:RefOrder>7</b:RefOrder>
  </b:Source>
  <b:Source>
    <b:Tag>DJM08</b:Tag>
    <b:SourceType>JournalArticle</b:SourceType>
    <b:Guid>{7FA14375-A3AB-484E-A55B-06394B097373}</b:Guid>
    <b:Author>
      <b:Author>
        <b:NameList>
          <b:Person>
            <b:Last>Miklowitz</b:Last>
            <b:First>DJ</b:First>
          </b:Person>
        </b:NameList>
      </b:Author>
    </b:Author>
    <b:Title>Adjunctive Psychotherapy for Bipolar Disorder: State of the Evidence</b:Title>
    <b:JournalName>Am J Psychiatry</b:JournalName>
    <b:Year>2008</b:Year>
    <b:Pages>1408–1419</b:Pages>
    <b:Volume>165</b:Volume>
    <b:Issue>11</b:Issue>
    <b:RefOrder>23</b:RefOrder>
  </b:Source>
  <b:Source>
    <b:Tag>Per991</b:Tag>
    <b:SourceType>JournalArticle</b:SourceType>
    <b:Guid>{338AF37F-5CB6-4BB1-98D7-C16AF0A59590}</b:Guid>
    <b:Author>
      <b:Author>
        <b:NameList>
          <b:Person>
            <b:Last>Perry A</b:Last>
            <b:First>Tarrier</b:First>
            <b:Middle>N, Morriss R ve ark.</b:Middle>
          </b:Person>
        </b:NameList>
      </b:Author>
    </b:Author>
    <b:Title>Randomised controlled trial of efficacy of teaching patients with bipolar disorder to identify early symptoms of relapse and obtain treatment.</b:Title>
    <b:JournalName>BMJ  318</b:JournalName>
    <b:Year>1999</b:Year>
    <b:Pages>149–53</b:Pages>
    <b:RefOrder>37</b:RefOrder>
  </b:Source>
  <b:Source>
    <b:Tag>Pee91</b:Tag>
    <b:SourceType>JournalArticle</b:SourceType>
    <b:Guid>{26D2FF13-B9A6-464C-8E5D-CD997B24B8A4}</b:Guid>
    <b:Author>
      <b:Author>
        <b:NameList>
          <b:Person>
            <b:Last>Peet M</b:Last>
            <b:First>Harvey</b:First>
            <b:Middle>NS.</b:Middle>
          </b:Person>
        </b:NameList>
      </b:Author>
    </b:Author>
    <b:Title> Lithium maintenance: 1. A standard education program for patients</b:Title>
    <b:JournalName>Br J Psychiatry 158</b:JournalName>
    <b:Year>1991</b:Year>
    <b:Pages>197–200</b:Pages>
    <b:RefOrder>30</b:RefOrder>
  </b:Source>
  <b:Source>
    <b:Tag>Saj09</b:Tag>
    <b:SourceType>JournalArticle</b:SourceType>
    <b:Guid>{FB66CB6A-3542-44EB-A108-EB7B9FB3F96D}</b:Guid>
    <b:Author>
      <b:Author>
        <b:NameList>
          <b:Person>
            <b:Last>Sajatovic M</b:Last>
            <b:First>Davies</b:First>
            <b:Middle>MA, Ganocy SJ ve ark.</b:Middle>
          </b:Person>
        </b:NameList>
      </b:Author>
    </b:Author>
    <b:Title>A Comparison of the Life Goals Program and Treatment as Usual for Individuals With Bipolar Disorder</b:Title>
    <b:JournalName>Psychiatric Services 60</b:JournalName>
    <b:Year>2009</b:Year>
    <b:Pages>1182–1189</b:Pages>
    <b:RefOrder>32</b:RefOrder>
  </b:Source>
  <b:Source>
    <b:Tag>Cak09</b:Tag>
    <b:SourceType>JournalArticle</b:SourceType>
    <b:Guid>{003C1A68-7D20-4551-A6EC-41C169131DF6}</b:Guid>
    <b:Author>
      <b:Author>
        <b:NameList>
          <b:Person>
            <b:Last>Cakir S</b:Last>
            <b:First>Bensusan</b:First>
            <b:Middle>R, Akca ZK ve ark.</b:Middle>
          </b:Person>
        </b:NameList>
      </b:Author>
    </b:Author>
    <b:Title> Does a psychoeducatioanal approach reach targeted patients with bipolar disorder?</b:Title>
    <b:JournalName> J Affect Disord. 119</b:JournalName>
    <b:Year>2009</b:Year>
    <b:Pages>190-3</b:Pages>
    <b:RefOrder>46</b:RefOrder>
  </b:Source>
  <b:Source>
    <b:Tag>Güm16</b:Tag>
    <b:SourceType>JournalArticle</b:SourceType>
    <b:Guid>{BD79F8BE-3D75-43BC-ACDD-8D68F535E81E}</b:Guid>
    <b:Author>
      <b:Author>
        <b:NameList>
          <b:Person>
            <b:Last>Gümüş F</b:Last>
            <b:First>Buzlu</b:First>
            <b:Middle>S, Çakır S.</b:Middle>
          </b:Person>
        </b:NameList>
      </b:Author>
    </b:Author>
    <b:Title>Bipolar Bozukluk için Örnek Bir Bireysel Psikoeğitim Modeli</b:Title>
    <b:Year>2016</b:Year>
    <b:JournalName>Psikiyatri Hemşireliği Dergisi</b:JournalName>
    <b:Pages>142–147</b:Pages>
    <b:Volume>7</b:Volume>
    <b:Issue>3</b:Issue>
    <b:RefOrder>47</b:RefOrder>
  </b:Source>
  <b:Source>
    <b:Tag>Özk99</b:Tag>
    <b:SourceType>JournalArticle</b:SourceType>
    <b:Guid>{4DDE40AD-F124-4A34-9AF4-D194EC599FB1}</b:Guid>
    <b:Author>
      <b:Author>
        <b:NameList>
          <b:Person>
            <b:Last>Özkürkçügil A</b:Last>
            <b:First>Aydemir</b:First>
            <b:Middle>Ö, Yıldız M ve ark</b:Middle>
          </b:Person>
        </b:NameList>
      </b:Author>
    </b:Author>
    <b:Title> DSM-IV Eksen I Bozuklukları(SCID-I) için Yapılandırılmış Klinik Görüşmenin Türkçe’ye Uyarlanması ve Güvenilirlik Çalışması</b:Title>
    <b:JournalName> İlaç ve Tedavi Dergisi, 12</b:JournalName>
    <b:Year>1999</b:Year>
    <b:Pages>233-36</b:Pages>
    <b:RefOrder>50</b:RefOrder>
  </b:Source>
  <b:Source>
    <b:Tag>Fir971</b:Tag>
    <b:SourceType>Misc</b:SourceType>
    <b:Guid>{F4AABBD0-9A4A-40AF-8D4B-6D23B4E2BE30}</b:Guid>
    <b:Title>(SCID-II)</b:Title>
    <b:Year>1997</b:Year>
    <b:Author>
      <b:Author>
        <b:NameList>
          <b:Person>
            <b:Last>First MB</b:Last>
            <b:First>GibbonM,</b:First>
            <b:Middle>Spitzer RL, Williams JBW, Benjamin LS.</b:Middle>
          </b:Person>
        </b:NameList>
      </b:Author>
    </b:Author>
    <b:PublicationTitle>The Structured Clinical Interview for DSMIV Axis II Personality Disorders</b:PublicationTitle>
    <b:City>Washington DC</b:City>
    <b:Publisher>American Psychiatric Press</b:Publisher>
    <b:RefOrder>51</b:RefOrder>
  </b:Source>
  <b:Source>
    <b:Tag>Coş94</b:Tag>
    <b:SourceType>JournalArticle</b:SourceType>
    <b:Guid>{929E5165-6360-432E-B405-DCA33001D322}</b:Guid>
    <b:Title>SCID-II (Türkçe Versiyonu) Görüşmesinin Kişilik Bozukluklarındaki Güvenirliği</b:Title>
    <b:Year>1994</b:Year>
    <b:Author>
      <b:Author>
        <b:NameList>
          <b:Person>
            <b:Last>Coşkunol H</b:Last>
            <b:First>Bağdiken</b:First>
            <b:Middle>İ, Sorias S, Saygılı R.</b:Middle>
          </b:Person>
        </b:NameList>
      </b:Author>
    </b:Author>
    <b:JournalName>Türk Psikoloji Dergisi</b:JournalName>
    <b:Pages>26-29</b:Pages>
    <b:Volume>9</b:Volume>
    <b:Issue>32</b:Issue>
    <b:RefOrder>52</b:RefOrder>
  </b:Source>
  <b:Source>
    <b:Tag>LLu62</b:Tag>
    <b:SourceType>JournalArticle</b:SourceType>
    <b:Guid>{324B21D2-E8BB-4594-A68A-636A294204AD}</b:Guid>
    <b:Author>
      <b:Author>
        <b:NameList>
          <b:Person>
            <b:Last>Luborsky</b:Last>
            <b:First>L</b:First>
          </b:Person>
        </b:NameList>
      </b:Author>
    </b:Author>
    <b:Title>Clinicians' Judgements of Mental Health.</b:Title>
    <b:JournalName> Arch Gen Psychiatry, 7</b:JournalName>
    <b:Year>1962</b:Year>
    <b:Pages>407–17</b:Pages>
    <b:RefOrder>14</b:RefOrder>
  </b:Source>
  <b:Source>
    <b:Tag>Guy76</b:Tag>
    <b:SourceType>Book</b:SourceType>
    <b:Guid>{4F3A1169-BA4F-4DC7-B92C-4343DB51EDEA}</b:Guid>
    <b:Author>
      <b:Author>
        <b:NameList>
          <b:Person>
            <b:Last>Guy</b:Last>
            <b:First>W</b:First>
          </b:Person>
        </b:NameList>
      </b:Author>
    </b:Author>
    <b:Title>ECDEU Assessment Manual for Psychopharmacology</b:Title>
    <b:Year>1976</b:Year>
    <b:City>Rockville, MD</b:City>
    <b:Publisher>US Department of Health and Human Services Publication</b:Publisher>
    <b:RefOrder>13</b:RefOrder>
  </b:Source>
  <b:Source>
    <b:Tag>Ayd07</b:Tag>
    <b:SourceType>JournalArticle</b:SourceType>
    <b:Guid>{ED2E6E8A-E99E-47E6-B2A9-38DE52335505}</b:Guid>
    <b:Author>
      <b:Author>
        <b:NameList>
          <b:Person>
            <b:Last>Aydemir Ö</b:Last>
            <b:First>Eren</b:First>
            <b:Middle>İ, Savaş H ve ark</b:Middle>
          </b:Person>
        </b:NameList>
      </b:Author>
    </b:Author>
    <b:Title>Bipolar bozuklukta işlevsellik ölçeğinin geliştirilmesi, güvenilirlik ve geçerliliği</b:Title>
    <b:JournalName>Türk Psikiyatri Dergisi</b:JournalName>
    <b:Year>2007</b:Year>
    <b:Pages>344-352</b:Pages>
    <b:Issue>18</b:Issue>
    <b:RefOrder>12</b:RefOrder>
  </b:Source>
  <b:Source>
    <b:Tag>You78</b:Tag>
    <b:SourceType>JournalArticle</b:SourceType>
    <b:Guid>{49699AC5-7081-4CBC-8085-5365808314DF}</b:Guid>
    <b:Author>
      <b:Author>
        <b:NameList>
          <b:Person>
            <b:Last>Young RC</b:Last>
            <b:First>Biggs</b:First>
            <b:Middle>JT, Ziegler VE, Meyer DA.</b:Middle>
          </b:Person>
        </b:NameList>
      </b:Author>
    </b:Author>
    <b:Title>A rating scale for mania: reliability, validity and sensitivity.</b:Title>
    <b:JournalName>Br J Psychiatry</b:JournalName>
    <b:Year>1978</b:Year>
    <b:Pages>429-435</b:Pages>
    <b:Issue>133</b:Issue>
    <b:RefOrder>10</b:RefOrder>
  </b:Source>
  <b:Source>
    <b:Tag>Kar01</b:Tag>
    <b:SourceType>JournalArticle</b:SourceType>
    <b:Guid>{F9582EEE-808C-44AC-BC63-253E9436C6FB}</b:Guid>
    <b:Author>
      <b:Author>
        <b:NameList>
          <b:Person>
            <b:Last>Karadağ F</b:Last>
            <b:First>Oral</b:First>
            <b:Middle>ET, Aran Yalçın F, Eren E.</b:Middle>
          </b:Person>
        </b:NameList>
      </b:Author>
    </b:Author>
    <b:Title>Young Mani Derecelendirme Ölçeğinin Türkiye’de geçerlilik ve güvenilirliği.</b:Title>
    <b:JournalName>Türk Psikiyatri Derg</b:JournalName>
    <b:Year>2001</b:Year>
    <b:Pages>107-114</b:Pages>
    <b:Issue>13</b:Issue>
    <b:RefOrder>11</b:RefOrder>
  </b:Source>
  <b:Source>
    <b:Tag>BWW78</b:Tag>
    <b:SourceType>JournalArticle</b:SourceType>
    <b:Guid>{4B3667BB-ECC3-48B3-AD61-E6E9B5FE16DD}</b:Guid>
    <b:Author>
      <b:Author>
        <b:NameList>
          <b:Person>
            <b:Last>Williams</b:Last>
            <b:First>BW</b:First>
          </b:Person>
        </b:NameList>
      </b:Author>
    </b:Author>
    <b:Title>A structured interview guide for Hamilton Depression Rating Scale.</b:Title>
    <b:JournalName>Arch Gen Psychiatr</b:JournalName>
    <b:Year>1978</b:Year>
    <b:Pages>742-747</b:Pages>
    <b:Issue>45</b:Issue>
    <b:RefOrder>8</b:RefOrder>
  </b:Source>
  <b:Source>
    <b:Tag>ADa90</b:Tag>
    <b:SourceType>JournalArticle</b:SourceType>
    <b:Guid>{D8EFEC46-5275-47FB-82A7-D95E1C9588D2}</b:Guid>
    <b:Author>
      <b:Author>
        <b:NameList>
          <b:Person>
            <b:Last>David</b:Last>
            <b:First>A</b:First>
          </b:Person>
        </b:NameList>
      </b:Author>
    </b:Author>
    <b:Title>Insight in psychosis</b:Title>
    <b:JournalName> Br J Psychiatry</b:JournalName>
    <b:Year>1990</b:Year>
    <b:Pages>798-808</b:Pages>
    <b:RefOrder>15</b:RefOrder>
  </b:Source>
  <b:Source>
    <b:Tag>Asl01</b:Tag>
    <b:SourceType>JournalArticle</b:SourceType>
    <b:Guid>{6B61F3F4-D021-4880-B4F6-EEE6E6A63A69}</b:Guid>
    <b:Author>
      <b:Author>
        <b:NameList>
          <b:Person>
            <b:Last>Aslan S</b:Last>
            <b:First>Kılıç</b:First>
            <b:Middle>BG, Karakılıç HG ve ark</b:Middle>
          </b:Person>
        </b:NameList>
      </b:Author>
    </b:Author>
    <b:Title>İçgörünün üç bileşenini değerlendirme ölçeği: güvenilirlik ve geçerlik çalışması</b:Title>
    <b:JournalName>Türkiye’de Psikiyatri</b:JournalName>
    <b:Year>2001</b:Year>
    <b:Pages>17-24</b:Pages>
    <b:Issue>3</b:Issue>
    <b:RefOrder>16</b:RefOrder>
  </b:Source>
  <b:Source>
    <b:Tag>Mor11</b:Tag>
    <b:SourceType>JournalArticle</b:SourceType>
    <b:Guid>{790EE8D1-738D-427E-AA6A-77250511C64D}</b:Guid>
    <b:Author>
      <b:Author>
        <b:NameList>
          <b:Person>
            <b:Last>Morisky DE</b:Last>
            <b:First>DiMatteo</b:First>
            <b:Middle>MR.</b:Middle>
          </b:Person>
        </b:NameList>
      </b:Author>
    </b:Author>
    <b:Title>Improving the measurement of selfreported medication nonadherence: Final response</b:Title>
    <b:JournalName>Journal of Clinical Epidemiology</b:JournalName>
    <b:Year>2011</b:Year>
    <b:Pages>262-3</b:Pages>
    <b:Issue>64</b:Issue>
    <b:RefOrder>17</b:RefOrder>
  </b:Source>
  <b:Source>
    <b:Tag>Bah14</b:Tag>
    <b:SourceType>JournalArticle</b:SourceType>
    <b:Guid>{0B528B26-AA44-45B1-A84C-1E6F48539CD5}</b:Guid>
    <b:Author>
      <b:Author>
        <b:NameList>
          <b:Person>
            <b:Last>Bahar G</b:Last>
            <b:First>Savaş</b:First>
            <b:Middle>H, Ünal A,Savaş E, Kaya H, Bahar A.</b:Middle>
          </b:Person>
        </b:NameList>
      </b:Author>
    </b:Author>
    <b:Title>Morisky Tedavi Uyum Ölçeğinin iki uçlu duygudurum bozukluğu için geçerlik ve güvenilirlik çalışması</b:Title>
    <b:JournalName>Anadolu Psikiyatri Dergisi</b:JournalName>
    <b:Year>2014</b:Year>
    <b:Pages>141-149</b:Pages>
    <b:Issue>15</b:Issue>
    <b:RefOrder>18</b:RefOrder>
  </b:Source>
  <b:Source>
    <b:Tag>Ass15</b:Tag>
    <b:SourceType>JournalArticle</b:SourceType>
    <b:Guid>{C7E2A88E-01C9-44EC-ADA4-16B1EB3732AD}</b:Guid>
    <b:Author>
      <b:Author>
        <b:NameList>
          <b:Person>
            <b:Last>Assis da Silva R</b:Last>
            <b:First>Mograbi</b:First>
            <b:Middle>DC, Silva Silveira LA ve ark.</b:Middle>
          </b:Person>
        </b:NameList>
      </b:Author>
    </b:Author>
    <b:Title>Insight Across the Different Mood States of Bipolar Disorder</b:Title>
    <b:JournalName>Psychiatric Quarterly</b:JournalName>
    <b:Year>2015</b:Year>
    <b:Pages>395–405</b:Pages>
    <b:Volume>86</b:Volume>
    <b:Issue>3</b:Issue>
    <b:RefOrder>20</b:RefOrder>
  </b:Source>
  <b:Source>
    <b:Tag>Del02</b:Tag>
    <b:SourceType>JournalArticle</b:SourceType>
    <b:Guid>{8759C63B-3713-414D-AE58-22E2947D4427}</b:Guid>
    <b:Author>
      <b:Author>
        <b:NameList>
          <b:Person>
            <b:Last>Dell’Osso L</b:Last>
            <b:First>Pini</b:First>
            <b:Middle>S, Cassano GB ve ark.</b:Middle>
          </b:Person>
        </b:NameList>
      </b:Author>
    </b:Author>
    <b:Title>Insight into illness in patients with mania, mixed mania, bipolar depression and major depression with psychotic features</b:Title>
    <b:Year>2002</b:Year>
    <b:JournalName>Bipolar Disord.</b:JournalName>
    <b:Pages>315–22</b:Pages>
    <b:Issue>4</b:Issue>
    <b:RefOrder>21</b:RefOrder>
  </b:Source>
  <b:Source>
    <b:Tag>Yen07</b:Tag>
    <b:SourceType>JournalArticle</b:SourceType>
    <b:Guid>{E92CF52E-8A90-402F-9735-0A8CA9E40E38}</b:Guid>
    <b:Author>
      <b:Author>
        <b:NameList>
          <b:Person>
            <b:Last>Yen CF</b:Last>
            <b:First>Chen</b:First>
            <b:Middle>CS, Ko CH</b:Middle>
          </b:Person>
        </b:NameList>
      </b:Author>
    </b:Author>
    <b:Title>Changes in insight among patients with bipolar I disorder: a 2-year prospective study</b:Title>
    <b:JournalName>Bipolar Disord.</b:JournalName>
    <b:Year>2007</b:Year>
    <b:Pages>238-42</b:Pages>
    <b:Issue>9</b:Issue>
    <b:RefOrder>22</b:RefOrder>
  </b:Source>
  <b:Source>
    <b:Tag>Rou07</b:Tag>
    <b:SourceType>JournalArticle</b:SourceType>
    <b:Guid>{C917F4FF-5F94-4EF8-8276-1742F47DD7D6}</b:Guid>
    <b:Author>
      <b:Author>
        <b:NameList>
          <b:Person>
            <b:Last>Rouget BW</b:Last>
            <b:First>Aubry</b:First>
            <b:Middle>JM.</b:Middle>
          </b:Person>
        </b:NameList>
      </b:Author>
    </b:Author>
    <b:Title>Efficacy of psychoeducational approaches on bipolar disorders: A review of the literature</b:Title>
    <b:JournalName>J Affective Disord.</b:JournalName>
    <b:Year>2007</b:Year>
    <b:Pages>11–27</b:Pages>
    <b:Volume>98</b:Volume>
    <b:Issue>1-2</b:Issue>
    <b:RefOrder>24</b:RefOrder>
  </b:Source>
  <b:Source>
    <b:Tag>Dam03</b:Tag>
    <b:SourceType>JournalArticle</b:SourceType>
    <b:Guid>{BBE17239-DAC9-4142-BEA1-16130FC16E10}</b:Guid>
    <b:Title>The coping with depression course: Short-term outcomes and mediating effects of a randomized controlled trial in the treatment of subclinical depression</b:Title>
    <b:JournalName>Behavior Therapy</b:JournalName>
    <b:Year>2003</b:Year>
    <b:Pages>381–396</b:Pages>
    <b:Author>
      <b:Author>
        <b:NameList>
          <b:Person>
            <b:Last>Dam EA</b:Last>
            <b:First>Hosman</b:First>
            <b:Middle>CMH, Hoogduin CAL, Schaap CPDR.</b:Middle>
          </b:Person>
        </b:NameList>
      </b:Author>
    </b:Author>
    <b:Volume>34</b:Volume>
    <b:Issue>3</b:Issue>
    <b:RefOrder>25</b:RefOrder>
  </b:Source>
  <b:Source>
    <b:Tag>Kas92</b:Tag>
    <b:SourceType>JournalArticle</b:SourceType>
    <b:Guid>{BF1F35D4-2238-4A4C-BD89-F650508BBBDE}</b:Guid>
    <b:Author>
      <b:Author>
        <b:NameList>
          <b:Person>
            <b:Last>Kasper S</b:Last>
            <b:First>Wehr</b:First>
            <b:Middle>TA.</b:Middle>
          </b:Person>
        </b:NameList>
      </b:Author>
    </b:Author>
    <b:Title>The role of sleep and wakefulness in the genesis of depression and mania</b:Title>
    <b:JournalName>L'Encéphale: Revue de psychiatrie clinique biologique et thérapeutique, 18(1) </b:JournalName>
    <b:Year>1992</b:Year>
    <b:Pages>45-50</b:Pages>
    <b:RefOrder>26</b:RefOrder>
  </b:Source>
  <b:Source>
    <b:Tag>Col032</b:Tag>
    <b:SourceType>JournalArticle</b:SourceType>
    <b:Guid>{46FA0F2E-4CEC-4BB9-B2C7-7D6F480B582C}</b:Guid>
    <b:Author>
      <b:Author>
        <b:NameList>
          <b:Person>
            <b:Last>Cole MG</b:Last>
            <b:First>Dendukuri</b:First>
            <b:Middle>N.</b:Middle>
          </b:Person>
        </b:NameList>
      </b:Author>
    </b:Author>
    <b:Title>Risk Factors for Depression Among Elderly Community Subjects: A Systematic Review and Meta-Analysis</b:Title>
    <b:JournalName>Am J Psychiatry 160</b:JournalName>
    <b:Year>2003</b:Year>
    <b:Pages>1147–1156</b:Pages>
    <b:RefOrder>27</b:RefOrder>
  </b:Source>
  <b:Source>
    <b:Tag>Cla981</b:Tag>
    <b:SourceType>JournalArticle</b:SourceType>
    <b:Guid>{39175DD9-8CEE-4457-8FC4-4720C255AADD}</b:Guid>
    <b:Author>
      <b:Author>
        <b:NameList>
          <b:Person>
            <b:Last>Clarkin JF</b:Last>
            <b:First>Carpenter</b:First>
            <b:Middle>D, Hull J ve ark.</b:Middle>
          </b:Person>
        </b:NameList>
      </b:Author>
    </b:Author>
    <b:Title>Effects of psychoeducational intervention for married patients with bipolar disorder and their spouses</b:Title>
    <b:JournalName>Psychiatr Serv</b:JournalName>
    <b:Year>1998</b:Year>
    <b:Pages>531–3</b:Pages>
    <b:Issue>49</b:Issue>
    <b:RefOrder>31</b:RefOrder>
  </b:Source>
  <b:Source>
    <b:Tag>Seg12</b:Tag>
    <b:SourceType>JournalArticle</b:SourceType>
    <b:Guid>{86940F0C-1126-4596-8DD3-AC416E75C732}</b:Guid>
    <b:Author>
      <b:Author>
        <b:NameList>
          <b:Person>
            <b:Last>Segarra R</b:Last>
            <b:First>Ojeda</b:First>
            <b:Middle>N, Peña J ve ark.</b:Middle>
          </b:Person>
        </b:NameList>
      </b:Author>
    </b:Author>
    <b:Title>Longitudinal changes of insight in first episode psychosis and its relation to clinical symptoms, treatment adherence and global functioning: One-year follow-up from the Eiffel study</b:Title>
    <b:JournalName>Eur Psychiatry 27(1)</b:JournalName>
    <b:Year> 2012 </b:Year>
    <b:Pages>43-9</b:Pages>
    <b:RefOrder>34</b:RefOrder>
  </b:Source>
  <b:Source>
    <b:Tag>Pel13</b:Tag>
    <b:SourceType>JournalArticle</b:SourceType>
    <b:Guid>{BE21D73A-273C-441B-8E73-58B17D0DD334}</b:Guid>
    <b:Author>
      <b:Author>
        <b:NameList>
          <b:Person>
            <b:Last>Pellegrinelli KB</b:Last>
            <b:First>Costa</b:First>
            <b:Middle>LFO, Silval KID ve ark.</b:Middle>
          </b:Person>
        </b:NameList>
      </b:Author>
    </b:Author>
    <b:Title>Efficacy of psychoeducation on symptomatic and functional recovery in bipolar disorder</b:Title>
    <b:JournalName>Acta psyc scand 127(2)</b:JournalName>
    <b:Year>2013</b:Year>
    <b:Pages>153–158</b:Pages>
    <b:RefOrder>35</b:RefOrder>
  </b:Source>
  <b:Source>
    <b:Tag>Dec10</b:Tag>
    <b:SourceType>JournalArticle</b:SourceType>
    <b:Guid>{721BD562-CA06-403A-903E-4C8E0E43E6F5}</b:Guid>
    <b:Author>
      <b:Author>
        <b:NameList>
          <b:Person>
            <b:Last>Deckersbach T</b:Last>
            <b:First>Nierenberg</b:First>
            <b:Middle>AA, Kessler R ve ark.</b:Middle>
          </b:Person>
        </b:NameList>
      </b:Author>
    </b:Author>
    <b:Title>ognitive Rehabilitation for Bipolar Disorder: An Open Trialfor Employed Patients with Residual Depressive Symptoms</b:Title>
    <b:JournalName>CNS Neuroscience &amp; Therapeutics 16 </b:JournalName>
    <b:Year>2010</b:Year>
    <b:Pages>298–307</b:Pages>
    <b:RefOrder>36</b:RefOrder>
  </b:Source>
  <b:Source>
    <b:Tag>Çak1</b:Tag>
    <b:SourceType>JournalArticle</b:SourceType>
    <b:Guid>{410BF707-2406-44CD-9AD8-99F82637680E}</b:Guid>
    <b:Author>
      <b:Author>
        <b:NameList>
          <b:Person>
            <b:Last>Çakır F</b:Last>
            <b:First>İlnem</b:First>
            <b:Middle>C, Yener F.</b:Middle>
          </b:Person>
        </b:NameList>
      </b:Author>
    </b:Author>
    <b:Title>Kronik Psikotik Hastalarda Taburculuk Sonrası Takip ve Tedaviye Uyum</b:Title>
    <b:JournalName>Düşünen Adam Psikiyatri ve Nörolojik Bilimler Dergisi</b:JournalName>
    <b:Year>2010</b:Year>
    <b:Pages>50-59</b:Pages>
    <b:Issue>23</b:Issue>
    <b:RefOrder>40</b:RefOrder>
  </b:Source>
  <b:Source>
    <b:Tag>Yen04</b:Tag>
    <b:SourceType>JournalArticle</b:SourceType>
    <b:Guid>{1E7C0DF8-8B3B-4B0B-A023-B9E5BCC13C7F}</b:Guid>
    <b:Author>
      <b:Author>
        <b:NameList>
          <b:Person>
            <b:Last>Yen CF</b:Last>
            <b:First>Chen</b:First>
            <b:Middle>CS, Yeh ML ve ark.</b:Middle>
          </b:Person>
        </b:NameList>
      </b:Author>
    </b:Author>
    <b:Title>Correlates of insight among patients with bipolar I disorder in remission</b:Title>
    <b:JournalName>Journal of Affective Disorders 78(1)</b:JournalName>
    <b:Year>2004</b:Year>
    <b:Pages>57–60</b:Pages>
    <b:RefOrder>19</b:RefOrder>
  </b:Source>
</b:Sources>
</file>

<file path=customXml/itemProps1.xml><?xml version="1.0" encoding="utf-8"?>
<ds:datastoreItem xmlns:ds="http://schemas.openxmlformats.org/officeDocument/2006/customXml" ds:itemID="{3473B12A-EE6F-4252-B21D-65E7AC83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5323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gkaya</dc:creator>
  <cp:lastModifiedBy>ASUS</cp:lastModifiedBy>
  <cp:revision>28</cp:revision>
  <dcterms:created xsi:type="dcterms:W3CDTF">2019-10-18T17:28:00Z</dcterms:created>
  <dcterms:modified xsi:type="dcterms:W3CDTF">2019-11-12T17:09:00Z</dcterms:modified>
</cp:coreProperties>
</file>