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DB489" w14:textId="3A7D140D" w:rsidR="00D20659" w:rsidRPr="008076E8" w:rsidRDefault="00D20659" w:rsidP="008076E8">
      <w:pPr>
        <w:spacing w:line="480" w:lineRule="auto"/>
        <w:jc w:val="both"/>
        <w:rPr>
          <w:b/>
          <w:bCs/>
          <w:sz w:val="22"/>
          <w:szCs w:val="22"/>
          <w:lang w:val="en-US"/>
        </w:rPr>
      </w:pPr>
      <w:r w:rsidRPr="008076E8">
        <w:rPr>
          <w:b/>
          <w:bCs/>
          <w:sz w:val="22"/>
          <w:szCs w:val="22"/>
          <w:lang w:val="en-US"/>
        </w:rPr>
        <w:t xml:space="preserve">Psychological Readiness to Normalization Process and Burnout Level of Healthcare Workers of </w:t>
      </w:r>
      <w:r w:rsidRPr="008076E8">
        <w:rPr>
          <w:b/>
          <w:bCs/>
          <w:sz w:val="22"/>
          <w:szCs w:val="22"/>
          <w:highlight w:val="yellow"/>
          <w:lang w:val="en-US"/>
        </w:rPr>
        <w:t>Pediatric Clinic</w:t>
      </w:r>
      <w:r w:rsidRPr="008076E8">
        <w:rPr>
          <w:b/>
          <w:bCs/>
          <w:sz w:val="22"/>
          <w:szCs w:val="22"/>
          <w:lang w:val="en-US"/>
        </w:rPr>
        <w:t xml:space="preserve"> After Three Months of COVID-19 Pandemic </w:t>
      </w:r>
    </w:p>
    <w:p w14:paraId="6A93AFA7" w14:textId="77777777" w:rsidR="00D20659" w:rsidRPr="008076E8" w:rsidRDefault="00D20659" w:rsidP="008076E8">
      <w:pPr>
        <w:spacing w:line="480" w:lineRule="auto"/>
        <w:jc w:val="both"/>
        <w:rPr>
          <w:b/>
          <w:bCs/>
          <w:sz w:val="22"/>
          <w:szCs w:val="22"/>
          <w:lang w:val="en-US"/>
        </w:rPr>
      </w:pPr>
      <w:r w:rsidRPr="008076E8">
        <w:rPr>
          <w:b/>
          <w:bCs/>
          <w:sz w:val="22"/>
          <w:szCs w:val="22"/>
          <w:lang w:val="en-US"/>
        </w:rPr>
        <w:t>Abstract</w:t>
      </w:r>
    </w:p>
    <w:p w14:paraId="3EC6893D" w14:textId="5CC1EE7F" w:rsidR="00D20659" w:rsidRPr="008076E8" w:rsidRDefault="00D20659" w:rsidP="008076E8">
      <w:pPr>
        <w:pStyle w:val="NormalWeb"/>
        <w:spacing w:line="480" w:lineRule="auto"/>
        <w:jc w:val="both"/>
        <w:rPr>
          <w:color w:val="000000" w:themeColor="text1"/>
          <w:sz w:val="22"/>
          <w:szCs w:val="22"/>
          <w:lang w:val="en-US"/>
        </w:rPr>
      </w:pPr>
      <w:r w:rsidRPr="008076E8">
        <w:rPr>
          <w:b/>
          <w:bCs/>
          <w:sz w:val="22"/>
          <w:szCs w:val="22"/>
          <w:lang w:val="en-US"/>
        </w:rPr>
        <w:t xml:space="preserve">Objective: </w:t>
      </w:r>
      <w:r w:rsidRPr="008076E8">
        <w:rPr>
          <w:color w:val="000000" w:themeColor="text1"/>
          <w:sz w:val="22"/>
          <w:szCs w:val="22"/>
          <w:lang w:val="en-US"/>
        </w:rPr>
        <w:t xml:space="preserve">Since December 2019, </w:t>
      </w:r>
      <w:r w:rsidR="0022381C" w:rsidRPr="008076E8">
        <w:rPr>
          <w:color w:val="000000" w:themeColor="text1"/>
          <w:sz w:val="22"/>
          <w:szCs w:val="22"/>
          <w:lang w:val="en-US"/>
        </w:rPr>
        <w:t xml:space="preserve">a </w:t>
      </w:r>
      <w:r w:rsidRPr="008076E8">
        <w:rPr>
          <w:color w:val="000000" w:themeColor="text1"/>
          <w:sz w:val="22"/>
          <w:szCs w:val="22"/>
          <w:lang w:val="en-US"/>
        </w:rPr>
        <w:t xml:space="preserve">new coronavirus, </w:t>
      </w:r>
      <w:r w:rsidRPr="008076E8">
        <w:rPr>
          <w:sz w:val="22"/>
          <w:szCs w:val="22"/>
          <w:lang w:val="en-US"/>
        </w:rPr>
        <w:t xml:space="preserve">SARS-CoV-2 </w:t>
      </w:r>
      <w:r w:rsidRPr="008076E8">
        <w:rPr>
          <w:color w:val="000000" w:themeColor="text1"/>
          <w:sz w:val="22"/>
          <w:szCs w:val="22"/>
          <w:lang w:val="en-US"/>
        </w:rPr>
        <w:t xml:space="preserve">spread rapidly worldwide </w:t>
      </w:r>
      <w:r w:rsidR="0022381C" w:rsidRPr="008076E8">
        <w:rPr>
          <w:color w:val="000000" w:themeColor="text1"/>
          <w:sz w:val="22"/>
          <w:szCs w:val="22"/>
          <w:lang w:val="en-US"/>
        </w:rPr>
        <w:t>with</w:t>
      </w:r>
      <w:r w:rsidRPr="008076E8">
        <w:rPr>
          <w:color w:val="000000" w:themeColor="text1"/>
          <w:sz w:val="22"/>
          <w:szCs w:val="22"/>
          <w:lang w:val="en-US"/>
        </w:rPr>
        <w:t xml:space="preserve">in months and caused stress and anxiety both in public and healthcare workers (HCWs). </w:t>
      </w:r>
      <w:r w:rsidRPr="008076E8">
        <w:rPr>
          <w:sz w:val="22"/>
          <w:szCs w:val="22"/>
          <w:lang w:val="en-US"/>
        </w:rPr>
        <w:t>This study</w:t>
      </w:r>
      <w:r w:rsidRPr="008076E8">
        <w:rPr>
          <w:b/>
          <w:bCs/>
          <w:sz w:val="22"/>
          <w:szCs w:val="22"/>
          <w:lang w:val="en-US"/>
        </w:rPr>
        <w:t xml:space="preserve"> </w:t>
      </w:r>
      <w:r w:rsidRPr="008076E8">
        <w:rPr>
          <w:sz w:val="22"/>
          <w:szCs w:val="22"/>
          <w:lang w:val="en-US"/>
        </w:rPr>
        <w:t>was conducted</w:t>
      </w:r>
      <w:r w:rsidRPr="008076E8">
        <w:rPr>
          <w:b/>
          <w:bCs/>
          <w:sz w:val="22"/>
          <w:szCs w:val="22"/>
          <w:lang w:val="en-US"/>
        </w:rPr>
        <w:t xml:space="preserve"> </w:t>
      </w:r>
      <w:r w:rsidRPr="008076E8">
        <w:rPr>
          <w:sz w:val="22"/>
          <w:szCs w:val="22"/>
          <w:lang w:val="en-US"/>
        </w:rPr>
        <w:t xml:space="preserve">to determine psychologic effect of COVID-19 outbreak </w:t>
      </w:r>
      <w:r w:rsidR="004F4213" w:rsidRPr="008076E8">
        <w:rPr>
          <w:sz w:val="22"/>
          <w:szCs w:val="22"/>
          <w:lang w:val="en-US"/>
        </w:rPr>
        <w:t xml:space="preserve">on </w:t>
      </w:r>
      <w:r w:rsidR="00670371" w:rsidRPr="008076E8">
        <w:rPr>
          <w:sz w:val="22"/>
          <w:szCs w:val="22"/>
          <w:lang w:val="en-US"/>
        </w:rPr>
        <w:t xml:space="preserve">and </w:t>
      </w:r>
      <w:r w:rsidR="004F4213" w:rsidRPr="008076E8">
        <w:rPr>
          <w:sz w:val="22"/>
          <w:szCs w:val="22"/>
          <w:lang w:val="en-US"/>
        </w:rPr>
        <w:t xml:space="preserve">burnout level among </w:t>
      </w:r>
      <w:r w:rsidRPr="008076E8">
        <w:rPr>
          <w:sz w:val="22"/>
          <w:szCs w:val="22"/>
          <w:lang w:val="en-US"/>
        </w:rPr>
        <w:t xml:space="preserve">HCWs of </w:t>
      </w:r>
      <w:r w:rsidRPr="008076E8">
        <w:rPr>
          <w:sz w:val="22"/>
          <w:szCs w:val="22"/>
          <w:highlight w:val="yellow"/>
          <w:lang w:val="en-US"/>
        </w:rPr>
        <w:t>Pediatric Clinic</w:t>
      </w:r>
      <w:r w:rsidRPr="008076E8">
        <w:rPr>
          <w:sz w:val="22"/>
          <w:szCs w:val="22"/>
          <w:lang w:val="en-US"/>
        </w:rPr>
        <w:t xml:space="preserve"> </w:t>
      </w:r>
      <w:r w:rsidR="00064291" w:rsidRPr="008076E8">
        <w:rPr>
          <w:sz w:val="22"/>
          <w:szCs w:val="22"/>
          <w:lang w:val="en-US"/>
        </w:rPr>
        <w:t>while entering normalization process of pandemic</w:t>
      </w:r>
      <w:r w:rsidR="00165ACA" w:rsidRPr="008076E8">
        <w:rPr>
          <w:sz w:val="22"/>
          <w:szCs w:val="22"/>
          <w:lang w:val="en-US"/>
        </w:rPr>
        <w:t>.</w:t>
      </w:r>
    </w:p>
    <w:p w14:paraId="618BAE64" w14:textId="115D9915" w:rsidR="00D20659" w:rsidRPr="008076E8" w:rsidRDefault="00D20659" w:rsidP="008076E8">
      <w:pPr>
        <w:spacing w:before="100" w:beforeAutospacing="1" w:after="100" w:afterAutospacing="1" w:line="480" w:lineRule="auto"/>
        <w:jc w:val="both"/>
        <w:rPr>
          <w:sz w:val="22"/>
          <w:szCs w:val="22"/>
          <w:lang w:val="en-US"/>
        </w:rPr>
      </w:pPr>
      <w:r w:rsidRPr="008076E8">
        <w:rPr>
          <w:b/>
          <w:bCs/>
          <w:sz w:val="22"/>
          <w:szCs w:val="22"/>
          <w:lang w:val="en-US"/>
        </w:rPr>
        <w:t xml:space="preserve">Methods: </w:t>
      </w:r>
      <w:r w:rsidRPr="008076E8">
        <w:rPr>
          <w:sz w:val="22"/>
          <w:szCs w:val="22"/>
          <w:lang w:val="en-US"/>
        </w:rPr>
        <w:t>Th</w:t>
      </w:r>
      <w:r w:rsidR="007B1541" w:rsidRPr="008076E8">
        <w:rPr>
          <w:sz w:val="22"/>
          <w:szCs w:val="22"/>
          <w:lang w:val="en-US"/>
        </w:rPr>
        <w:t>is</w:t>
      </w:r>
      <w:r w:rsidRPr="008076E8">
        <w:rPr>
          <w:sz w:val="22"/>
          <w:szCs w:val="22"/>
          <w:lang w:val="en-US"/>
        </w:rPr>
        <w:t xml:space="preserve"> cross-sectional study was carried out between June 10, 2020 and June 15, 2020 with participation of 261 HCWs. Questionnaire about d</w:t>
      </w:r>
      <w:r w:rsidRPr="008076E8">
        <w:rPr>
          <w:color w:val="000000" w:themeColor="text1"/>
          <w:sz w:val="22"/>
          <w:szCs w:val="22"/>
          <w:lang w:val="en-US"/>
        </w:rPr>
        <w:t xml:space="preserve">emographic data, </w:t>
      </w:r>
      <w:r w:rsidRPr="008076E8">
        <w:rPr>
          <w:sz w:val="22"/>
          <w:szCs w:val="22"/>
          <w:lang w:val="en-US"/>
        </w:rPr>
        <w:t>Depression Anxiety Stress Scale-21 (DASS-21), Acceptance and Action Questionnaire-II (AAQ-II), Maslach Burnout Inventory (</w:t>
      </w:r>
      <w:r w:rsidRPr="008076E8">
        <w:rPr>
          <w:sz w:val="22"/>
          <w:szCs w:val="22"/>
          <w:highlight w:val="yellow"/>
          <w:lang w:val="en-US"/>
        </w:rPr>
        <w:t>MB</w:t>
      </w:r>
      <w:r w:rsidR="00511BB0" w:rsidRPr="008076E8">
        <w:rPr>
          <w:sz w:val="22"/>
          <w:szCs w:val="22"/>
          <w:highlight w:val="yellow"/>
          <w:lang w:val="en-US"/>
        </w:rPr>
        <w:t>I</w:t>
      </w:r>
      <w:r w:rsidRPr="008076E8">
        <w:rPr>
          <w:sz w:val="22"/>
          <w:szCs w:val="22"/>
          <w:highlight w:val="yellow"/>
          <w:lang w:val="en-US"/>
        </w:rPr>
        <w:t>)</w:t>
      </w:r>
      <w:r w:rsidRPr="008076E8">
        <w:rPr>
          <w:color w:val="000000" w:themeColor="text1"/>
          <w:sz w:val="22"/>
          <w:szCs w:val="22"/>
          <w:lang w:val="en-US"/>
        </w:rPr>
        <w:t xml:space="preserve"> were self-reported by the participants</w:t>
      </w:r>
      <w:r w:rsidRPr="008076E8">
        <w:rPr>
          <w:sz w:val="22"/>
          <w:szCs w:val="22"/>
          <w:lang w:val="en-US"/>
        </w:rPr>
        <w:t xml:space="preserve">. </w:t>
      </w:r>
    </w:p>
    <w:p w14:paraId="46AE2C3D" w14:textId="278970D9" w:rsidR="00D20659" w:rsidRPr="008076E8" w:rsidRDefault="00D20659" w:rsidP="008076E8">
      <w:pPr>
        <w:spacing w:line="480" w:lineRule="auto"/>
        <w:jc w:val="both"/>
        <w:rPr>
          <w:color w:val="000000" w:themeColor="text1"/>
          <w:sz w:val="22"/>
          <w:szCs w:val="22"/>
          <w:lang w:val="en-US"/>
        </w:rPr>
      </w:pPr>
      <w:r w:rsidRPr="008076E8">
        <w:rPr>
          <w:b/>
          <w:bCs/>
          <w:sz w:val="22"/>
          <w:szCs w:val="22"/>
          <w:lang w:val="en-US"/>
        </w:rPr>
        <w:t>Results:</w:t>
      </w:r>
      <w:r w:rsidRPr="008076E8">
        <w:rPr>
          <w:sz w:val="22"/>
          <w:szCs w:val="22"/>
          <w:lang w:val="en-US"/>
        </w:rPr>
        <w:t xml:space="preserve"> The mean age of participants was 29±9,88 years, 78.9% of them was female, 33% were physicians, 40.2% were nurses. </w:t>
      </w:r>
      <w:r w:rsidR="00552857" w:rsidRPr="008076E8">
        <w:rPr>
          <w:sz w:val="22"/>
          <w:szCs w:val="22"/>
          <w:lang w:val="en-US"/>
        </w:rPr>
        <w:t>In general, p</w:t>
      </w:r>
      <w:r w:rsidRPr="008076E8">
        <w:rPr>
          <w:sz w:val="22"/>
          <w:szCs w:val="22"/>
          <w:lang w:val="en-US"/>
        </w:rPr>
        <w:t>sychological outcomes of</w:t>
      </w:r>
      <w:r w:rsidR="00552857" w:rsidRPr="008076E8">
        <w:rPr>
          <w:sz w:val="22"/>
          <w:szCs w:val="22"/>
          <w:lang w:val="en-US"/>
        </w:rPr>
        <w:t xml:space="preserve"> the</w:t>
      </w:r>
      <w:r w:rsidRPr="008076E8">
        <w:rPr>
          <w:sz w:val="22"/>
          <w:szCs w:val="22"/>
          <w:lang w:val="en-US"/>
        </w:rPr>
        <w:t xml:space="preserve"> participations were </w:t>
      </w:r>
      <w:r w:rsidR="00552857" w:rsidRPr="008076E8">
        <w:rPr>
          <w:sz w:val="22"/>
          <w:szCs w:val="22"/>
          <w:lang w:val="en-US"/>
        </w:rPr>
        <w:t xml:space="preserve">determined as </w:t>
      </w:r>
      <w:r w:rsidRPr="008076E8">
        <w:rPr>
          <w:sz w:val="22"/>
          <w:szCs w:val="22"/>
          <w:highlight w:val="yellow"/>
          <w:lang w:val="en-US"/>
        </w:rPr>
        <w:t>depressi</w:t>
      </w:r>
      <w:r w:rsidR="007744FD" w:rsidRPr="008076E8">
        <w:rPr>
          <w:sz w:val="22"/>
          <w:szCs w:val="22"/>
          <w:highlight w:val="yellow"/>
          <w:lang w:val="en-US"/>
        </w:rPr>
        <w:t>ve symptoms</w:t>
      </w:r>
      <w:r w:rsidRPr="008076E8">
        <w:rPr>
          <w:sz w:val="22"/>
          <w:szCs w:val="22"/>
          <w:lang w:val="en-US"/>
        </w:rPr>
        <w:t xml:space="preserve"> in 143 (54.8%), anxiety in 129 (49.4%), </w:t>
      </w:r>
      <w:r w:rsidR="00552857" w:rsidRPr="008076E8">
        <w:rPr>
          <w:sz w:val="22"/>
          <w:szCs w:val="22"/>
          <w:lang w:val="en-US"/>
        </w:rPr>
        <w:t xml:space="preserve">and </w:t>
      </w:r>
      <w:r w:rsidRPr="008076E8">
        <w:rPr>
          <w:sz w:val="22"/>
          <w:szCs w:val="22"/>
          <w:lang w:val="en-US"/>
        </w:rPr>
        <w:t>stress in 87 (33.3%). Being female, having direct contact with COV</w:t>
      </w:r>
      <w:r w:rsidR="00906D84" w:rsidRPr="008076E8">
        <w:rPr>
          <w:sz w:val="22"/>
          <w:szCs w:val="22"/>
          <w:lang w:val="en-US"/>
        </w:rPr>
        <w:t>I</w:t>
      </w:r>
      <w:r w:rsidRPr="008076E8">
        <w:rPr>
          <w:sz w:val="22"/>
          <w:szCs w:val="22"/>
          <w:lang w:val="en-US"/>
        </w:rPr>
        <w:t>D-19</w:t>
      </w:r>
      <w:r w:rsidR="004F4213" w:rsidRPr="008076E8">
        <w:rPr>
          <w:sz w:val="22"/>
          <w:szCs w:val="22"/>
          <w:lang w:val="en-US"/>
        </w:rPr>
        <w:t xml:space="preserve"> patients</w:t>
      </w:r>
      <w:r w:rsidRPr="008076E8">
        <w:rPr>
          <w:sz w:val="22"/>
          <w:szCs w:val="22"/>
          <w:lang w:val="en-US"/>
        </w:rPr>
        <w:t xml:space="preserve"> increased the risk for anxiety, depression, stress, and</w:t>
      </w:r>
      <w:r w:rsidR="0075334F" w:rsidRPr="008076E8">
        <w:rPr>
          <w:sz w:val="22"/>
          <w:szCs w:val="22"/>
          <w:lang w:val="en-US"/>
        </w:rPr>
        <w:t xml:space="preserve"> </w:t>
      </w:r>
      <w:r w:rsidRPr="008076E8">
        <w:rPr>
          <w:sz w:val="22"/>
          <w:szCs w:val="22"/>
          <w:lang w:val="en-US"/>
        </w:rPr>
        <w:t xml:space="preserve">psychological inflexibility. Younger age, less work experience, and </w:t>
      </w:r>
      <w:r w:rsidR="00670371" w:rsidRPr="008076E8">
        <w:rPr>
          <w:sz w:val="22"/>
          <w:szCs w:val="22"/>
          <w:lang w:val="en-US"/>
        </w:rPr>
        <w:t xml:space="preserve">longer </w:t>
      </w:r>
      <w:r w:rsidRPr="008076E8">
        <w:rPr>
          <w:color w:val="000000" w:themeColor="text1"/>
          <w:sz w:val="22"/>
          <w:szCs w:val="22"/>
          <w:lang w:val="en-US"/>
        </w:rPr>
        <w:t xml:space="preserve">working hours had </w:t>
      </w:r>
      <w:r w:rsidRPr="008076E8">
        <w:rPr>
          <w:sz w:val="22"/>
          <w:szCs w:val="22"/>
          <w:lang w:val="en-US"/>
        </w:rPr>
        <w:t xml:space="preserve">a significant correlation </w:t>
      </w:r>
      <w:r w:rsidRPr="008076E8">
        <w:rPr>
          <w:color w:val="000000" w:themeColor="text1"/>
          <w:sz w:val="22"/>
          <w:szCs w:val="22"/>
          <w:lang w:val="en-US"/>
        </w:rPr>
        <w:t xml:space="preserve">with burnout </w:t>
      </w:r>
      <w:r w:rsidR="00670371" w:rsidRPr="008076E8">
        <w:rPr>
          <w:color w:val="000000" w:themeColor="text1"/>
          <w:sz w:val="22"/>
          <w:szCs w:val="22"/>
          <w:lang w:val="en-US"/>
        </w:rPr>
        <w:t xml:space="preserve">as well as a its significant </w:t>
      </w:r>
      <w:r w:rsidRPr="008076E8">
        <w:rPr>
          <w:color w:val="000000" w:themeColor="text1"/>
          <w:sz w:val="22"/>
          <w:szCs w:val="22"/>
          <w:lang w:val="en-US"/>
        </w:rPr>
        <w:t xml:space="preserve">correlation with depression, anxiety, stress, psychological inflexibility. </w:t>
      </w:r>
      <w:r w:rsidR="004F4213" w:rsidRPr="008076E8">
        <w:rPr>
          <w:color w:val="000000" w:themeColor="text1"/>
          <w:sz w:val="22"/>
          <w:szCs w:val="22"/>
          <w:lang w:val="en-US"/>
        </w:rPr>
        <w:t xml:space="preserve">In multiple regression analysis </w:t>
      </w:r>
      <w:r w:rsidR="004F4213" w:rsidRPr="008076E8">
        <w:rPr>
          <w:color w:val="000000" w:themeColor="text1"/>
          <w:sz w:val="22"/>
          <w:szCs w:val="22"/>
          <w:highlight w:val="yellow"/>
          <w:lang w:val="en-US"/>
        </w:rPr>
        <w:t>p</w:t>
      </w:r>
      <w:r w:rsidR="0075334F" w:rsidRPr="008076E8">
        <w:rPr>
          <w:color w:val="000000" w:themeColor="text1"/>
          <w:sz w:val="22"/>
          <w:szCs w:val="22"/>
          <w:highlight w:val="yellow"/>
          <w:lang w:val="en-US"/>
        </w:rPr>
        <w:t>sychological inflexibility, stress levels and working hour</w:t>
      </w:r>
      <w:r w:rsidR="00670371" w:rsidRPr="008076E8">
        <w:rPr>
          <w:color w:val="000000" w:themeColor="text1"/>
          <w:sz w:val="22"/>
          <w:szCs w:val="22"/>
          <w:highlight w:val="yellow"/>
          <w:lang w:val="en-US"/>
        </w:rPr>
        <w:t>s</w:t>
      </w:r>
      <w:r w:rsidR="0075334F" w:rsidRPr="008076E8">
        <w:rPr>
          <w:color w:val="000000" w:themeColor="text1"/>
          <w:sz w:val="22"/>
          <w:szCs w:val="22"/>
          <w:highlight w:val="yellow"/>
          <w:lang w:val="en-US"/>
        </w:rPr>
        <w:t xml:space="preserve"> show</w:t>
      </w:r>
      <w:r w:rsidR="00670371" w:rsidRPr="008076E8">
        <w:rPr>
          <w:color w:val="000000" w:themeColor="text1"/>
          <w:sz w:val="22"/>
          <w:szCs w:val="22"/>
          <w:highlight w:val="yellow"/>
          <w:lang w:val="en-US"/>
        </w:rPr>
        <w:t>ed</w:t>
      </w:r>
      <w:r w:rsidR="0075334F" w:rsidRPr="008076E8">
        <w:rPr>
          <w:color w:val="000000" w:themeColor="text1"/>
          <w:sz w:val="22"/>
          <w:szCs w:val="22"/>
          <w:highlight w:val="yellow"/>
          <w:lang w:val="en-US"/>
        </w:rPr>
        <w:t xml:space="preserve"> significant predictive effect on burnout</w:t>
      </w:r>
      <w:r w:rsidR="004F4213" w:rsidRPr="008076E8">
        <w:rPr>
          <w:color w:val="000000" w:themeColor="text1"/>
          <w:sz w:val="22"/>
          <w:szCs w:val="22"/>
          <w:highlight w:val="yellow"/>
          <w:lang w:val="en-US"/>
        </w:rPr>
        <w:t>.</w:t>
      </w:r>
      <w:r w:rsidR="0075334F" w:rsidRPr="008076E8">
        <w:rPr>
          <w:color w:val="000000" w:themeColor="text1"/>
          <w:sz w:val="22"/>
          <w:szCs w:val="22"/>
          <w:highlight w:val="yellow"/>
          <w:lang w:val="en-US"/>
        </w:rPr>
        <w:t xml:space="preserve"> </w:t>
      </w:r>
      <w:r w:rsidR="00670371" w:rsidRPr="008076E8">
        <w:rPr>
          <w:color w:val="000000" w:themeColor="text1"/>
          <w:sz w:val="22"/>
          <w:szCs w:val="22"/>
          <w:lang w:val="en-US"/>
        </w:rPr>
        <w:t>And also, p</w:t>
      </w:r>
      <w:r w:rsidRPr="008076E8">
        <w:rPr>
          <w:color w:val="000000" w:themeColor="text1"/>
          <w:sz w:val="22"/>
          <w:szCs w:val="22"/>
          <w:lang w:val="en-US"/>
        </w:rPr>
        <w:t xml:space="preserve">redictive effects of psychological parameters on burnout were found more stronger than the environmental parameters. </w:t>
      </w:r>
    </w:p>
    <w:p w14:paraId="3042CB7D" w14:textId="2ABBD923" w:rsidR="006F3D96" w:rsidRPr="008076E8" w:rsidRDefault="00D20659" w:rsidP="008076E8">
      <w:pPr>
        <w:pStyle w:val="NormalWeb"/>
        <w:spacing w:line="480" w:lineRule="auto"/>
        <w:jc w:val="both"/>
        <w:rPr>
          <w:sz w:val="22"/>
          <w:szCs w:val="22"/>
          <w:lang w:val="en-US"/>
        </w:rPr>
      </w:pPr>
      <w:r w:rsidRPr="008076E8">
        <w:rPr>
          <w:b/>
          <w:bCs/>
          <w:sz w:val="22"/>
          <w:szCs w:val="22"/>
          <w:lang w:val="en-US"/>
        </w:rPr>
        <w:t xml:space="preserve">Conclusions: </w:t>
      </w:r>
      <w:r w:rsidR="00EA496F" w:rsidRPr="008076E8">
        <w:rPr>
          <w:color w:val="000000" w:themeColor="text1"/>
          <w:sz w:val="22"/>
          <w:szCs w:val="22"/>
          <w:highlight w:val="yellow"/>
          <w:lang w:val="en-US"/>
        </w:rPr>
        <w:t xml:space="preserve">Psychological factors showed a stronger relationship with burnout scores compared to environmental factors. </w:t>
      </w:r>
      <w:r w:rsidR="00C32809" w:rsidRPr="008076E8">
        <w:rPr>
          <w:color w:val="000000" w:themeColor="text1"/>
          <w:sz w:val="22"/>
          <w:szCs w:val="22"/>
          <w:highlight w:val="yellow"/>
          <w:lang w:val="en-US"/>
        </w:rPr>
        <w:t>Even so</w:t>
      </w:r>
      <w:r w:rsidR="004B768E" w:rsidRPr="008076E8">
        <w:rPr>
          <w:color w:val="000000" w:themeColor="text1"/>
          <w:sz w:val="22"/>
          <w:szCs w:val="22"/>
          <w:highlight w:val="yellow"/>
          <w:lang w:val="en-US"/>
        </w:rPr>
        <w:t>,</w:t>
      </w:r>
      <w:r w:rsidR="00C32809" w:rsidRPr="008076E8">
        <w:rPr>
          <w:color w:val="000000" w:themeColor="text1"/>
          <w:sz w:val="22"/>
          <w:szCs w:val="22"/>
          <w:lang w:val="en-US"/>
        </w:rPr>
        <w:t xml:space="preserve"> o</w:t>
      </w:r>
      <w:r w:rsidR="00EA496F" w:rsidRPr="008076E8">
        <w:rPr>
          <w:sz w:val="22"/>
          <w:szCs w:val="22"/>
          <w:lang w:val="en-US"/>
        </w:rPr>
        <w:t xml:space="preserve">rganizational strategies like limiting working hours, </w:t>
      </w:r>
      <w:r w:rsidR="00C32809" w:rsidRPr="008076E8">
        <w:rPr>
          <w:sz w:val="22"/>
          <w:szCs w:val="22"/>
          <w:lang w:val="en-US"/>
        </w:rPr>
        <w:t>and doing a</w:t>
      </w:r>
      <w:r w:rsidR="00EA496F" w:rsidRPr="008076E8">
        <w:rPr>
          <w:sz w:val="22"/>
          <w:szCs w:val="22"/>
          <w:lang w:val="en-US"/>
        </w:rPr>
        <w:t xml:space="preserve"> fair shift</w:t>
      </w:r>
      <w:r w:rsidR="00C32809" w:rsidRPr="008076E8">
        <w:rPr>
          <w:sz w:val="22"/>
          <w:szCs w:val="22"/>
          <w:lang w:val="en-US"/>
        </w:rPr>
        <w:t xml:space="preserve"> for</w:t>
      </w:r>
      <w:r w:rsidR="00EA496F" w:rsidRPr="008076E8">
        <w:rPr>
          <w:sz w:val="22"/>
          <w:szCs w:val="22"/>
          <w:lang w:val="en-US"/>
        </w:rPr>
        <w:t xml:space="preserve"> HCWs </w:t>
      </w:r>
      <w:r w:rsidR="00C32809" w:rsidRPr="008076E8">
        <w:rPr>
          <w:sz w:val="22"/>
          <w:szCs w:val="22"/>
          <w:lang w:val="en-US"/>
        </w:rPr>
        <w:t xml:space="preserve">who work on the front line and </w:t>
      </w:r>
      <w:r w:rsidR="004B768E" w:rsidRPr="008076E8">
        <w:rPr>
          <w:sz w:val="22"/>
          <w:szCs w:val="22"/>
          <w:lang w:val="en-US"/>
        </w:rPr>
        <w:t>have</w:t>
      </w:r>
      <w:r w:rsidR="00C32809" w:rsidRPr="008076E8">
        <w:rPr>
          <w:sz w:val="22"/>
          <w:szCs w:val="22"/>
          <w:lang w:val="en-US"/>
        </w:rPr>
        <w:t xml:space="preserve"> direct contact with COVID-19 patients </w:t>
      </w:r>
      <w:r w:rsidR="00EA496F" w:rsidRPr="008076E8">
        <w:rPr>
          <w:sz w:val="22"/>
          <w:szCs w:val="22"/>
          <w:lang w:val="en-US"/>
        </w:rPr>
        <w:t>will help to reduce the psychological pressure</w:t>
      </w:r>
      <w:r w:rsidR="004B768E" w:rsidRPr="008076E8">
        <w:rPr>
          <w:sz w:val="22"/>
          <w:szCs w:val="22"/>
          <w:lang w:val="en-US"/>
        </w:rPr>
        <w:t xml:space="preserve"> on </w:t>
      </w:r>
      <w:r w:rsidR="009A3CA5" w:rsidRPr="008076E8">
        <w:rPr>
          <w:sz w:val="22"/>
          <w:szCs w:val="22"/>
          <w:lang w:val="en-US"/>
        </w:rPr>
        <w:t>HCWs</w:t>
      </w:r>
      <w:r w:rsidR="00EA496F" w:rsidRPr="008076E8">
        <w:rPr>
          <w:sz w:val="22"/>
          <w:szCs w:val="22"/>
          <w:lang w:val="en-US"/>
        </w:rPr>
        <w:t>.</w:t>
      </w:r>
      <w:r w:rsidRPr="008076E8">
        <w:rPr>
          <w:sz w:val="22"/>
          <w:szCs w:val="22"/>
          <w:lang w:val="en-US"/>
        </w:rPr>
        <w:t xml:space="preserve"> </w:t>
      </w:r>
    </w:p>
    <w:p w14:paraId="18450C45" w14:textId="33ADDEA2" w:rsidR="006F3D96" w:rsidRPr="008076E8" w:rsidRDefault="00D20659" w:rsidP="008076E8">
      <w:pPr>
        <w:pStyle w:val="NormalWeb"/>
        <w:spacing w:line="480" w:lineRule="auto"/>
        <w:jc w:val="both"/>
        <w:rPr>
          <w:sz w:val="22"/>
          <w:szCs w:val="22"/>
          <w:lang w:val="en-US"/>
        </w:rPr>
      </w:pPr>
      <w:r w:rsidRPr="008076E8">
        <w:rPr>
          <w:b/>
          <w:bCs/>
          <w:sz w:val="22"/>
          <w:szCs w:val="22"/>
          <w:lang w:val="en-US"/>
        </w:rPr>
        <w:t xml:space="preserve">Key words: </w:t>
      </w:r>
      <w:r w:rsidRPr="008076E8">
        <w:rPr>
          <w:color w:val="000000" w:themeColor="text1"/>
          <w:sz w:val="22"/>
          <w:szCs w:val="22"/>
          <w:lang w:val="en-US"/>
        </w:rPr>
        <w:t>COVID-19,</w:t>
      </w:r>
      <w:r w:rsidRPr="008076E8">
        <w:rPr>
          <w:b/>
          <w:bCs/>
          <w:sz w:val="22"/>
          <w:szCs w:val="22"/>
          <w:lang w:val="en-US"/>
        </w:rPr>
        <w:t xml:space="preserve"> </w:t>
      </w:r>
      <w:r w:rsidRPr="008076E8">
        <w:rPr>
          <w:sz w:val="22"/>
          <w:szCs w:val="22"/>
          <w:lang w:val="en-US"/>
        </w:rPr>
        <w:t>Psychology, Anxiety, Healthcare Workers</w:t>
      </w:r>
    </w:p>
    <w:p w14:paraId="267CEFED" w14:textId="77777777" w:rsidR="00523EB5" w:rsidRPr="008076E8" w:rsidRDefault="00523EB5" w:rsidP="008076E8">
      <w:pPr>
        <w:spacing w:line="480" w:lineRule="auto"/>
        <w:jc w:val="both"/>
        <w:rPr>
          <w:b/>
          <w:bCs/>
          <w:sz w:val="22"/>
          <w:szCs w:val="22"/>
        </w:rPr>
      </w:pPr>
      <w:r w:rsidRPr="008076E8">
        <w:rPr>
          <w:b/>
          <w:bCs/>
          <w:sz w:val="22"/>
          <w:szCs w:val="22"/>
        </w:rPr>
        <w:lastRenderedPageBreak/>
        <w:t xml:space="preserve">COVID-19 </w:t>
      </w:r>
      <w:proofErr w:type="spellStart"/>
      <w:r w:rsidRPr="008076E8">
        <w:rPr>
          <w:b/>
          <w:bCs/>
          <w:sz w:val="22"/>
          <w:szCs w:val="22"/>
        </w:rPr>
        <w:t>Pandemisinden</w:t>
      </w:r>
      <w:proofErr w:type="spellEnd"/>
      <w:r w:rsidRPr="008076E8">
        <w:rPr>
          <w:b/>
          <w:bCs/>
          <w:sz w:val="22"/>
          <w:szCs w:val="22"/>
        </w:rPr>
        <w:t xml:space="preserve"> 3 Ay Sonra Çocuk </w:t>
      </w:r>
      <w:r w:rsidRPr="008076E8">
        <w:rPr>
          <w:b/>
          <w:bCs/>
          <w:sz w:val="22"/>
          <w:szCs w:val="22"/>
          <w:highlight w:val="yellow"/>
        </w:rPr>
        <w:t>Sağlığı ve Hastalıkları</w:t>
      </w:r>
      <w:r w:rsidRPr="008076E8">
        <w:rPr>
          <w:b/>
          <w:bCs/>
          <w:sz w:val="22"/>
          <w:szCs w:val="22"/>
        </w:rPr>
        <w:t xml:space="preserve"> Kliniğinde Çalışan Sağlık Personelleri</w:t>
      </w:r>
      <w:r w:rsidRPr="008076E8">
        <w:rPr>
          <w:b/>
          <w:bCs/>
          <w:sz w:val="22"/>
          <w:szCs w:val="22"/>
          <w:highlight w:val="yellow"/>
        </w:rPr>
        <w:t>nde</w:t>
      </w:r>
      <w:r w:rsidRPr="008076E8">
        <w:rPr>
          <w:b/>
          <w:bCs/>
          <w:sz w:val="22"/>
          <w:szCs w:val="22"/>
        </w:rPr>
        <w:t xml:space="preserve"> Tükenmişlik Düzeyi ve Normalleşme Sürecine Psikolojik Hazır Olma Durumu</w:t>
      </w:r>
    </w:p>
    <w:p w14:paraId="220D2000" w14:textId="77777777" w:rsidR="00523EB5" w:rsidRPr="008076E8" w:rsidRDefault="00523EB5" w:rsidP="008076E8">
      <w:pPr>
        <w:spacing w:line="480" w:lineRule="auto"/>
        <w:jc w:val="both"/>
        <w:rPr>
          <w:sz w:val="22"/>
          <w:szCs w:val="22"/>
        </w:rPr>
      </w:pPr>
      <w:r w:rsidRPr="008076E8">
        <w:rPr>
          <w:b/>
          <w:bCs/>
          <w:sz w:val="22"/>
          <w:szCs w:val="22"/>
        </w:rPr>
        <w:t xml:space="preserve">Öz </w:t>
      </w:r>
    </w:p>
    <w:p w14:paraId="6C916814" w14:textId="77777777" w:rsidR="00523EB5" w:rsidRPr="008076E8" w:rsidRDefault="00523EB5" w:rsidP="008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sz w:val="22"/>
          <w:szCs w:val="22"/>
        </w:rPr>
      </w:pPr>
      <w:r w:rsidRPr="008076E8">
        <w:rPr>
          <w:b/>
          <w:bCs/>
          <w:color w:val="222222"/>
          <w:sz w:val="22"/>
          <w:szCs w:val="22"/>
        </w:rPr>
        <w:t>Amaç:</w:t>
      </w:r>
      <w:r w:rsidRPr="008076E8">
        <w:rPr>
          <w:color w:val="222222"/>
          <w:sz w:val="22"/>
          <w:szCs w:val="22"/>
        </w:rPr>
        <w:t xml:space="preserve"> Aralık 2019'dan bu yana, yeni bir korona virüs, SARS-CoV-2 dünya çapında aylar içinde hızla yayıldı ve hem halk hem de sağlık personelleri (SP) arasında stres ve kaygıya neden oldu. Bu çalışma, normalleşme sürecine girerken, COVID-19 salgınının Çocuk </w:t>
      </w:r>
      <w:r w:rsidRPr="008076E8">
        <w:rPr>
          <w:color w:val="222222"/>
          <w:sz w:val="22"/>
          <w:szCs w:val="22"/>
          <w:highlight w:val="yellow"/>
        </w:rPr>
        <w:t>Sağlığı ve Hastalıkları</w:t>
      </w:r>
      <w:r w:rsidRPr="008076E8">
        <w:rPr>
          <w:color w:val="222222"/>
          <w:sz w:val="22"/>
          <w:szCs w:val="22"/>
        </w:rPr>
        <w:t xml:space="preserve"> Kliniğinde çalışan SP üzerindeki psikolojik etkisini ve sebep olduğu tükenmişlik düzeylerini belirlemek amacıyla yapıldı.</w:t>
      </w:r>
    </w:p>
    <w:p w14:paraId="2152BD6E" w14:textId="77777777" w:rsidR="00523EB5" w:rsidRPr="008076E8" w:rsidRDefault="00523EB5" w:rsidP="008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sz w:val="22"/>
          <w:szCs w:val="22"/>
        </w:rPr>
      </w:pPr>
      <w:r w:rsidRPr="008076E8">
        <w:rPr>
          <w:b/>
          <w:bCs/>
          <w:color w:val="222222"/>
          <w:sz w:val="22"/>
          <w:szCs w:val="22"/>
        </w:rPr>
        <w:t>Yöntem:</w:t>
      </w:r>
      <w:r w:rsidRPr="008076E8">
        <w:rPr>
          <w:color w:val="222222"/>
          <w:sz w:val="22"/>
          <w:szCs w:val="22"/>
        </w:rPr>
        <w:t xml:space="preserve"> Bu </w:t>
      </w:r>
      <w:proofErr w:type="spellStart"/>
      <w:r w:rsidRPr="008076E8">
        <w:rPr>
          <w:color w:val="222222"/>
          <w:sz w:val="22"/>
          <w:szCs w:val="22"/>
        </w:rPr>
        <w:t>kesitsel</w:t>
      </w:r>
      <w:proofErr w:type="spellEnd"/>
      <w:r w:rsidRPr="008076E8">
        <w:rPr>
          <w:color w:val="222222"/>
          <w:sz w:val="22"/>
          <w:szCs w:val="22"/>
        </w:rPr>
        <w:t xml:space="preserve"> çalışma, 261 sağlık çalışanının katılımıyla 10 Haziran 2020 ve 15 Haziran 2020 tarihleri ​​arasında gerçekleştirildi. Demografik verilerle ilgili anket, Depresyon </w:t>
      </w:r>
      <w:proofErr w:type="spellStart"/>
      <w:r w:rsidRPr="008076E8">
        <w:rPr>
          <w:color w:val="222222"/>
          <w:sz w:val="22"/>
          <w:szCs w:val="22"/>
        </w:rPr>
        <w:t>Anksiyete</w:t>
      </w:r>
      <w:proofErr w:type="spellEnd"/>
      <w:r w:rsidRPr="008076E8">
        <w:rPr>
          <w:color w:val="222222"/>
          <w:sz w:val="22"/>
          <w:szCs w:val="22"/>
        </w:rPr>
        <w:t xml:space="preserve"> Stres Ölçeği-21 (DASS-21), Kabul ve Eylem Anketi-II (AAQ-II), </w:t>
      </w:r>
      <w:proofErr w:type="spellStart"/>
      <w:r w:rsidRPr="008076E8">
        <w:rPr>
          <w:color w:val="222222"/>
          <w:sz w:val="22"/>
          <w:szCs w:val="22"/>
        </w:rPr>
        <w:t>Maslach</w:t>
      </w:r>
      <w:proofErr w:type="spellEnd"/>
      <w:r w:rsidRPr="008076E8">
        <w:rPr>
          <w:color w:val="222222"/>
          <w:sz w:val="22"/>
          <w:szCs w:val="22"/>
        </w:rPr>
        <w:t xml:space="preserve"> Tükenmişlik Envanteri (MIB) katılımcılar tarafından doldurdu. </w:t>
      </w:r>
    </w:p>
    <w:p w14:paraId="7E39E9AB" w14:textId="77777777" w:rsidR="00523EB5" w:rsidRPr="008076E8" w:rsidRDefault="00523EB5" w:rsidP="008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sz w:val="22"/>
          <w:szCs w:val="22"/>
        </w:rPr>
      </w:pPr>
      <w:r w:rsidRPr="008076E8">
        <w:rPr>
          <w:b/>
          <w:bCs/>
          <w:color w:val="222222"/>
          <w:sz w:val="22"/>
          <w:szCs w:val="22"/>
        </w:rPr>
        <w:t>Bulgular:</w:t>
      </w:r>
      <w:r w:rsidRPr="008076E8">
        <w:rPr>
          <w:color w:val="222222"/>
          <w:sz w:val="22"/>
          <w:szCs w:val="22"/>
        </w:rPr>
        <w:t xml:space="preserve"> Katılımcıların yaş ortalaması 29 ± 9,88 yıl, %78,9'u kadın, %33'ü hekim, %40,2'si hemşire idi. Genel psikolojik sonuçlar 143'ünde (%54,8) </w:t>
      </w:r>
      <w:r w:rsidRPr="008076E8">
        <w:rPr>
          <w:color w:val="222222"/>
          <w:sz w:val="22"/>
          <w:szCs w:val="22"/>
          <w:highlight w:val="yellow"/>
        </w:rPr>
        <w:t>depresyon belirtileri</w:t>
      </w:r>
      <w:r w:rsidRPr="008076E8">
        <w:rPr>
          <w:color w:val="222222"/>
          <w:sz w:val="22"/>
          <w:szCs w:val="22"/>
        </w:rPr>
        <w:t xml:space="preserve">, 129'unda (%49,4) </w:t>
      </w:r>
      <w:proofErr w:type="spellStart"/>
      <w:r w:rsidRPr="008076E8">
        <w:rPr>
          <w:color w:val="222222"/>
          <w:sz w:val="22"/>
          <w:szCs w:val="22"/>
        </w:rPr>
        <w:t>anksiyete</w:t>
      </w:r>
      <w:proofErr w:type="spellEnd"/>
      <w:r w:rsidRPr="008076E8">
        <w:rPr>
          <w:color w:val="222222"/>
          <w:sz w:val="22"/>
          <w:szCs w:val="22"/>
        </w:rPr>
        <w:t xml:space="preserve">, 87'sinde (%33,3) stres şeklinde belirlendi. Kadın olma ve COVİD-19 tanılı hasta ile doğrudan temasta bulunmanın </w:t>
      </w:r>
      <w:proofErr w:type="spellStart"/>
      <w:r w:rsidRPr="008076E8">
        <w:rPr>
          <w:color w:val="222222"/>
          <w:sz w:val="22"/>
          <w:szCs w:val="22"/>
        </w:rPr>
        <w:t>anksiyete</w:t>
      </w:r>
      <w:proofErr w:type="spellEnd"/>
      <w:r w:rsidRPr="008076E8">
        <w:rPr>
          <w:color w:val="222222"/>
          <w:sz w:val="22"/>
          <w:szCs w:val="22"/>
        </w:rPr>
        <w:t xml:space="preserve">, depresyon, stres ve psikolojik esneklik için riski artırdığı görüldü. Daha genç olma, iş deneyiminin az olması ve uzun saatler çalışmanın depresyon, </w:t>
      </w:r>
      <w:proofErr w:type="spellStart"/>
      <w:r w:rsidRPr="008076E8">
        <w:rPr>
          <w:color w:val="222222"/>
          <w:sz w:val="22"/>
          <w:szCs w:val="22"/>
        </w:rPr>
        <w:t>anksiyete</w:t>
      </w:r>
      <w:proofErr w:type="spellEnd"/>
      <w:r w:rsidRPr="008076E8">
        <w:rPr>
          <w:color w:val="222222"/>
          <w:sz w:val="22"/>
          <w:szCs w:val="22"/>
        </w:rPr>
        <w:t xml:space="preserve">, stres, psikolojik esneklik kaybı ile olduğu gibi, tükenmişlik ile de ilişkisi vardı. </w:t>
      </w:r>
      <w:r w:rsidRPr="008076E8">
        <w:rPr>
          <w:color w:val="222222"/>
          <w:sz w:val="22"/>
          <w:szCs w:val="22"/>
          <w:highlight w:val="yellow"/>
        </w:rPr>
        <w:t xml:space="preserve">Regresyon analizinde psikolojik esneklik, </w:t>
      </w:r>
      <w:proofErr w:type="spellStart"/>
      <w:r w:rsidRPr="008076E8">
        <w:rPr>
          <w:color w:val="222222"/>
          <w:sz w:val="22"/>
          <w:szCs w:val="22"/>
          <w:highlight w:val="yellow"/>
        </w:rPr>
        <w:t>stress</w:t>
      </w:r>
      <w:proofErr w:type="spellEnd"/>
      <w:r w:rsidRPr="008076E8">
        <w:rPr>
          <w:color w:val="222222"/>
          <w:sz w:val="22"/>
          <w:szCs w:val="22"/>
          <w:highlight w:val="yellow"/>
        </w:rPr>
        <w:t xml:space="preserve"> </w:t>
      </w:r>
      <w:proofErr w:type="spellStart"/>
      <w:r w:rsidRPr="008076E8">
        <w:rPr>
          <w:color w:val="222222"/>
          <w:sz w:val="22"/>
          <w:szCs w:val="22"/>
          <w:highlight w:val="yellow"/>
        </w:rPr>
        <w:t>düzeyive</w:t>
      </w:r>
      <w:proofErr w:type="spellEnd"/>
      <w:r w:rsidRPr="008076E8">
        <w:rPr>
          <w:color w:val="222222"/>
          <w:sz w:val="22"/>
          <w:szCs w:val="22"/>
          <w:highlight w:val="yellow"/>
        </w:rPr>
        <w:t xml:space="preserve"> çalışma saatinin tükenmişlik üzerinde anlamlı </w:t>
      </w:r>
      <w:proofErr w:type="spellStart"/>
      <w:r w:rsidRPr="008076E8">
        <w:rPr>
          <w:color w:val="222222"/>
          <w:sz w:val="22"/>
          <w:szCs w:val="22"/>
          <w:highlight w:val="yellow"/>
        </w:rPr>
        <w:t>yordayıcı</w:t>
      </w:r>
      <w:proofErr w:type="spellEnd"/>
      <w:r w:rsidRPr="008076E8">
        <w:rPr>
          <w:color w:val="222222"/>
          <w:sz w:val="22"/>
          <w:szCs w:val="22"/>
          <w:highlight w:val="yellow"/>
        </w:rPr>
        <w:t xml:space="preserve"> etkisi olduğu gösterildi.</w:t>
      </w:r>
      <w:r w:rsidRPr="008076E8">
        <w:rPr>
          <w:color w:val="222222"/>
          <w:sz w:val="22"/>
          <w:szCs w:val="22"/>
        </w:rPr>
        <w:t xml:space="preserve"> </w:t>
      </w:r>
    </w:p>
    <w:p w14:paraId="0EC6349E" w14:textId="77777777" w:rsidR="00523EB5" w:rsidRPr="008076E8" w:rsidRDefault="00523EB5" w:rsidP="008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sz w:val="22"/>
          <w:szCs w:val="22"/>
        </w:rPr>
      </w:pPr>
      <w:r w:rsidRPr="008076E8">
        <w:rPr>
          <w:b/>
          <w:bCs/>
          <w:color w:val="222222"/>
          <w:sz w:val="22"/>
          <w:szCs w:val="22"/>
        </w:rPr>
        <w:t>Sonuç:</w:t>
      </w:r>
      <w:r w:rsidRPr="008076E8">
        <w:rPr>
          <w:color w:val="222222"/>
          <w:sz w:val="22"/>
          <w:szCs w:val="22"/>
        </w:rPr>
        <w:t xml:space="preserve"> Psikolojik faktörler çevresel faktörlere göre tükenmişlik puanları ile daha güçlü bir ilişki göstermektedir. Bununla beraber çalışma saatlerini sınırlandırmak, ön saflarda çalışan COVID-19 hastalarıyla doğrudan temas halinde olan SP arasında adil vardiya düzenlemek gibi kurumsal stratejiler, SP üzerindeki psikolojik baskıyı azaltmaya yardımcı olacaktır.</w:t>
      </w:r>
    </w:p>
    <w:p w14:paraId="64DD4FA9" w14:textId="77777777" w:rsidR="00523EB5" w:rsidRPr="008076E8" w:rsidRDefault="00523EB5" w:rsidP="00807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color w:val="222222"/>
          <w:sz w:val="22"/>
          <w:szCs w:val="22"/>
        </w:rPr>
      </w:pPr>
      <w:r w:rsidRPr="008076E8">
        <w:rPr>
          <w:b/>
          <w:bCs/>
          <w:color w:val="222222"/>
          <w:sz w:val="22"/>
          <w:szCs w:val="22"/>
        </w:rPr>
        <w:t>Anahtar kelimeler:</w:t>
      </w:r>
      <w:r w:rsidRPr="008076E8">
        <w:rPr>
          <w:color w:val="222222"/>
          <w:sz w:val="22"/>
          <w:szCs w:val="22"/>
        </w:rPr>
        <w:t xml:space="preserve"> COVID-19, Psikoloji, </w:t>
      </w:r>
      <w:proofErr w:type="spellStart"/>
      <w:r w:rsidRPr="008076E8">
        <w:rPr>
          <w:color w:val="222222"/>
          <w:sz w:val="22"/>
          <w:szCs w:val="22"/>
        </w:rPr>
        <w:t>Anksiyete</w:t>
      </w:r>
      <w:proofErr w:type="spellEnd"/>
      <w:r w:rsidRPr="008076E8">
        <w:rPr>
          <w:color w:val="222222"/>
          <w:sz w:val="22"/>
          <w:szCs w:val="22"/>
        </w:rPr>
        <w:t>, Sağlık Personeli</w:t>
      </w:r>
    </w:p>
    <w:p w14:paraId="02A67D88" w14:textId="0416236E" w:rsidR="00B66E84" w:rsidRPr="008076E8" w:rsidRDefault="003C7AAD" w:rsidP="008076E8">
      <w:pPr>
        <w:pStyle w:val="NormalWeb"/>
        <w:spacing w:line="480" w:lineRule="auto"/>
        <w:jc w:val="both"/>
        <w:rPr>
          <w:sz w:val="22"/>
          <w:szCs w:val="22"/>
          <w:lang w:val="en-US"/>
        </w:rPr>
      </w:pPr>
      <w:r w:rsidRPr="008076E8">
        <w:rPr>
          <w:b/>
          <w:bCs/>
          <w:color w:val="000000" w:themeColor="text1"/>
          <w:sz w:val="22"/>
          <w:szCs w:val="22"/>
          <w:lang w:val="en-US"/>
        </w:rPr>
        <w:t>INTRODUCTION</w:t>
      </w:r>
    </w:p>
    <w:p w14:paraId="67642420" w14:textId="0A183946" w:rsidR="00772079" w:rsidRPr="008076E8" w:rsidRDefault="00B66E84"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From December 2019, when first suspected cases of Coronavirus Disease 2019 (COV</w:t>
      </w:r>
      <w:r w:rsidR="00772079" w:rsidRPr="008076E8">
        <w:rPr>
          <w:color w:val="000000" w:themeColor="text1"/>
          <w:sz w:val="22"/>
          <w:szCs w:val="22"/>
          <w:lang w:val="en-US"/>
        </w:rPr>
        <w:t>I</w:t>
      </w:r>
      <w:r w:rsidRPr="008076E8">
        <w:rPr>
          <w:color w:val="000000" w:themeColor="text1"/>
          <w:sz w:val="22"/>
          <w:szCs w:val="22"/>
          <w:lang w:val="en-US"/>
        </w:rPr>
        <w:t xml:space="preserve">D-19) were noticed, severe acute respiratory syndrome coronavirus 2 (SARS-CoV-2) had spread rapidly worldwide </w:t>
      </w:r>
      <w:r w:rsidR="00772079" w:rsidRPr="008076E8">
        <w:rPr>
          <w:color w:val="000000" w:themeColor="text1"/>
          <w:sz w:val="22"/>
          <w:szCs w:val="22"/>
          <w:lang w:val="en-US"/>
        </w:rPr>
        <w:t>with</w:t>
      </w:r>
      <w:r w:rsidRPr="008076E8">
        <w:rPr>
          <w:color w:val="000000" w:themeColor="text1"/>
          <w:sz w:val="22"/>
          <w:szCs w:val="22"/>
          <w:lang w:val="en-US"/>
        </w:rPr>
        <w:t>in months. World Health Organization (WHO) declared COV</w:t>
      </w:r>
      <w:r w:rsidR="00772079" w:rsidRPr="008076E8">
        <w:rPr>
          <w:color w:val="000000" w:themeColor="text1"/>
          <w:sz w:val="22"/>
          <w:szCs w:val="22"/>
          <w:lang w:val="en-US"/>
        </w:rPr>
        <w:t>I</w:t>
      </w:r>
      <w:r w:rsidRPr="008076E8">
        <w:rPr>
          <w:color w:val="000000" w:themeColor="text1"/>
          <w:sz w:val="22"/>
          <w:szCs w:val="22"/>
          <w:lang w:val="en-US"/>
        </w:rPr>
        <w:t xml:space="preserve">D-19 outbreak as a pandemic on </w:t>
      </w:r>
      <w:r w:rsidRPr="008076E8">
        <w:rPr>
          <w:color w:val="000000" w:themeColor="text1"/>
          <w:sz w:val="22"/>
          <w:szCs w:val="22"/>
          <w:lang w:val="en-US"/>
        </w:rPr>
        <w:lastRenderedPageBreak/>
        <w:t>March 12, 2020. Three months after this declaration, at 10 June 2020, 7,145,539 confirmed cases and 408,025 deaths have been reported globally by WHO</w:t>
      </w:r>
      <w:r w:rsidR="008A781C" w:rsidRPr="008076E8">
        <w:rPr>
          <w:color w:val="000000" w:themeColor="text1"/>
          <w:sz w:val="22"/>
          <w:szCs w:val="22"/>
          <w:lang w:val="en-US"/>
        </w:rPr>
        <w:t xml:space="preserve"> (‘Coronavirus disease situation reports’, 2020). </w:t>
      </w:r>
      <w:r w:rsidRPr="008076E8">
        <w:rPr>
          <w:color w:val="000000" w:themeColor="text1"/>
          <w:sz w:val="22"/>
          <w:szCs w:val="22"/>
          <w:lang w:val="en-US"/>
        </w:rPr>
        <w:t xml:space="preserve"> This rapid global spread </w:t>
      </w:r>
      <w:r w:rsidR="004E42C4" w:rsidRPr="008076E8">
        <w:rPr>
          <w:color w:val="000000" w:themeColor="text1"/>
          <w:sz w:val="22"/>
          <w:szCs w:val="22"/>
          <w:lang w:val="en-US"/>
        </w:rPr>
        <w:t>with</w:t>
      </w:r>
      <w:r w:rsidRPr="008076E8">
        <w:rPr>
          <w:color w:val="000000" w:themeColor="text1"/>
          <w:sz w:val="22"/>
          <w:szCs w:val="22"/>
          <w:lang w:val="en-US"/>
        </w:rPr>
        <w:t xml:space="preserve"> increasing number of infected cases and related deaths caused great panic and anxiety </w:t>
      </w:r>
      <w:r w:rsidR="0069644E" w:rsidRPr="008076E8">
        <w:rPr>
          <w:color w:val="000000" w:themeColor="text1"/>
          <w:sz w:val="22"/>
          <w:szCs w:val="22"/>
          <w:lang w:val="en-US"/>
        </w:rPr>
        <w:t xml:space="preserve">in </w:t>
      </w:r>
      <w:r w:rsidRPr="008076E8">
        <w:rPr>
          <w:color w:val="000000" w:themeColor="text1"/>
          <w:sz w:val="22"/>
          <w:szCs w:val="22"/>
          <w:lang w:val="en-US"/>
        </w:rPr>
        <w:t xml:space="preserve">both public and health care workers (HCWs). </w:t>
      </w:r>
    </w:p>
    <w:p w14:paraId="43F799DF" w14:textId="77777777" w:rsidR="00623BA4" w:rsidRPr="008076E8" w:rsidRDefault="00B66E84" w:rsidP="008076E8">
      <w:pPr>
        <w:spacing w:before="100" w:beforeAutospacing="1" w:after="100" w:afterAutospacing="1" w:line="480" w:lineRule="auto"/>
        <w:jc w:val="both"/>
        <w:rPr>
          <w:color w:val="000000" w:themeColor="text1"/>
          <w:sz w:val="22"/>
          <w:szCs w:val="22"/>
          <w:highlight w:val="yellow"/>
          <w:lang w:val="en-US"/>
        </w:rPr>
      </w:pPr>
      <w:r w:rsidRPr="008076E8">
        <w:rPr>
          <w:color w:val="000000" w:themeColor="text1"/>
          <w:sz w:val="22"/>
          <w:szCs w:val="22"/>
          <w:lang w:val="en-US"/>
        </w:rPr>
        <w:t>HCWs have a higher risk</w:t>
      </w:r>
      <w:r w:rsidR="004E42C4" w:rsidRPr="008076E8">
        <w:rPr>
          <w:color w:val="000000" w:themeColor="text1"/>
          <w:sz w:val="22"/>
          <w:szCs w:val="22"/>
          <w:lang w:val="en-US"/>
        </w:rPr>
        <w:t xml:space="preserve"> for</w:t>
      </w:r>
      <w:r w:rsidRPr="008076E8">
        <w:rPr>
          <w:color w:val="000000" w:themeColor="text1"/>
          <w:sz w:val="22"/>
          <w:szCs w:val="22"/>
          <w:lang w:val="en-US"/>
        </w:rPr>
        <w:t xml:space="preserve"> becoming infected </w:t>
      </w:r>
      <w:r w:rsidR="0069644E" w:rsidRPr="008076E8">
        <w:rPr>
          <w:color w:val="000000" w:themeColor="text1"/>
          <w:sz w:val="22"/>
          <w:szCs w:val="22"/>
          <w:lang w:val="en-US"/>
        </w:rPr>
        <w:t xml:space="preserve">during outbreaks </w:t>
      </w:r>
      <w:r w:rsidRPr="008076E8">
        <w:rPr>
          <w:color w:val="000000" w:themeColor="text1"/>
          <w:sz w:val="22"/>
          <w:szCs w:val="22"/>
          <w:lang w:val="en-US"/>
        </w:rPr>
        <w:t xml:space="preserve">due to they have role directly in the diagnosis, treatment and care of infected cases. </w:t>
      </w:r>
      <w:r w:rsidR="00D37B8F" w:rsidRPr="008076E8">
        <w:rPr>
          <w:color w:val="000000" w:themeColor="text1"/>
          <w:sz w:val="22"/>
          <w:szCs w:val="22"/>
          <w:lang w:val="en-US"/>
        </w:rPr>
        <w:t xml:space="preserve">So, they </w:t>
      </w:r>
      <w:r w:rsidRPr="008076E8">
        <w:rPr>
          <w:color w:val="000000" w:themeColor="text1"/>
          <w:sz w:val="22"/>
          <w:szCs w:val="22"/>
          <w:lang w:val="en-US"/>
        </w:rPr>
        <w:t>experience</w:t>
      </w:r>
      <w:r w:rsidR="001A68D3" w:rsidRPr="008076E8">
        <w:rPr>
          <w:color w:val="000000" w:themeColor="text1"/>
          <w:sz w:val="22"/>
          <w:szCs w:val="22"/>
          <w:lang w:val="en-US"/>
        </w:rPr>
        <w:t>d</w:t>
      </w:r>
      <w:r w:rsidRPr="008076E8">
        <w:rPr>
          <w:color w:val="000000" w:themeColor="text1"/>
          <w:sz w:val="22"/>
          <w:szCs w:val="22"/>
          <w:lang w:val="en-US"/>
        </w:rPr>
        <w:t xml:space="preserve"> the fear of being infected</w:t>
      </w:r>
      <w:r w:rsidR="005E3C91" w:rsidRPr="008076E8">
        <w:rPr>
          <w:color w:val="000000" w:themeColor="text1"/>
          <w:sz w:val="22"/>
          <w:szCs w:val="22"/>
          <w:lang w:val="en-US"/>
        </w:rPr>
        <w:t>,</w:t>
      </w:r>
      <w:r w:rsidRPr="008076E8">
        <w:rPr>
          <w:color w:val="000000" w:themeColor="text1"/>
          <w:sz w:val="22"/>
          <w:szCs w:val="22"/>
          <w:lang w:val="en-US"/>
        </w:rPr>
        <w:t xml:space="preserve"> infecting their families</w:t>
      </w:r>
      <w:r w:rsidR="00B01F09" w:rsidRPr="008076E8">
        <w:rPr>
          <w:color w:val="000000" w:themeColor="text1"/>
          <w:sz w:val="22"/>
          <w:szCs w:val="22"/>
          <w:lang w:val="en-US"/>
        </w:rPr>
        <w:t>,</w:t>
      </w:r>
      <w:r w:rsidR="005E3C91" w:rsidRPr="008076E8">
        <w:rPr>
          <w:color w:val="000000" w:themeColor="text1"/>
          <w:sz w:val="22"/>
          <w:szCs w:val="22"/>
          <w:lang w:val="en-US"/>
        </w:rPr>
        <w:t xml:space="preserve"> and</w:t>
      </w:r>
      <w:r w:rsidR="00B01F09" w:rsidRPr="008076E8">
        <w:rPr>
          <w:color w:val="000000" w:themeColor="text1"/>
          <w:sz w:val="22"/>
          <w:szCs w:val="22"/>
          <w:lang w:val="en-US"/>
        </w:rPr>
        <w:t xml:space="preserve"> </w:t>
      </w:r>
      <w:r w:rsidR="001A68D3" w:rsidRPr="008076E8">
        <w:rPr>
          <w:color w:val="000000" w:themeColor="text1"/>
          <w:sz w:val="22"/>
          <w:szCs w:val="22"/>
          <w:lang w:val="en-US"/>
        </w:rPr>
        <w:t xml:space="preserve">depletion of personnel protection equipment (PPE). Additionally, they </w:t>
      </w:r>
      <w:r w:rsidR="00D37B8F" w:rsidRPr="008076E8">
        <w:rPr>
          <w:color w:val="000000" w:themeColor="text1"/>
          <w:sz w:val="22"/>
          <w:szCs w:val="22"/>
          <w:lang w:val="en-US"/>
        </w:rPr>
        <w:t>ha</w:t>
      </w:r>
      <w:r w:rsidR="001A68D3" w:rsidRPr="008076E8">
        <w:rPr>
          <w:color w:val="000000" w:themeColor="text1"/>
          <w:sz w:val="22"/>
          <w:szCs w:val="22"/>
          <w:lang w:val="en-US"/>
        </w:rPr>
        <w:t>d</w:t>
      </w:r>
      <w:r w:rsidR="00D37B8F" w:rsidRPr="008076E8">
        <w:rPr>
          <w:color w:val="000000" w:themeColor="text1"/>
          <w:sz w:val="22"/>
          <w:szCs w:val="22"/>
          <w:lang w:val="en-US"/>
        </w:rPr>
        <w:t xml:space="preserve"> heavy workload for a long time</w:t>
      </w:r>
      <w:r w:rsidR="001A68D3" w:rsidRPr="008076E8">
        <w:rPr>
          <w:color w:val="000000" w:themeColor="text1"/>
          <w:sz w:val="22"/>
          <w:szCs w:val="22"/>
          <w:lang w:val="en-US"/>
        </w:rPr>
        <w:t xml:space="preserve">. </w:t>
      </w:r>
      <w:r w:rsidRPr="008076E8">
        <w:rPr>
          <w:color w:val="000000" w:themeColor="text1"/>
          <w:sz w:val="22"/>
          <w:szCs w:val="22"/>
          <w:lang w:val="en-US"/>
        </w:rPr>
        <w:t xml:space="preserve">Working under these extremely </w:t>
      </w:r>
      <w:r w:rsidR="00D37B8F" w:rsidRPr="008076E8">
        <w:rPr>
          <w:color w:val="000000" w:themeColor="text1"/>
          <w:sz w:val="22"/>
          <w:szCs w:val="22"/>
          <w:lang w:val="en-US"/>
        </w:rPr>
        <w:t>stressful</w:t>
      </w:r>
      <w:r w:rsidRPr="008076E8">
        <w:rPr>
          <w:color w:val="000000" w:themeColor="text1"/>
          <w:sz w:val="22"/>
          <w:szCs w:val="22"/>
          <w:lang w:val="en-US"/>
        </w:rPr>
        <w:t xml:space="preserve"> conditions is expected to cause stress reaction symptoms such as anxiety, panic and </w:t>
      </w:r>
      <w:r w:rsidR="005E3C91" w:rsidRPr="008076E8">
        <w:rPr>
          <w:color w:val="000000" w:themeColor="text1"/>
          <w:sz w:val="22"/>
          <w:szCs w:val="22"/>
          <w:lang w:val="en-US"/>
        </w:rPr>
        <w:t>depression and burnout</w:t>
      </w:r>
      <w:r w:rsidR="00365259" w:rsidRPr="008076E8">
        <w:rPr>
          <w:color w:val="000000" w:themeColor="text1"/>
          <w:sz w:val="22"/>
          <w:szCs w:val="22"/>
          <w:lang w:val="en-US"/>
        </w:rPr>
        <w:t>.</w:t>
      </w:r>
      <w:r w:rsidR="0031133F" w:rsidRPr="008076E8">
        <w:rPr>
          <w:color w:val="000000" w:themeColor="text1"/>
          <w:sz w:val="22"/>
          <w:szCs w:val="22"/>
          <w:lang w:val="en-US"/>
        </w:rPr>
        <w:t xml:space="preserve"> </w:t>
      </w:r>
      <w:r w:rsidRPr="008076E8">
        <w:rPr>
          <w:color w:val="000000" w:themeColor="text1"/>
          <w:sz w:val="22"/>
          <w:szCs w:val="22"/>
          <w:highlight w:val="yellow"/>
          <w:lang w:val="en-US"/>
        </w:rPr>
        <w:t xml:space="preserve">Indeed, </w:t>
      </w:r>
      <w:r w:rsidR="00370C43" w:rsidRPr="008076E8">
        <w:rPr>
          <w:color w:val="000000" w:themeColor="text1"/>
          <w:sz w:val="22"/>
          <w:szCs w:val="22"/>
          <w:highlight w:val="yellow"/>
          <w:lang w:val="en-US"/>
        </w:rPr>
        <w:t xml:space="preserve">stress disturbances </w:t>
      </w:r>
      <w:r w:rsidR="00365259" w:rsidRPr="008076E8">
        <w:rPr>
          <w:color w:val="000000" w:themeColor="text1"/>
          <w:sz w:val="22"/>
          <w:szCs w:val="22"/>
          <w:highlight w:val="yellow"/>
          <w:lang w:val="en-US"/>
        </w:rPr>
        <w:t xml:space="preserve">in HCWs </w:t>
      </w:r>
      <w:r w:rsidR="00370C43" w:rsidRPr="008076E8">
        <w:rPr>
          <w:color w:val="000000" w:themeColor="text1"/>
          <w:sz w:val="22"/>
          <w:szCs w:val="22"/>
          <w:highlight w:val="yellow"/>
          <w:lang w:val="en-US"/>
        </w:rPr>
        <w:t>have been reported after previous outbreaks</w:t>
      </w:r>
      <w:r w:rsidR="00623BA4" w:rsidRPr="008076E8">
        <w:rPr>
          <w:color w:val="000000" w:themeColor="text1"/>
          <w:sz w:val="22"/>
          <w:szCs w:val="22"/>
          <w:highlight w:val="yellow"/>
          <w:lang w:val="en-US"/>
        </w:rPr>
        <w:t xml:space="preserve"> due to SARS-CoV-1</w:t>
      </w:r>
      <w:r w:rsidR="00D478D8" w:rsidRPr="008076E8">
        <w:rPr>
          <w:color w:val="000000" w:themeColor="text1"/>
          <w:sz w:val="22"/>
          <w:szCs w:val="22"/>
          <w:highlight w:val="yellow"/>
          <w:lang w:val="en-US"/>
        </w:rPr>
        <w:t xml:space="preserve"> and recent COVID-19 pandemic</w:t>
      </w:r>
      <w:r w:rsidR="00370C43" w:rsidRPr="008076E8">
        <w:rPr>
          <w:color w:val="000000" w:themeColor="text1"/>
          <w:sz w:val="22"/>
          <w:szCs w:val="22"/>
          <w:highlight w:val="yellow"/>
          <w:lang w:val="en-US"/>
        </w:rPr>
        <w:t xml:space="preserve"> </w:t>
      </w:r>
      <w:r w:rsidR="00D478D8" w:rsidRPr="008076E8">
        <w:rPr>
          <w:color w:val="000000" w:themeColor="text1"/>
          <w:sz w:val="22"/>
          <w:szCs w:val="22"/>
          <w:highlight w:val="yellow"/>
          <w:lang w:val="en-US"/>
        </w:rPr>
        <w:t>(</w:t>
      </w:r>
      <w:proofErr w:type="spellStart"/>
      <w:r w:rsidR="00D478D8" w:rsidRPr="008076E8">
        <w:rPr>
          <w:rFonts w:eastAsiaTheme="minorHAnsi"/>
          <w:color w:val="000000" w:themeColor="text1"/>
          <w:sz w:val="22"/>
          <w:szCs w:val="22"/>
          <w:highlight w:val="yellow"/>
          <w:lang w:val="en-US" w:eastAsia="en-US"/>
        </w:rPr>
        <w:t>Mak</w:t>
      </w:r>
      <w:proofErr w:type="spellEnd"/>
      <w:r w:rsidR="00D478D8" w:rsidRPr="008076E8">
        <w:rPr>
          <w:rFonts w:eastAsiaTheme="minorHAnsi"/>
          <w:color w:val="000000" w:themeColor="text1"/>
          <w:sz w:val="22"/>
          <w:szCs w:val="22"/>
          <w:highlight w:val="yellow"/>
          <w:lang w:val="en-US" w:eastAsia="en-US"/>
        </w:rPr>
        <w:t xml:space="preserve"> et al., 2009; Bai et al., 2004</w:t>
      </w:r>
      <w:r w:rsidR="005943D8" w:rsidRPr="008076E8">
        <w:rPr>
          <w:rFonts w:eastAsiaTheme="minorHAnsi"/>
          <w:color w:val="000000" w:themeColor="text1"/>
          <w:sz w:val="22"/>
          <w:szCs w:val="22"/>
          <w:highlight w:val="yellow"/>
          <w:lang w:val="en-US" w:eastAsia="en-US"/>
        </w:rPr>
        <w:t xml:space="preserve">, </w:t>
      </w:r>
      <w:r w:rsidR="00D478D8" w:rsidRPr="008076E8">
        <w:rPr>
          <w:rFonts w:eastAsiaTheme="minorHAnsi"/>
          <w:color w:val="000000" w:themeColor="text1"/>
          <w:sz w:val="22"/>
          <w:szCs w:val="22"/>
          <w:highlight w:val="yellow"/>
          <w:lang w:val="en-US" w:eastAsia="en-US"/>
        </w:rPr>
        <w:t>Liu et al., 2012</w:t>
      </w:r>
      <w:r w:rsidR="005943D8" w:rsidRPr="008076E8">
        <w:rPr>
          <w:rFonts w:eastAsiaTheme="minorHAnsi"/>
          <w:color w:val="000000" w:themeColor="text1"/>
          <w:sz w:val="22"/>
          <w:szCs w:val="22"/>
          <w:lang w:val="en-US" w:eastAsia="en-US"/>
        </w:rPr>
        <w:t xml:space="preserve">, </w:t>
      </w:r>
      <w:r w:rsidR="003A6F81" w:rsidRPr="008076E8">
        <w:rPr>
          <w:color w:val="000000" w:themeColor="text1"/>
          <w:sz w:val="22"/>
          <w:szCs w:val="22"/>
          <w:lang w:val="en-US"/>
        </w:rPr>
        <w:t>Chen</w:t>
      </w:r>
      <w:r w:rsidR="00D478D8" w:rsidRPr="008076E8">
        <w:rPr>
          <w:color w:val="000000" w:themeColor="text1"/>
          <w:sz w:val="22"/>
          <w:szCs w:val="22"/>
          <w:lang w:val="en-US"/>
        </w:rPr>
        <w:t xml:space="preserve"> et al., 2020; </w:t>
      </w:r>
      <w:proofErr w:type="spellStart"/>
      <w:r w:rsidR="00D478D8" w:rsidRPr="008076E8">
        <w:rPr>
          <w:color w:val="000000" w:themeColor="text1"/>
          <w:sz w:val="22"/>
          <w:szCs w:val="22"/>
          <w:lang w:val="en-US"/>
        </w:rPr>
        <w:t>Elbay</w:t>
      </w:r>
      <w:proofErr w:type="spellEnd"/>
      <w:r w:rsidR="00D478D8" w:rsidRPr="008076E8">
        <w:rPr>
          <w:color w:val="000000" w:themeColor="text1"/>
          <w:sz w:val="22"/>
          <w:szCs w:val="22"/>
          <w:lang w:val="en-US"/>
        </w:rPr>
        <w:t xml:space="preserve"> et al., 2020; Koh et al., 2020).</w:t>
      </w:r>
      <w:r w:rsidR="002A635F" w:rsidRPr="008076E8">
        <w:rPr>
          <w:color w:val="000000" w:themeColor="text1"/>
          <w:sz w:val="22"/>
          <w:szCs w:val="22"/>
          <w:lang w:val="en-US"/>
        </w:rPr>
        <w:t xml:space="preserve"> </w:t>
      </w:r>
      <w:r w:rsidR="00623BA4" w:rsidRPr="008076E8">
        <w:rPr>
          <w:color w:val="000000" w:themeColor="text1"/>
          <w:sz w:val="22"/>
          <w:szCs w:val="22"/>
          <w:highlight w:val="yellow"/>
          <w:lang w:val="en-US"/>
        </w:rPr>
        <w:t>Burnout</w:t>
      </w:r>
      <w:r w:rsidR="00107106" w:rsidRPr="008076E8">
        <w:rPr>
          <w:color w:val="000000" w:themeColor="text1"/>
          <w:sz w:val="22"/>
          <w:szCs w:val="22"/>
          <w:highlight w:val="yellow"/>
          <w:lang w:val="en-US"/>
        </w:rPr>
        <w:t xml:space="preserve">, a </w:t>
      </w:r>
      <w:r w:rsidR="00365259" w:rsidRPr="008076E8">
        <w:rPr>
          <w:color w:val="000000" w:themeColor="text1"/>
          <w:sz w:val="22"/>
          <w:szCs w:val="22"/>
          <w:highlight w:val="yellow"/>
          <w:lang w:val="en-US"/>
        </w:rPr>
        <w:t>complicated problem associated with chronic emotional and interpersonal stressor caused by work</w:t>
      </w:r>
      <w:r w:rsidR="00107106" w:rsidRPr="008076E8">
        <w:rPr>
          <w:color w:val="000000" w:themeColor="text1"/>
          <w:sz w:val="22"/>
          <w:szCs w:val="22"/>
          <w:highlight w:val="yellow"/>
          <w:lang w:val="en-US"/>
        </w:rPr>
        <w:t xml:space="preserve">, </w:t>
      </w:r>
      <w:r w:rsidR="00623BA4" w:rsidRPr="008076E8">
        <w:rPr>
          <w:color w:val="000000" w:themeColor="text1"/>
          <w:sz w:val="22"/>
          <w:szCs w:val="22"/>
          <w:highlight w:val="yellow"/>
          <w:lang w:val="en-US"/>
        </w:rPr>
        <w:t>was</w:t>
      </w:r>
      <w:r w:rsidR="00107106" w:rsidRPr="008076E8">
        <w:rPr>
          <w:color w:val="000000" w:themeColor="text1"/>
          <w:sz w:val="22"/>
          <w:szCs w:val="22"/>
          <w:highlight w:val="yellow"/>
          <w:lang w:val="en-US"/>
        </w:rPr>
        <w:t xml:space="preserve"> observed during </w:t>
      </w:r>
      <w:r w:rsidR="00623BA4" w:rsidRPr="008076E8">
        <w:rPr>
          <w:color w:val="000000" w:themeColor="text1"/>
          <w:sz w:val="22"/>
          <w:szCs w:val="22"/>
          <w:highlight w:val="yellow"/>
          <w:lang w:val="en-US"/>
        </w:rPr>
        <w:t>COVID-19 pandemic,</w:t>
      </w:r>
      <w:r w:rsidR="00107106" w:rsidRPr="008076E8">
        <w:rPr>
          <w:color w:val="000000" w:themeColor="text1"/>
          <w:sz w:val="22"/>
          <w:szCs w:val="22"/>
          <w:highlight w:val="yellow"/>
          <w:lang w:val="en-US"/>
        </w:rPr>
        <w:t xml:space="preserve"> </w:t>
      </w:r>
      <w:proofErr w:type="spellStart"/>
      <w:r w:rsidR="007D5ADA" w:rsidRPr="008076E8">
        <w:rPr>
          <w:rFonts w:eastAsiaTheme="minorHAnsi"/>
          <w:sz w:val="22"/>
          <w:szCs w:val="22"/>
          <w:highlight w:val="yellow"/>
          <w:lang w:eastAsia="en-US"/>
        </w:rPr>
        <w:t>Zhang</w:t>
      </w:r>
      <w:proofErr w:type="spellEnd"/>
      <w:r w:rsidR="007D5ADA" w:rsidRPr="008076E8">
        <w:rPr>
          <w:rFonts w:eastAsiaTheme="minorHAnsi"/>
          <w:sz w:val="22"/>
          <w:szCs w:val="22"/>
          <w:highlight w:val="yellow"/>
          <w:lang w:eastAsia="en-US"/>
        </w:rPr>
        <w:t xml:space="preserve">, </w:t>
      </w:r>
      <w:proofErr w:type="spellStart"/>
      <w:r w:rsidR="007D5ADA" w:rsidRPr="008076E8">
        <w:rPr>
          <w:rFonts w:eastAsiaTheme="minorHAnsi"/>
          <w:sz w:val="22"/>
          <w:szCs w:val="22"/>
          <w:highlight w:val="yellow"/>
          <w:lang w:eastAsia="en-US"/>
        </w:rPr>
        <w:t>Song</w:t>
      </w:r>
      <w:proofErr w:type="spellEnd"/>
      <w:r w:rsidR="007D5ADA" w:rsidRPr="008076E8">
        <w:rPr>
          <w:rFonts w:eastAsiaTheme="minorHAnsi"/>
          <w:sz w:val="22"/>
          <w:szCs w:val="22"/>
          <w:highlight w:val="yellow"/>
          <w:lang w:eastAsia="en-US"/>
        </w:rPr>
        <w:t xml:space="preserve">, </w:t>
      </w:r>
      <w:proofErr w:type="spellStart"/>
      <w:r w:rsidR="007D5ADA" w:rsidRPr="008076E8">
        <w:rPr>
          <w:rFonts w:eastAsiaTheme="minorHAnsi"/>
          <w:sz w:val="22"/>
          <w:szCs w:val="22"/>
          <w:highlight w:val="yellow"/>
          <w:lang w:eastAsia="en-US"/>
        </w:rPr>
        <w:t>Jiang</w:t>
      </w:r>
      <w:proofErr w:type="spellEnd"/>
      <w:r w:rsidR="007D5ADA" w:rsidRPr="008076E8">
        <w:rPr>
          <w:rFonts w:eastAsiaTheme="minorHAnsi"/>
          <w:sz w:val="22"/>
          <w:szCs w:val="22"/>
          <w:highlight w:val="yellow"/>
          <w:lang w:eastAsia="en-US"/>
        </w:rPr>
        <w:t xml:space="preserve">, Ding </w:t>
      </w:r>
      <w:proofErr w:type="spellStart"/>
      <w:r w:rsidR="007D5ADA" w:rsidRPr="008076E8">
        <w:rPr>
          <w:rFonts w:eastAsiaTheme="minorHAnsi"/>
          <w:sz w:val="22"/>
          <w:szCs w:val="22"/>
          <w:highlight w:val="yellow"/>
          <w:lang w:eastAsia="en-US"/>
        </w:rPr>
        <w:t>and</w:t>
      </w:r>
      <w:proofErr w:type="spellEnd"/>
      <w:r w:rsidR="007D5ADA" w:rsidRPr="008076E8">
        <w:rPr>
          <w:rFonts w:eastAsiaTheme="minorHAnsi"/>
          <w:sz w:val="22"/>
          <w:szCs w:val="22"/>
          <w:highlight w:val="yellow"/>
          <w:lang w:eastAsia="en-US"/>
        </w:rPr>
        <w:t xml:space="preserve"> </w:t>
      </w:r>
      <w:proofErr w:type="spellStart"/>
      <w:r w:rsidR="007D5ADA" w:rsidRPr="008076E8">
        <w:rPr>
          <w:rFonts w:eastAsiaTheme="minorHAnsi"/>
          <w:sz w:val="22"/>
          <w:szCs w:val="22"/>
          <w:highlight w:val="yellow"/>
          <w:lang w:eastAsia="en-US"/>
        </w:rPr>
        <w:t>Shi</w:t>
      </w:r>
      <w:proofErr w:type="spellEnd"/>
      <w:r w:rsidR="007D5ADA" w:rsidRPr="008076E8">
        <w:rPr>
          <w:rFonts w:eastAsiaTheme="minorHAnsi"/>
          <w:sz w:val="22"/>
          <w:szCs w:val="22"/>
          <w:highlight w:val="yellow"/>
          <w:lang w:eastAsia="en-US"/>
        </w:rPr>
        <w:t xml:space="preserve"> (2020)</w:t>
      </w:r>
      <w:r w:rsidR="007D5ADA" w:rsidRPr="008076E8">
        <w:rPr>
          <w:color w:val="000000" w:themeColor="text1"/>
          <w:sz w:val="22"/>
          <w:szCs w:val="22"/>
          <w:highlight w:val="yellow"/>
          <w:lang w:val="en-US"/>
        </w:rPr>
        <w:t xml:space="preserve"> </w:t>
      </w:r>
      <w:r w:rsidR="00623BA4" w:rsidRPr="008076E8">
        <w:rPr>
          <w:rFonts w:eastAsiaTheme="minorHAnsi"/>
          <w:sz w:val="22"/>
          <w:szCs w:val="22"/>
          <w:highlight w:val="yellow"/>
          <w:lang w:val="en-US" w:eastAsia="en-US"/>
        </w:rPr>
        <w:t>reported</w:t>
      </w:r>
      <w:r w:rsidR="002A635F" w:rsidRPr="008076E8">
        <w:rPr>
          <w:rFonts w:eastAsiaTheme="minorHAnsi"/>
          <w:sz w:val="22"/>
          <w:szCs w:val="22"/>
          <w:highlight w:val="yellow"/>
          <w:lang w:val="en-US" w:eastAsia="en-US"/>
        </w:rPr>
        <w:t xml:space="preserve"> that </w:t>
      </w:r>
      <w:r w:rsidR="002A635F" w:rsidRPr="008076E8">
        <w:rPr>
          <w:color w:val="000000" w:themeColor="text1"/>
          <w:sz w:val="22"/>
          <w:szCs w:val="22"/>
          <w:highlight w:val="yellow"/>
          <w:lang w:val="en-US"/>
        </w:rPr>
        <w:t xml:space="preserve">prevalence of burnout is rising and ranged from 66.5% to 87.8% </w:t>
      </w:r>
      <w:r w:rsidR="00877FC6" w:rsidRPr="008076E8">
        <w:rPr>
          <w:color w:val="000000" w:themeColor="text1"/>
          <w:sz w:val="22"/>
          <w:szCs w:val="22"/>
          <w:highlight w:val="yellow"/>
          <w:lang w:val="en-US"/>
        </w:rPr>
        <w:t xml:space="preserve">among </w:t>
      </w:r>
      <w:r w:rsidR="002A635F" w:rsidRPr="008076E8">
        <w:rPr>
          <w:color w:val="000000" w:themeColor="text1"/>
          <w:sz w:val="22"/>
          <w:szCs w:val="22"/>
          <w:highlight w:val="yellow"/>
          <w:lang w:val="en-US"/>
        </w:rPr>
        <w:t>physicians, and greater in nurses in China after COVID-19 pandemic.</w:t>
      </w:r>
    </w:p>
    <w:p w14:paraId="4EDC50E2" w14:textId="7E6FC690" w:rsidR="005E3C91" w:rsidRPr="008076E8" w:rsidRDefault="002A635F"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highlight w:val="yellow"/>
          <w:lang w:val="en-US"/>
        </w:rPr>
        <w:t xml:space="preserve"> </w:t>
      </w:r>
      <w:r w:rsidR="00623BA4" w:rsidRPr="008076E8">
        <w:rPr>
          <w:color w:val="202124"/>
          <w:sz w:val="22"/>
          <w:szCs w:val="22"/>
          <w:highlight w:val="yellow"/>
          <w:lang w:val="en"/>
        </w:rPr>
        <w:t>T</w:t>
      </w:r>
      <w:r w:rsidR="007E79F1" w:rsidRPr="008076E8">
        <w:rPr>
          <w:color w:val="202124"/>
          <w:sz w:val="22"/>
          <w:szCs w:val="22"/>
          <w:highlight w:val="yellow"/>
          <w:lang w:val="en"/>
        </w:rPr>
        <w:t>here are many studies on the factors affecting occupational burnout and therapeutic interventions to reduce burnout in healthcare workers</w:t>
      </w:r>
      <w:r w:rsidR="00AD42D1" w:rsidRPr="008076E8">
        <w:rPr>
          <w:color w:val="202124"/>
          <w:sz w:val="22"/>
          <w:szCs w:val="22"/>
          <w:highlight w:val="yellow"/>
          <w:lang w:val="en"/>
        </w:rPr>
        <w:t xml:space="preserve"> </w:t>
      </w:r>
      <w:r w:rsidR="00AD42D1" w:rsidRPr="008076E8">
        <w:rPr>
          <w:color w:val="000000" w:themeColor="text1"/>
          <w:sz w:val="22"/>
          <w:szCs w:val="22"/>
          <w:lang w:val="en"/>
        </w:rPr>
        <w:t>(</w:t>
      </w:r>
      <w:r w:rsidR="00AD42D1" w:rsidRPr="008076E8">
        <w:rPr>
          <w:color w:val="000000" w:themeColor="text1"/>
          <w:sz w:val="22"/>
          <w:szCs w:val="22"/>
          <w:highlight w:val="yellow"/>
          <w:shd w:val="clear" w:color="auto" w:fill="FFFFFF"/>
        </w:rPr>
        <w:t xml:space="preserve">Lloyd, </w:t>
      </w:r>
      <w:proofErr w:type="spellStart"/>
      <w:r w:rsidR="00AD42D1" w:rsidRPr="008076E8">
        <w:rPr>
          <w:color w:val="000000" w:themeColor="text1"/>
          <w:sz w:val="22"/>
          <w:szCs w:val="22"/>
          <w:highlight w:val="yellow"/>
          <w:shd w:val="clear" w:color="auto" w:fill="FFFFFF"/>
        </w:rPr>
        <w:t>King</w:t>
      </w:r>
      <w:proofErr w:type="spellEnd"/>
      <w:r w:rsidR="00AD42D1" w:rsidRPr="008076E8">
        <w:rPr>
          <w:color w:val="000000" w:themeColor="text1"/>
          <w:sz w:val="22"/>
          <w:szCs w:val="22"/>
          <w:highlight w:val="yellow"/>
          <w:shd w:val="clear" w:color="auto" w:fill="FFFFFF"/>
        </w:rPr>
        <w:t xml:space="preserve">, &amp; </w:t>
      </w:r>
      <w:proofErr w:type="spellStart"/>
      <w:r w:rsidR="00AD42D1" w:rsidRPr="008076E8">
        <w:rPr>
          <w:color w:val="000000" w:themeColor="text1"/>
          <w:sz w:val="22"/>
          <w:szCs w:val="22"/>
          <w:highlight w:val="yellow"/>
          <w:shd w:val="clear" w:color="auto" w:fill="FFFFFF"/>
        </w:rPr>
        <w:t>Chenoweth</w:t>
      </w:r>
      <w:proofErr w:type="spellEnd"/>
      <w:r w:rsidR="00AD42D1" w:rsidRPr="008076E8">
        <w:rPr>
          <w:color w:val="000000" w:themeColor="text1"/>
          <w:sz w:val="22"/>
          <w:szCs w:val="22"/>
          <w:highlight w:val="yellow"/>
          <w:shd w:val="clear" w:color="auto" w:fill="FFFFFF"/>
        </w:rPr>
        <w:t>,</w:t>
      </w:r>
      <w:r w:rsidR="00623BA4" w:rsidRPr="008076E8">
        <w:rPr>
          <w:color w:val="000000" w:themeColor="text1"/>
          <w:sz w:val="22"/>
          <w:szCs w:val="22"/>
          <w:highlight w:val="yellow"/>
          <w:shd w:val="clear" w:color="auto" w:fill="FFFFFF"/>
        </w:rPr>
        <w:t xml:space="preserve"> </w:t>
      </w:r>
      <w:r w:rsidR="00AD42D1" w:rsidRPr="008076E8">
        <w:rPr>
          <w:color w:val="000000" w:themeColor="text1"/>
          <w:sz w:val="22"/>
          <w:szCs w:val="22"/>
          <w:highlight w:val="yellow"/>
          <w:shd w:val="clear" w:color="auto" w:fill="FFFFFF"/>
        </w:rPr>
        <w:t xml:space="preserve">2011). </w:t>
      </w:r>
      <w:r w:rsidR="00CB093E" w:rsidRPr="008076E8">
        <w:rPr>
          <w:color w:val="202124"/>
          <w:sz w:val="22"/>
          <w:szCs w:val="22"/>
          <w:highlight w:val="yellow"/>
          <w:lang w:val="en"/>
        </w:rPr>
        <w:t>R</w:t>
      </w:r>
      <w:r w:rsidR="00A42E10" w:rsidRPr="008076E8">
        <w:rPr>
          <w:color w:val="202124"/>
          <w:sz w:val="22"/>
          <w:szCs w:val="22"/>
          <w:highlight w:val="yellow"/>
          <w:lang w:val="en"/>
        </w:rPr>
        <w:t>ecent</w:t>
      </w:r>
      <w:r w:rsidR="00CB093E" w:rsidRPr="008076E8">
        <w:rPr>
          <w:color w:val="202124"/>
          <w:sz w:val="22"/>
          <w:szCs w:val="22"/>
          <w:highlight w:val="yellow"/>
          <w:lang w:val="en"/>
        </w:rPr>
        <w:t xml:space="preserve">ly </w:t>
      </w:r>
      <w:r w:rsidR="00A42E10" w:rsidRPr="008076E8">
        <w:rPr>
          <w:color w:val="202124"/>
          <w:sz w:val="22"/>
          <w:szCs w:val="22"/>
          <w:highlight w:val="yellow"/>
          <w:lang w:val="en"/>
        </w:rPr>
        <w:t>studies have been conducted to investigate the effect of acceptance and commitment therapy, which is the most known third generation cognitive and behavioral therapies, on burnout.</w:t>
      </w:r>
      <w:r w:rsidR="00E06F22" w:rsidRPr="008076E8">
        <w:rPr>
          <w:color w:val="202124"/>
          <w:sz w:val="22"/>
          <w:szCs w:val="22"/>
          <w:highlight w:val="yellow"/>
        </w:rPr>
        <w:t xml:space="preserve"> </w:t>
      </w:r>
      <w:r w:rsidR="00E06F22" w:rsidRPr="008076E8">
        <w:rPr>
          <w:color w:val="202124"/>
          <w:sz w:val="22"/>
          <w:szCs w:val="22"/>
          <w:highlight w:val="yellow"/>
          <w:lang w:val="en"/>
        </w:rPr>
        <w:t>In studies conducted with healthcare professionals, it has been reported that those with high psychological flexibility are more resistant to the negative burden of environmental conditions, and emotional burnout and depersonalization are observed less</w:t>
      </w:r>
      <w:r w:rsidR="00AD42D1" w:rsidRPr="008076E8">
        <w:rPr>
          <w:color w:val="202124"/>
          <w:sz w:val="22"/>
          <w:szCs w:val="22"/>
          <w:highlight w:val="yellow"/>
          <w:lang w:val="en"/>
        </w:rPr>
        <w:t xml:space="preserve"> (</w:t>
      </w:r>
      <w:proofErr w:type="spellStart"/>
      <w:r w:rsidR="00AD42D1" w:rsidRPr="008076E8">
        <w:rPr>
          <w:color w:val="202124"/>
          <w:sz w:val="22"/>
          <w:szCs w:val="22"/>
          <w:highlight w:val="yellow"/>
          <w:lang w:val="en"/>
        </w:rPr>
        <w:t>Ramaci</w:t>
      </w:r>
      <w:proofErr w:type="spellEnd"/>
      <w:r w:rsidR="00AD42D1" w:rsidRPr="008076E8">
        <w:rPr>
          <w:color w:val="202124"/>
          <w:sz w:val="22"/>
          <w:szCs w:val="22"/>
          <w:highlight w:val="yellow"/>
          <w:lang w:val="en"/>
        </w:rPr>
        <w:t xml:space="preserve">, Bellini, </w:t>
      </w:r>
      <w:proofErr w:type="spellStart"/>
      <w:r w:rsidR="00AD42D1" w:rsidRPr="008076E8">
        <w:rPr>
          <w:color w:val="202124"/>
          <w:sz w:val="22"/>
          <w:szCs w:val="22"/>
          <w:highlight w:val="yellow"/>
          <w:lang w:val="en"/>
        </w:rPr>
        <w:t>Presti</w:t>
      </w:r>
      <w:proofErr w:type="spellEnd"/>
      <w:r w:rsidR="00AD42D1" w:rsidRPr="008076E8">
        <w:rPr>
          <w:color w:val="202124"/>
          <w:sz w:val="22"/>
          <w:szCs w:val="22"/>
          <w:highlight w:val="yellow"/>
          <w:lang w:val="en"/>
        </w:rPr>
        <w:t>, &amp;</w:t>
      </w:r>
      <w:proofErr w:type="spellStart"/>
      <w:r w:rsidR="00AD42D1" w:rsidRPr="008076E8">
        <w:rPr>
          <w:color w:val="202124"/>
          <w:sz w:val="22"/>
          <w:szCs w:val="22"/>
          <w:highlight w:val="yellow"/>
          <w:lang w:val="en"/>
        </w:rPr>
        <w:t>Santisi</w:t>
      </w:r>
      <w:proofErr w:type="spellEnd"/>
      <w:r w:rsidR="00AD42D1" w:rsidRPr="008076E8">
        <w:rPr>
          <w:color w:val="202124"/>
          <w:sz w:val="22"/>
          <w:szCs w:val="22"/>
          <w:highlight w:val="yellow"/>
          <w:lang w:val="en"/>
        </w:rPr>
        <w:t xml:space="preserve">, 2019; </w:t>
      </w:r>
      <w:r w:rsidR="00AD42D1" w:rsidRPr="008076E8">
        <w:rPr>
          <w:color w:val="000000" w:themeColor="text1"/>
          <w:sz w:val="22"/>
          <w:szCs w:val="22"/>
          <w:highlight w:val="yellow"/>
          <w:shd w:val="clear" w:color="auto" w:fill="FFFFFF"/>
          <w:lang w:val="en-US"/>
        </w:rPr>
        <w:t xml:space="preserve">Ruiz, &amp; </w:t>
      </w:r>
      <w:proofErr w:type="spellStart"/>
      <w:r w:rsidR="00AD42D1" w:rsidRPr="008076E8">
        <w:rPr>
          <w:color w:val="000000" w:themeColor="text1"/>
          <w:sz w:val="22"/>
          <w:szCs w:val="22"/>
          <w:highlight w:val="yellow"/>
          <w:shd w:val="clear" w:color="auto" w:fill="FFFFFF"/>
          <w:lang w:val="en-US"/>
        </w:rPr>
        <w:t>Odriozola</w:t>
      </w:r>
      <w:proofErr w:type="spellEnd"/>
      <w:r w:rsidR="00AD42D1" w:rsidRPr="008076E8">
        <w:rPr>
          <w:color w:val="000000" w:themeColor="text1"/>
          <w:sz w:val="22"/>
          <w:szCs w:val="22"/>
          <w:highlight w:val="yellow"/>
          <w:shd w:val="clear" w:color="auto" w:fill="FFFFFF"/>
          <w:lang w:val="en-US"/>
        </w:rPr>
        <w:t>-González, 2017</w:t>
      </w:r>
      <w:r w:rsidR="00AD42D1" w:rsidRPr="008076E8">
        <w:rPr>
          <w:color w:val="202124"/>
          <w:sz w:val="22"/>
          <w:szCs w:val="22"/>
          <w:highlight w:val="yellow"/>
          <w:lang w:val="en"/>
        </w:rPr>
        <w:t xml:space="preserve">). </w:t>
      </w:r>
      <w:r w:rsidR="00E06F22" w:rsidRPr="008076E8">
        <w:rPr>
          <w:color w:val="202124"/>
          <w:sz w:val="22"/>
          <w:szCs w:val="22"/>
          <w:highlight w:val="yellow"/>
          <w:lang w:val="en"/>
        </w:rPr>
        <w:t>A recent intervention study suggested that the impact of psychological flexibility on occupational burnout is important, and group and web-based psychological flexibility interventions may be more effective</w:t>
      </w:r>
      <w:r w:rsidR="00AE06F1" w:rsidRPr="008076E8">
        <w:rPr>
          <w:color w:val="202124"/>
          <w:sz w:val="22"/>
          <w:szCs w:val="22"/>
          <w:highlight w:val="yellow"/>
          <w:lang w:val="en"/>
        </w:rPr>
        <w:t xml:space="preserve"> (</w:t>
      </w:r>
      <w:proofErr w:type="spellStart"/>
      <w:r w:rsidR="00AE06F1" w:rsidRPr="008076E8">
        <w:rPr>
          <w:color w:val="202124"/>
          <w:sz w:val="22"/>
          <w:szCs w:val="22"/>
          <w:highlight w:val="yellow"/>
          <w:lang w:val="en"/>
        </w:rPr>
        <w:t>Puolakanaho</w:t>
      </w:r>
      <w:proofErr w:type="spellEnd"/>
      <w:r w:rsidR="00AE06F1" w:rsidRPr="008076E8">
        <w:rPr>
          <w:color w:val="202124"/>
          <w:sz w:val="22"/>
          <w:szCs w:val="22"/>
          <w:highlight w:val="yellow"/>
          <w:lang w:val="en"/>
        </w:rPr>
        <w:t xml:space="preserve"> A, </w:t>
      </w:r>
      <w:proofErr w:type="spellStart"/>
      <w:r w:rsidR="00AE06F1" w:rsidRPr="008076E8">
        <w:rPr>
          <w:color w:val="202124"/>
          <w:sz w:val="22"/>
          <w:szCs w:val="22"/>
          <w:highlight w:val="yellow"/>
          <w:lang w:val="en"/>
        </w:rPr>
        <w:t>Tolvanen</w:t>
      </w:r>
      <w:proofErr w:type="spellEnd"/>
      <w:r w:rsidR="00AE06F1" w:rsidRPr="008076E8">
        <w:rPr>
          <w:color w:val="202124"/>
          <w:sz w:val="22"/>
          <w:szCs w:val="22"/>
          <w:highlight w:val="yellow"/>
          <w:lang w:val="en"/>
        </w:rPr>
        <w:t xml:space="preserve"> A, </w:t>
      </w:r>
      <w:proofErr w:type="spellStart"/>
      <w:r w:rsidR="00AE06F1" w:rsidRPr="008076E8">
        <w:rPr>
          <w:color w:val="202124"/>
          <w:sz w:val="22"/>
          <w:szCs w:val="22"/>
          <w:highlight w:val="yellow"/>
          <w:lang w:val="en"/>
        </w:rPr>
        <w:t>Kinnunen</w:t>
      </w:r>
      <w:proofErr w:type="spellEnd"/>
      <w:r w:rsidR="00AE06F1" w:rsidRPr="008076E8">
        <w:rPr>
          <w:color w:val="202124"/>
          <w:sz w:val="22"/>
          <w:szCs w:val="22"/>
          <w:highlight w:val="yellow"/>
          <w:lang w:val="en"/>
        </w:rPr>
        <w:t xml:space="preserve"> SM, &amp;</w:t>
      </w:r>
      <w:proofErr w:type="spellStart"/>
      <w:r w:rsidR="00AE06F1" w:rsidRPr="008076E8">
        <w:rPr>
          <w:color w:val="202124"/>
          <w:sz w:val="22"/>
          <w:szCs w:val="22"/>
          <w:highlight w:val="yellow"/>
          <w:lang w:val="en"/>
        </w:rPr>
        <w:t>Lappalainen</w:t>
      </w:r>
      <w:proofErr w:type="spellEnd"/>
      <w:r w:rsidR="00AE06F1" w:rsidRPr="008076E8">
        <w:rPr>
          <w:color w:val="202124"/>
          <w:sz w:val="22"/>
          <w:szCs w:val="22"/>
          <w:highlight w:val="yellow"/>
          <w:lang w:val="en"/>
        </w:rPr>
        <w:t xml:space="preserve"> R, 2020). </w:t>
      </w:r>
    </w:p>
    <w:p w14:paraId="47DD864F" w14:textId="58915907" w:rsidR="00CD2DE3" w:rsidRPr="008076E8" w:rsidRDefault="002A635F"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highlight w:val="yellow"/>
          <w:lang w:val="en-US"/>
        </w:rPr>
        <w:lastRenderedPageBreak/>
        <w:t>Until now a</w:t>
      </w:r>
      <w:r w:rsidR="003A6F81" w:rsidRPr="008076E8">
        <w:rPr>
          <w:color w:val="000000" w:themeColor="text1"/>
          <w:sz w:val="22"/>
          <w:szCs w:val="22"/>
          <w:highlight w:val="yellow"/>
          <w:lang w:val="en-US"/>
        </w:rPr>
        <w:t xml:space="preserve">ll studies addressed psychologic effect of COVID-19 pandemic on </w:t>
      </w:r>
      <w:r w:rsidRPr="008076E8">
        <w:rPr>
          <w:color w:val="000000" w:themeColor="text1"/>
          <w:sz w:val="22"/>
          <w:szCs w:val="22"/>
          <w:highlight w:val="yellow"/>
          <w:lang w:val="en-US"/>
        </w:rPr>
        <w:t xml:space="preserve">HCWs </w:t>
      </w:r>
      <w:r w:rsidR="003A6F81" w:rsidRPr="008076E8">
        <w:rPr>
          <w:color w:val="000000" w:themeColor="text1"/>
          <w:sz w:val="22"/>
          <w:szCs w:val="22"/>
          <w:highlight w:val="yellow"/>
          <w:lang w:val="en-US"/>
        </w:rPr>
        <w:t xml:space="preserve">cared adult </w:t>
      </w:r>
      <w:r w:rsidR="00484380" w:rsidRPr="008076E8">
        <w:rPr>
          <w:color w:val="000000" w:themeColor="text1"/>
          <w:sz w:val="22"/>
          <w:szCs w:val="22"/>
          <w:highlight w:val="yellow"/>
          <w:lang w:val="en-US"/>
        </w:rPr>
        <w:t xml:space="preserve">COVID-19 </w:t>
      </w:r>
      <w:r w:rsidR="003A6F81" w:rsidRPr="008076E8">
        <w:rPr>
          <w:color w:val="000000" w:themeColor="text1"/>
          <w:sz w:val="22"/>
          <w:szCs w:val="22"/>
          <w:highlight w:val="yellow"/>
          <w:lang w:val="en-US"/>
        </w:rPr>
        <w:t xml:space="preserve">patients. </w:t>
      </w:r>
      <w:r w:rsidR="00D51D5E" w:rsidRPr="008076E8">
        <w:rPr>
          <w:color w:val="000000" w:themeColor="text1"/>
          <w:sz w:val="22"/>
          <w:szCs w:val="22"/>
          <w:highlight w:val="yellow"/>
          <w:lang w:val="en-US"/>
        </w:rPr>
        <w:t>HCWs of</w:t>
      </w:r>
      <w:r w:rsidR="0046289A" w:rsidRPr="008076E8">
        <w:rPr>
          <w:color w:val="000000" w:themeColor="text1"/>
          <w:sz w:val="22"/>
          <w:szCs w:val="22"/>
          <w:highlight w:val="yellow"/>
          <w:lang w:val="en-US"/>
        </w:rPr>
        <w:t xml:space="preserve"> </w:t>
      </w:r>
      <w:r w:rsidR="00877FC6" w:rsidRPr="008076E8">
        <w:rPr>
          <w:color w:val="000000" w:themeColor="text1"/>
          <w:sz w:val="22"/>
          <w:szCs w:val="22"/>
          <w:highlight w:val="yellow"/>
          <w:lang w:val="en-US"/>
        </w:rPr>
        <w:t xml:space="preserve">Pediatric Clinic </w:t>
      </w:r>
      <w:r w:rsidRPr="008076E8">
        <w:rPr>
          <w:color w:val="000000" w:themeColor="text1"/>
          <w:sz w:val="22"/>
          <w:szCs w:val="22"/>
          <w:highlight w:val="yellow"/>
          <w:lang w:val="en-US"/>
        </w:rPr>
        <w:t xml:space="preserve">care </w:t>
      </w:r>
      <w:r w:rsidR="008955B0" w:rsidRPr="008076E8">
        <w:rPr>
          <w:color w:val="000000" w:themeColor="text1"/>
          <w:sz w:val="22"/>
          <w:szCs w:val="22"/>
          <w:highlight w:val="yellow"/>
          <w:lang w:val="en-US"/>
        </w:rPr>
        <w:t>children</w:t>
      </w:r>
      <w:r w:rsidRPr="008076E8">
        <w:rPr>
          <w:color w:val="000000" w:themeColor="text1"/>
          <w:sz w:val="22"/>
          <w:szCs w:val="22"/>
          <w:highlight w:val="yellow"/>
          <w:lang w:val="en-US"/>
        </w:rPr>
        <w:t xml:space="preserve"> who are</w:t>
      </w:r>
      <w:r w:rsidR="003A6F81" w:rsidRPr="008076E8">
        <w:rPr>
          <w:color w:val="000000" w:themeColor="text1"/>
          <w:sz w:val="22"/>
          <w:szCs w:val="22"/>
          <w:highlight w:val="yellow"/>
          <w:lang w:val="en-US"/>
        </w:rPr>
        <w:t xml:space="preserve"> usually asymptomatic or have milder symptoms of </w:t>
      </w:r>
      <w:r w:rsidR="008955B0" w:rsidRPr="008076E8">
        <w:rPr>
          <w:color w:val="000000" w:themeColor="text1"/>
          <w:sz w:val="22"/>
          <w:szCs w:val="22"/>
          <w:highlight w:val="yellow"/>
          <w:lang w:val="en-US"/>
        </w:rPr>
        <w:t>disease</w:t>
      </w:r>
      <w:r w:rsidR="003A6F81" w:rsidRPr="008076E8">
        <w:rPr>
          <w:color w:val="000000" w:themeColor="text1"/>
          <w:sz w:val="22"/>
          <w:szCs w:val="22"/>
          <w:highlight w:val="yellow"/>
          <w:lang w:val="en-US"/>
        </w:rPr>
        <w:t xml:space="preserve"> (Mehta et al., 2020)</w:t>
      </w:r>
      <w:r w:rsidR="00484380" w:rsidRPr="008076E8">
        <w:rPr>
          <w:color w:val="000000" w:themeColor="text1"/>
          <w:sz w:val="22"/>
          <w:szCs w:val="22"/>
          <w:highlight w:val="yellow"/>
          <w:lang w:val="en-US"/>
        </w:rPr>
        <w:t>.</w:t>
      </w:r>
      <w:r w:rsidRPr="008076E8">
        <w:rPr>
          <w:color w:val="000000" w:themeColor="text1"/>
          <w:sz w:val="22"/>
          <w:szCs w:val="22"/>
          <w:highlight w:val="yellow"/>
          <w:lang w:val="en-US"/>
        </w:rPr>
        <w:t xml:space="preserve"> </w:t>
      </w:r>
      <w:r w:rsidR="00484380" w:rsidRPr="008076E8">
        <w:rPr>
          <w:color w:val="000000" w:themeColor="text1"/>
          <w:sz w:val="22"/>
          <w:szCs w:val="22"/>
          <w:highlight w:val="yellow"/>
          <w:lang w:val="en-US"/>
        </w:rPr>
        <w:t>E</w:t>
      </w:r>
      <w:r w:rsidRPr="008076E8">
        <w:rPr>
          <w:color w:val="000000" w:themeColor="text1"/>
          <w:sz w:val="22"/>
          <w:szCs w:val="22"/>
          <w:highlight w:val="yellow"/>
          <w:lang w:val="en-US"/>
        </w:rPr>
        <w:t>ven if</w:t>
      </w:r>
      <w:r w:rsidR="00484380" w:rsidRPr="008076E8">
        <w:rPr>
          <w:color w:val="000000" w:themeColor="text1"/>
          <w:sz w:val="22"/>
          <w:szCs w:val="22"/>
          <w:highlight w:val="yellow"/>
          <w:lang w:val="en-US"/>
        </w:rPr>
        <w:t xml:space="preserve"> </w:t>
      </w:r>
      <w:r w:rsidR="00CE441C" w:rsidRPr="008076E8">
        <w:rPr>
          <w:color w:val="000000" w:themeColor="text1"/>
          <w:sz w:val="22"/>
          <w:szCs w:val="22"/>
          <w:highlight w:val="yellow"/>
          <w:shd w:val="clear" w:color="auto" w:fill="FFFFFF"/>
          <w:lang w:val="en-US"/>
        </w:rPr>
        <w:t>limited evidence suggests that transmission of COVID-19 by children is uncommon</w:t>
      </w:r>
      <w:r w:rsidR="00CE441C" w:rsidRPr="008076E8">
        <w:rPr>
          <w:color w:val="000000" w:themeColor="text1"/>
          <w:sz w:val="22"/>
          <w:szCs w:val="22"/>
          <w:highlight w:val="yellow"/>
          <w:shd w:val="clear" w:color="auto" w:fill="FFFFFF"/>
          <w:vertAlign w:val="superscript"/>
          <w:lang w:val="en-US"/>
        </w:rPr>
        <w:t xml:space="preserve"> </w:t>
      </w:r>
      <w:r w:rsidR="00CE441C" w:rsidRPr="008076E8">
        <w:rPr>
          <w:sz w:val="22"/>
          <w:szCs w:val="22"/>
          <w:highlight w:val="yellow"/>
          <w:shd w:val="clear" w:color="auto" w:fill="FFFFFF"/>
          <w:lang w:val="en-US"/>
        </w:rPr>
        <w:t>(Lee et al., 2020; Lu et al., 2019; Yung et al., 2020)</w:t>
      </w:r>
      <w:r w:rsidR="00073DC2" w:rsidRPr="008076E8">
        <w:rPr>
          <w:color w:val="000000" w:themeColor="text1"/>
          <w:sz w:val="22"/>
          <w:szCs w:val="22"/>
          <w:highlight w:val="yellow"/>
          <w:shd w:val="clear" w:color="auto" w:fill="FFFFFF"/>
          <w:lang w:val="en-US"/>
        </w:rPr>
        <w:t xml:space="preserve">, </w:t>
      </w:r>
      <w:r w:rsidR="00CE441C" w:rsidRPr="008076E8">
        <w:rPr>
          <w:color w:val="000000" w:themeColor="text1"/>
          <w:sz w:val="22"/>
          <w:szCs w:val="22"/>
          <w:highlight w:val="yellow"/>
          <w:lang w:val="en-US"/>
        </w:rPr>
        <w:t>there is a great fear among HCWs about children</w:t>
      </w:r>
      <w:r w:rsidR="00073DC2" w:rsidRPr="008076E8">
        <w:rPr>
          <w:color w:val="000000" w:themeColor="text1"/>
          <w:sz w:val="22"/>
          <w:szCs w:val="22"/>
          <w:highlight w:val="yellow"/>
          <w:lang w:val="en-US"/>
        </w:rPr>
        <w:t>’s</w:t>
      </w:r>
      <w:r w:rsidR="00CE441C" w:rsidRPr="008076E8">
        <w:rPr>
          <w:color w:val="000000" w:themeColor="text1"/>
          <w:sz w:val="22"/>
          <w:szCs w:val="22"/>
          <w:highlight w:val="yellow"/>
          <w:lang w:val="en-US"/>
        </w:rPr>
        <w:t xml:space="preserve"> role in transmission of virus by unnoticed viral shedding. </w:t>
      </w:r>
      <w:r w:rsidR="00073DC2" w:rsidRPr="008076E8">
        <w:rPr>
          <w:color w:val="000000" w:themeColor="text1"/>
          <w:sz w:val="22"/>
          <w:szCs w:val="22"/>
          <w:highlight w:val="yellow"/>
          <w:lang w:val="en-US"/>
        </w:rPr>
        <w:t>So,</w:t>
      </w:r>
      <w:r w:rsidR="00CE441C" w:rsidRPr="008076E8">
        <w:rPr>
          <w:color w:val="000000" w:themeColor="text1"/>
          <w:sz w:val="22"/>
          <w:szCs w:val="22"/>
          <w:highlight w:val="yellow"/>
          <w:lang w:val="en-US"/>
        </w:rPr>
        <w:t xml:space="preserve"> we want</w:t>
      </w:r>
      <w:r w:rsidR="00213B3F" w:rsidRPr="008076E8">
        <w:rPr>
          <w:color w:val="000000" w:themeColor="text1"/>
          <w:sz w:val="22"/>
          <w:szCs w:val="22"/>
          <w:highlight w:val="yellow"/>
          <w:lang w:val="en-US"/>
        </w:rPr>
        <w:t>ed</w:t>
      </w:r>
      <w:r w:rsidR="00CE441C" w:rsidRPr="008076E8">
        <w:rPr>
          <w:color w:val="000000" w:themeColor="text1"/>
          <w:sz w:val="22"/>
          <w:szCs w:val="22"/>
          <w:highlight w:val="yellow"/>
          <w:lang w:val="en-US"/>
        </w:rPr>
        <w:t xml:space="preserve"> to demonstrate </w:t>
      </w:r>
      <w:r w:rsidR="00073DC2" w:rsidRPr="008076E8">
        <w:rPr>
          <w:color w:val="000000" w:themeColor="text1"/>
          <w:sz w:val="22"/>
          <w:szCs w:val="22"/>
          <w:highlight w:val="yellow"/>
          <w:lang w:val="en-US"/>
        </w:rPr>
        <w:t>if there are psychological</w:t>
      </w:r>
      <w:r w:rsidR="00CE441C" w:rsidRPr="008076E8">
        <w:rPr>
          <w:color w:val="000000" w:themeColor="text1"/>
          <w:sz w:val="22"/>
          <w:szCs w:val="22"/>
          <w:highlight w:val="yellow"/>
          <w:lang w:val="en-US"/>
        </w:rPr>
        <w:t xml:space="preserve"> effects </w:t>
      </w:r>
      <w:r w:rsidR="00484380" w:rsidRPr="008076E8">
        <w:rPr>
          <w:color w:val="000000" w:themeColor="text1"/>
          <w:sz w:val="22"/>
          <w:szCs w:val="22"/>
          <w:highlight w:val="yellow"/>
          <w:lang w:val="en-US"/>
        </w:rPr>
        <w:t xml:space="preserve">of COVID-19 pandemic </w:t>
      </w:r>
      <w:r w:rsidR="008955B0" w:rsidRPr="008076E8">
        <w:rPr>
          <w:color w:val="000000" w:themeColor="text1"/>
          <w:sz w:val="22"/>
          <w:szCs w:val="22"/>
          <w:highlight w:val="yellow"/>
          <w:lang w:val="en-US"/>
        </w:rPr>
        <w:t>HCWs</w:t>
      </w:r>
      <w:r w:rsidR="00CE441C" w:rsidRPr="008076E8">
        <w:rPr>
          <w:color w:val="000000" w:themeColor="text1"/>
          <w:sz w:val="22"/>
          <w:szCs w:val="22"/>
          <w:highlight w:val="yellow"/>
          <w:lang w:val="en-US"/>
        </w:rPr>
        <w:t xml:space="preserve"> who </w:t>
      </w:r>
      <w:r w:rsidR="00073DC2" w:rsidRPr="008076E8">
        <w:rPr>
          <w:color w:val="000000" w:themeColor="text1"/>
          <w:sz w:val="22"/>
          <w:szCs w:val="22"/>
          <w:highlight w:val="yellow"/>
          <w:lang w:val="en-US"/>
        </w:rPr>
        <w:t>are actually far from severely</w:t>
      </w:r>
      <w:r w:rsidR="00CE441C" w:rsidRPr="008076E8">
        <w:rPr>
          <w:color w:val="000000" w:themeColor="text1"/>
          <w:sz w:val="22"/>
          <w:szCs w:val="22"/>
          <w:highlight w:val="yellow"/>
          <w:lang w:val="en-US"/>
        </w:rPr>
        <w:t xml:space="preserve"> ill COVID-19 patients</w:t>
      </w:r>
      <w:r w:rsidR="00D51D5E" w:rsidRPr="008076E8">
        <w:rPr>
          <w:color w:val="000000" w:themeColor="text1"/>
          <w:sz w:val="22"/>
          <w:szCs w:val="22"/>
          <w:lang w:val="en-US"/>
        </w:rPr>
        <w:t>.</w:t>
      </w:r>
      <w:r w:rsidR="00CE441C" w:rsidRPr="008076E8">
        <w:rPr>
          <w:color w:val="000000" w:themeColor="text1"/>
          <w:sz w:val="22"/>
          <w:szCs w:val="22"/>
          <w:lang w:val="en-US"/>
        </w:rPr>
        <w:t xml:space="preserve"> </w:t>
      </w:r>
    </w:p>
    <w:p w14:paraId="223A4C9F" w14:textId="7A7765F4" w:rsidR="00B66E84" w:rsidRPr="008076E8" w:rsidRDefault="008D68B0" w:rsidP="008076E8">
      <w:pPr>
        <w:spacing w:before="100" w:beforeAutospacing="1" w:after="100" w:afterAutospacing="1" w:line="480" w:lineRule="auto"/>
        <w:jc w:val="both"/>
        <w:rPr>
          <w:color w:val="000000" w:themeColor="text1"/>
          <w:sz w:val="22"/>
          <w:szCs w:val="22"/>
          <w:highlight w:val="yellow"/>
          <w:lang w:val="en-US"/>
        </w:rPr>
      </w:pPr>
      <w:r w:rsidRPr="008076E8">
        <w:rPr>
          <w:color w:val="000000" w:themeColor="text1"/>
          <w:sz w:val="22"/>
          <w:szCs w:val="22"/>
          <w:highlight w:val="yellow"/>
          <w:lang w:val="en-US"/>
        </w:rPr>
        <w:t>Three months</w:t>
      </w:r>
      <w:r w:rsidR="00B66E84" w:rsidRPr="008076E8">
        <w:rPr>
          <w:color w:val="000000" w:themeColor="text1"/>
          <w:sz w:val="22"/>
          <w:szCs w:val="22"/>
          <w:highlight w:val="yellow"/>
          <w:lang w:val="en-US"/>
        </w:rPr>
        <w:t xml:space="preserve"> after pandemic, Health of Ministry</w:t>
      </w:r>
      <w:r w:rsidRPr="008076E8">
        <w:rPr>
          <w:color w:val="000000" w:themeColor="text1"/>
          <w:sz w:val="22"/>
          <w:szCs w:val="22"/>
          <w:highlight w:val="yellow"/>
          <w:lang w:val="en-US"/>
        </w:rPr>
        <w:t xml:space="preserve"> of our country </w:t>
      </w:r>
      <w:r w:rsidR="00B66E84" w:rsidRPr="008076E8">
        <w:rPr>
          <w:color w:val="000000" w:themeColor="text1"/>
          <w:sz w:val="22"/>
          <w:szCs w:val="22"/>
          <w:highlight w:val="yellow"/>
          <w:lang w:val="en-US"/>
        </w:rPr>
        <w:t>announced</w:t>
      </w:r>
      <w:r w:rsidRPr="008076E8">
        <w:rPr>
          <w:color w:val="000000" w:themeColor="text1"/>
          <w:sz w:val="22"/>
          <w:szCs w:val="22"/>
          <w:highlight w:val="yellow"/>
          <w:lang w:val="en-US"/>
        </w:rPr>
        <w:t xml:space="preserve"> June 1, 2020</w:t>
      </w:r>
      <w:r w:rsidR="00B66E84" w:rsidRPr="008076E8">
        <w:rPr>
          <w:color w:val="000000" w:themeColor="text1"/>
          <w:sz w:val="22"/>
          <w:szCs w:val="22"/>
          <w:highlight w:val="yellow"/>
          <w:lang w:val="en-US"/>
        </w:rPr>
        <w:t xml:space="preserve"> </w:t>
      </w:r>
      <w:r w:rsidRPr="008076E8">
        <w:rPr>
          <w:color w:val="000000" w:themeColor="text1"/>
          <w:sz w:val="22"/>
          <w:szCs w:val="22"/>
          <w:highlight w:val="yellow"/>
          <w:lang w:val="en-US"/>
        </w:rPr>
        <w:t xml:space="preserve">as </w:t>
      </w:r>
      <w:r w:rsidR="00B66E84" w:rsidRPr="008076E8">
        <w:rPr>
          <w:color w:val="000000" w:themeColor="text1"/>
          <w:sz w:val="22"/>
          <w:szCs w:val="22"/>
          <w:highlight w:val="yellow"/>
          <w:lang w:val="en-US"/>
        </w:rPr>
        <w:t>date for beginning of normalization process of pandemic. This meant that after strict isolation and limitation</w:t>
      </w:r>
      <w:r w:rsidR="00213B3F" w:rsidRPr="008076E8">
        <w:rPr>
          <w:color w:val="000000" w:themeColor="text1"/>
          <w:sz w:val="22"/>
          <w:szCs w:val="22"/>
          <w:highlight w:val="yellow"/>
          <w:lang w:val="en-US"/>
        </w:rPr>
        <w:t>s</w:t>
      </w:r>
      <w:r w:rsidR="00B66E84" w:rsidRPr="008076E8">
        <w:rPr>
          <w:color w:val="000000" w:themeColor="text1"/>
          <w:sz w:val="22"/>
          <w:szCs w:val="22"/>
          <w:highlight w:val="yellow"/>
          <w:lang w:val="en-US"/>
        </w:rPr>
        <w:t xml:space="preserve">, HCWs will start working with new rules to abstain from infection in hospital. </w:t>
      </w:r>
      <w:r w:rsidR="00926169" w:rsidRPr="008076E8">
        <w:rPr>
          <w:color w:val="202124"/>
          <w:sz w:val="22"/>
          <w:szCs w:val="22"/>
          <w:highlight w:val="yellow"/>
          <w:lang w:val="en"/>
        </w:rPr>
        <w:t>In this period, we want to analyze the effect of working conditions and psychological flexibility on the burnout level of healthcare workers.</w:t>
      </w:r>
      <w:r w:rsidR="00926169" w:rsidRPr="008076E8">
        <w:rPr>
          <w:color w:val="000000" w:themeColor="text1"/>
          <w:sz w:val="22"/>
          <w:szCs w:val="22"/>
          <w:highlight w:val="yellow"/>
          <w:lang w:val="en-US"/>
        </w:rPr>
        <w:t xml:space="preserve"> </w:t>
      </w:r>
    </w:p>
    <w:p w14:paraId="319A360C" w14:textId="03DAB23F" w:rsidR="00B66E84" w:rsidRPr="008076E8" w:rsidRDefault="003C7AAD" w:rsidP="008076E8">
      <w:pPr>
        <w:spacing w:before="100" w:beforeAutospacing="1" w:after="100" w:afterAutospacing="1" w:line="480" w:lineRule="auto"/>
        <w:jc w:val="both"/>
        <w:rPr>
          <w:color w:val="000000" w:themeColor="text1"/>
          <w:sz w:val="22"/>
          <w:szCs w:val="22"/>
          <w:lang w:val="en-US"/>
        </w:rPr>
      </w:pPr>
      <w:r w:rsidRPr="008076E8">
        <w:rPr>
          <w:b/>
          <w:bCs/>
          <w:color w:val="000000" w:themeColor="text1"/>
          <w:sz w:val="22"/>
          <w:szCs w:val="22"/>
          <w:lang w:val="en-US"/>
        </w:rPr>
        <w:t xml:space="preserve">MATERIAL and </w:t>
      </w:r>
      <w:r w:rsidR="00B66E84" w:rsidRPr="008076E8">
        <w:rPr>
          <w:b/>
          <w:bCs/>
          <w:color w:val="000000" w:themeColor="text1"/>
          <w:sz w:val="22"/>
          <w:szCs w:val="22"/>
          <w:lang w:val="en-US"/>
        </w:rPr>
        <w:t>M</w:t>
      </w:r>
      <w:r w:rsidRPr="008076E8">
        <w:rPr>
          <w:b/>
          <w:bCs/>
          <w:color w:val="000000" w:themeColor="text1"/>
          <w:sz w:val="22"/>
          <w:szCs w:val="22"/>
          <w:lang w:val="en-US"/>
        </w:rPr>
        <w:t>ETHODS</w:t>
      </w:r>
    </w:p>
    <w:p w14:paraId="3C13F3E6" w14:textId="34C8EE0C" w:rsidR="0040498E" w:rsidRPr="008076E8" w:rsidRDefault="00B66E84" w:rsidP="008076E8">
      <w:pPr>
        <w:pStyle w:val="NormalWeb"/>
        <w:spacing w:line="480" w:lineRule="auto"/>
        <w:jc w:val="both"/>
        <w:rPr>
          <w:color w:val="000000" w:themeColor="text1"/>
          <w:sz w:val="22"/>
          <w:szCs w:val="22"/>
          <w:lang w:val="en-US"/>
        </w:rPr>
      </w:pPr>
      <w:r w:rsidRPr="008076E8">
        <w:rPr>
          <w:color w:val="000000" w:themeColor="text1"/>
          <w:sz w:val="22"/>
          <w:szCs w:val="22"/>
          <w:lang w:val="en-US"/>
        </w:rPr>
        <w:t xml:space="preserve">The study is a cross-sectional, hospital-based survey conducted between June 10, 2020 and June 15, 2020, after first three months of </w:t>
      </w:r>
      <w:r w:rsidR="00124BB2" w:rsidRPr="008076E8">
        <w:rPr>
          <w:color w:val="000000" w:themeColor="text1"/>
          <w:sz w:val="22"/>
          <w:szCs w:val="22"/>
          <w:lang w:val="en-US"/>
        </w:rPr>
        <w:t xml:space="preserve">the </w:t>
      </w:r>
      <w:r w:rsidRPr="008076E8">
        <w:rPr>
          <w:color w:val="000000" w:themeColor="text1"/>
          <w:sz w:val="22"/>
          <w:szCs w:val="22"/>
          <w:lang w:val="en-US"/>
        </w:rPr>
        <w:t xml:space="preserve">COVID-19 outbreak in Turkey. </w:t>
      </w:r>
      <w:r w:rsidR="00124BB2" w:rsidRPr="008076E8">
        <w:rPr>
          <w:color w:val="000000" w:themeColor="text1"/>
          <w:sz w:val="22"/>
          <w:szCs w:val="22"/>
          <w:highlight w:val="cyan"/>
          <w:lang w:val="en-US"/>
        </w:rPr>
        <w:t>Three hundred eighty-five</w:t>
      </w:r>
      <w:r w:rsidR="00124BB2" w:rsidRPr="008076E8">
        <w:rPr>
          <w:color w:val="000000" w:themeColor="text1"/>
          <w:sz w:val="22"/>
          <w:szCs w:val="22"/>
          <w:lang w:val="en-US"/>
        </w:rPr>
        <w:t xml:space="preserve"> HCWs</w:t>
      </w:r>
      <w:r w:rsidRPr="008076E8">
        <w:rPr>
          <w:color w:val="000000" w:themeColor="text1"/>
          <w:sz w:val="22"/>
          <w:szCs w:val="22"/>
          <w:lang w:val="en-US"/>
        </w:rPr>
        <w:t xml:space="preserve"> of </w:t>
      </w:r>
      <w:r w:rsidRPr="008076E8">
        <w:rPr>
          <w:color w:val="000000" w:themeColor="text1"/>
          <w:sz w:val="22"/>
          <w:szCs w:val="22"/>
          <w:highlight w:val="yellow"/>
          <w:lang w:val="en-US"/>
        </w:rPr>
        <w:t>Pediatric Clinic</w:t>
      </w:r>
      <w:r w:rsidRPr="008076E8">
        <w:rPr>
          <w:color w:val="000000" w:themeColor="text1"/>
          <w:sz w:val="22"/>
          <w:szCs w:val="22"/>
          <w:lang w:val="en-US"/>
        </w:rPr>
        <w:t xml:space="preserve"> were asked to participate in to </w:t>
      </w:r>
      <w:r w:rsidR="00124BB2" w:rsidRPr="008076E8">
        <w:rPr>
          <w:color w:val="000000" w:themeColor="text1"/>
          <w:sz w:val="22"/>
          <w:szCs w:val="22"/>
          <w:lang w:val="en-US"/>
        </w:rPr>
        <w:t xml:space="preserve">the </w:t>
      </w:r>
      <w:r w:rsidRPr="008076E8">
        <w:rPr>
          <w:color w:val="000000" w:themeColor="text1"/>
          <w:sz w:val="22"/>
          <w:szCs w:val="22"/>
          <w:lang w:val="en-US"/>
        </w:rPr>
        <w:t>study, 261 of them reported questionnaires. Demographic data were self-reported by the participants</w:t>
      </w:r>
      <w:r w:rsidR="009258A0" w:rsidRPr="008076E8">
        <w:rPr>
          <w:color w:val="000000" w:themeColor="text1"/>
          <w:sz w:val="22"/>
          <w:szCs w:val="22"/>
          <w:lang w:val="en-US"/>
        </w:rPr>
        <w:t>,</w:t>
      </w:r>
      <w:r w:rsidRPr="008076E8">
        <w:rPr>
          <w:color w:val="000000" w:themeColor="text1"/>
          <w:sz w:val="22"/>
          <w:szCs w:val="22"/>
          <w:lang w:val="en-US"/>
        </w:rPr>
        <w:t xml:space="preserve"> </w:t>
      </w:r>
      <w:r w:rsidRPr="008076E8">
        <w:rPr>
          <w:color w:val="000000" w:themeColor="text1"/>
          <w:sz w:val="22"/>
          <w:szCs w:val="22"/>
          <w:highlight w:val="yellow"/>
          <w:lang w:val="en-US"/>
        </w:rPr>
        <w:t>includ</w:t>
      </w:r>
      <w:r w:rsidR="00854AEC" w:rsidRPr="008076E8">
        <w:rPr>
          <w:color w:val="000000" w:themeColor="text1"/>
          <w:sz w:val="22"/>
          <w:szCs w:val="22"/>
          <w:highlight w:val="yellow"/>
          <w:lang w:val="en-US"/>
        </w:rPr>
        <w:t>ing their</w:t>
      </w:r>
      <w:r w:rsidRPr="008076E8">
        <w:rPr>
          <w:color w:val="000000" w:themeColor="text1"/>
          <w:sz w:val="22"/>
          <w:szCs w:val="22"/>
          <w:lang w:val="en-US"/>
        </w:rPr>
        <w:t xml:space="preserve"> age, sex, marital status, occupation, comorbid diseases, </w:t>
      </w:r>
      <w:r w:rsidR="009258A0" w:rsidRPr="008076E8">
        <w:rPr>
          <w:color w:val="000000" w:themeColor="text1"/>
          <w:sz w:val="22"/>
          <w:szCs w:val="22"/>
          <w:lang w:val="en-US"/>
        </w:rPr>
        <w:t xml:space="preserve">history of mental disorders, </w:t>
      </w:r>
      <w:r w:rsidR="00C83A65" w:rsidRPr="008076E8">
        <w:rPr>
          <w:color w:val="000000" w:themeColor="text1"/>
          <w:sz w:val="22"/>
          <w:szCs w:val="22"/>
          <w:lang w:val="en-US"/>
        </w:rPr>
        <w:t xml:space="preserve">and </w:t>
      </w:r>
      <w:r w:rsidR="009258A0" w:rsidRPr="008076E8">
        <w:rPr>
          <w:color w:val="000000" w:themeColor="text1"/>
          <w:sz w:val="22"/>
          <w:szCs w:val="22"/>
          <w:lang w:val="en-US"/>
        </w:rPr>
        <w:t xml:space="preserve">smoking status and if </w:t>
      </w:r>
      <w:r w:rsidRPr="008076E8">
        <w:rPr>
          <w:color w:val="000000" w:themeColor="text1"/>
          <w:sz w:val="22"/>
          <w:szCs w:val="22"/>
          <w:lang w:val="en-US"/>
        </w:rPr>
        <w:t xml:space="preserve">living with relatives with comorbidities, having close co-worker with COVID-19. Participants who worked in </w:t>
      </w:r>
      <w:r w:rsidR="009258A0" w:rsidRPr="008076E8">
        <w:rPr>
          <w:color w:val="000000" w:themeColor="text1"/>
          <w:sz w:val="22"/>
          <w:szCs w:val="22"/>
          <w:lang w:val="en-US"/>
        </w:rPr>
        <w:t xml:space="preserve">the </w:t>
      </w:r>
      <w:r w:rsidRPr="008076E8">
        <w:rPr>
          <w:color w:val="000000" w:themeColor="text1"/>
          <w:sz w:val="22"/>
          <w:szCs w:val="22"/>
          <w:lang w:val="en-US"/>
        </w:rPr>
        <w:t>emergency room, outpatient clinic</w:t>
      </w:r>
      <w:r w:rsidR="009258A0" w:rsidRPr="008076E8">
        <w:rPr>
          <w:color w:val="000000" w:themeColor="text1"/>
          <w:sz w:val="22"/>
          <w:szCs w:val="22"/>
          <w:lang w:val="en-US"/>
        </w:rPr>
        <w:t>s</w:t>
      </w:r>
      <w:r w:rsidRPr="008076E8">
        <w:rPr>
          <w:color w:val="000000" w:themeColor="text1"/>
          <w:sz w:val="22"/>
          <w:szCs w:val="22"/>
          <w:lang w:val="en-US"/>
        </w:rPr>
        <w:t xml:space="preserve"> and </w:t>
      </w:r>
      <w:r w:rsidR="009258A0" w:rsidRPr="008076E8">
        <w:rPr>
          <w:color w:val="000000" w:themeColor="text1"/>
          <w:sz w:val="22"/>
          <w:szCs w:val="22"/>
          <w:lang w:val="en-US"/>
        </w:rPr>
        <w:t xml:space="preserve">the </w:t>
      </w:r>
      <w:r w:rsidRPr="008076E8">
        <w:rPr>
          <w:color w:val="000000" w:themeColor="text1"/>
          <w:sz w:val="22"/>
          <w:szCs w:val="22"/>
          <w:lang w:val="en-US"/>
        </w:rPr>
        <w:t xml:space="preserve">ward arranged for COVİD-19 patients were defined </w:t>
      </w:r>
      <w:r w:rsidR="009258A0" w:rsidRPr="008076E8">
        <w:rPr>
          <w:color w:val="000000" w:themeColor="text1"/>
          <w:sz w:val="22"/>
          <w:szCs w:val="22"/>
          <w:lang w:val="en-US"/>
        </w:rPr>
        <w:t xml:space="preserve">as </w:t>
      </w:r>
      <w:r w:rsidRPr="008076E8">
        <w:rPr>
          <w:color w:val="000000" w:themeColor="text1"/>
          <w:sz w:val="22"/>
          <w:szCs w:val="22"/>
          <w:lang w:val="en-US"/>
        </w:rPr>
        <w:t xml:space="preserve">frontline workers, all </w:t>
      </w:r>
      <w:r w:rsidR="009258A0" w:rsidRPr="008076E8">
        <w:rPr>
          <w:color w:val="000000" w:themeColor="text1"/>
          <w:sz w:val="22"/>
          <w:szCs w:val="22"/>
          <w:highlight w:val="yellow"/>
          <w:lang w:val="en-US"/>
        </w:rPr>
        <w:t>others were</w:t>
      </w:r>
      <w:r w:rsidR="009258A0" w:rsidRPr="008076E8">
        <w:rPr>
          <w:color w:val="000000" w:themeColor="text1"/>
          <w:sz w:val="22"/>
          <w:szCs w:val="22"/>
          <w:lang w:val="en-US"/>
        </w:rPr>
        <w:t xml:space="preserve"> accepted</w:t>
      </w:r>
      <w:r w:rsidRPr="008076E8">
        <w:rPr>
          <w:color w:val="000000" w:themeColor="text1"/>
          <w:sz w:val="22"/>
          <w:szCs w:val="22"/>
          <w:lang w:val="en-US"/>
        </w:rPr>
        <w:t xml:space="preserve"> as second-line workers.</w:t>
      </w:r>
      <w:r w:rsidR="0040498E" w:rsidRPr="008076E8">
        <w:rPr>
          <w:color w:val="000000" w:themeColor="text1"/>
          <w:sz w:val="22"/>
          <w:szCs w:val="22"/>
          <w:lang w:val="en-US"/>
        </w:rPr>
        <w:t xml:space="preserve"> </w:t>
      </w:r>
      <w:r w:rsidRPr="008076E8">
        <w:rPr>
          <w:color w:val="000000" w:themeColor="text1"/>
          <w:sz w:val="22"/>
          <w:szCs w:val="22"/>
          <w:lang w:val="en-US"/>
        </w:rPr>
        <w:t>Psycholog</w:t>
      </w:r>
      <w:r w:rsidR="009258A0" w:rsidRPr="008076E8">
        <w:rPr>
          <w:color w:val="000000" w:themeColor="text1"/>
          <w:sz w:val="22"/>
          <w:szCs w:val="22"/>
          <w:lang w:val="en-US"/>
        </w:rPr>
        <w:t xml:space="preserve">ical impacts of outbreak on </w:t>
      </w:r>
      <w:r w:rsidRPr="008076E8">
        <w:rPr>
          <w:color w:val="000000" w:themeColor="text1"/>
          <w:sz w:val="22"/>
          <w:szCs w:val="22"/>
          <w:lang w:val="en-US"/>
        </w:rPr>
        <w:t xml:space="preserve">and burnout </w:t>
      </w:r>
      <w:r w:rsidR="009258A0" w:rsidRPr="008076E8">
        <w:rPr>
          <w:color w:val="000000" w:themeColor="text1"/>
          <w:sz w:val="22"/>
          <w:szCs w:val="22"/>
          <w:lang w:val="en-US"/>
        </w:rPr>
        <w:t xml:space="preserve">level of them </w:t>
      </w:r>
      <w:r w:rsidRPr="008076E8">
        <w:rPr>
          <w:color w:val="000000" w:themeColor="text1"/>
          <w:sz w:val="22"/>
          <w:szCs w:val="22"/>
          <w:lang w:val="en-US"/>
        </w:rPr>
        <w:t>were evaluated with the Depression Anxiety Stress Scale-21 (DASS-21), Acceptance and Action Questionnaire-II (AAQ-II), Maslach Burnout Inventory (</w:t>
      </w:r>
      <w:r w:rsidRPr="008076E8">
        <w:rPr>
          <w:color w:val="000000" w:themeColor="text1"/>
          <w:sz w:val="22"/>
          <w:szCs w:val="22"/>
          <w:highlight w:val="yellow"/>
          <w:lang w:val="en-US"/>
        </w:rPr>
        <w:t>MB</w:t>
      </w:r>
      <w:r w:rsidR="00854AEC" w:rsidRPr="008076E8">
        <w:rPr>
          <w:color w:val="000000" w:themeColor="text1"/>
          <w:sz w:val="22"/>
          <w:szCs w:val="22"/>
          <w:highlight w:val="yellow"/>
          <w:lang w:val="en-US"/>
        </w:rPr>
        <w:t>I</w:t>
      </w:r>
      <w:r w:rsidRPr="008076E8">
        <w:rPr>
          <w:color w:val="000000" w:themeColor="text1"/>
          <w:sz w:val="22"/>
          <w:szCs w:val="22"/>
          <w:highlight w:val="yellow"/>
          <w:lang w:val="en-US"/>
        </w:rPr>
        <w:t>).</w:t>
      </w:r>
      <w:r w:rsidR="00FD32DA" w:rsidRPr="008076E8">
        <w:rPr>
          <w:color w:val="000000" w:themeColor="text1"/>
          <w:sz w:val="22"/>
          <w:szCs w:val="22"/>
          <w:lang w:val="en-US"/>
        </w:rPr>
        <w:t xml:space="preserve"> </w:t>
      </w:r>
      <w:r w:rsidR="0040498E" w:rsidRPr="008076E8">
        <w:rPr>
          <w:color w:val="000000" w:themeColor="text1"/>
          <w:sz w:val="22"/>
          <w:szCs w:val="22"/>
          <w:highlight w:val="cyan"/>
          <w:lang w:val="en-US"/>
        </w:rPr>
        <w:t>The study was approved by the decision of Clinical Research Ethics Committee of XXXXX with the number of 2020/0352 and all procedures were in acco</w:t>
      </w:r>
      <w:r w:rsidR="00FD32DA" w:rsidRPr="008076E8">
        <w:rPr>
          <w:color w:val="000000" w:themeColor="text1"/>
          <w:sz w:val="22"/>
          <w:szCs w:val="22"/>
          <w:highlight w:val="cyan"/>
          <w:lang w:val="en-US"/>
        </w:rPr>
        <w:t>rdance with the Declaration of Helsinki</w:t>
      </w:r>
      <w:r w:rsidR="0040498E" w:rsidRPr="008076E8">
        <w:rPr>
          <w:color w:val="000000" w:themeColor="text1"/>
          <w:sz w:val="22"/>
          <w:szCs w:val="22"/>
          <w:highlight w:val="cyan"/>
          <w:lang w:val="en-US"/>
        </w:rPr>
        <w:t>.</w:t>
      </w:r>
    </w:p>
    <w:p w14:paraId="5CD136AF" w14:textId="0E18C2C1" w:rsidR="00B66E84" w:rsidRPr="008076E8" w:rsidRDefault="00B66E84" w:rsidP="008076E8">
      <w:pPr>
        <w:pStyle w:val="NormalWeb"/>
        <w:spacing w:line="480" w:lineRule="auto"/>
        <w:jc w:val="both"/>
        <w:rPr>
          <w:color w:val="000000" w:themeColor="text1"/>
          <w:sz w:val="22"/>
          <w:szCs w:val="22"/>
          <w:lang w:val="en-US"/>
        </w:rPr>
      </w:pPr>
      <w:r w:rsidRPr="008076E8">
        <w:rPr>
          <w:b/>
          <w:bCs/>
          <w:color w:val="000000" w:themeColor="text1"/>
          <w:sz w:val="22"/>
          <w:szCs w:val="22"/>
          <w:lang w:val="en-US"/>
        </w:rPr>
        <w:lastRenderedPageBreak/>
        <w:t>The DASS-21</w:t>
      </w:r>
      <w:r w:rsidRPr="008076E8">
        <w:rPr>
          <w:color w:val="000000" w:themeColor="text1"/>
          <w:sz w:val="22"/>
          <w:szCs w:val="22"/>
          <w:lang w:val="en-US"/>
        </w:rPr>
        <w:t xml:space="preserve"> is a self-evaluating scale containing 21 items that assess three constructs: Depression, Anxiety, and Stress</w:t>
      </w:r>
      <w:r w:rsidR="008A781C" w:rsidRPr="008076E8">
        <w:rPr>
          <w:color w:val="000000" w:themeColor="text1"/>
          <w:sz w:val="22"/>
          <w:szCs w:val="22"/>
          <w:vertAlign w:val="superscript"/>
          <w:lang w:val="en-US"/>
        </w:rPr>
        <w:t xml:space="preserve"> </w:t>
      </w:r>
      <w:r w:rsidR="008A781C" w:rsidRPr="008076E8">
        <w:rPr>
          <w:color w:val="000000" w:themeColor="text1"/>
          <w:sz w:val="22"/>
          <w:szCs w:val="22"/>
          <w:lang w:val="en-US"/>
        </w:rPr>
        <w:t xml:space="preserve">(P.F. </w:t>
      </w:r>
      <w:r w:rsidR="008A781C" w:rsidRPr="008076E8">
        <w:rPr>
          <w:sz w:val="22"/>
          <w:szCs w:val="22"/>
          <w:lang w:val="en-US"/>
        </w:rPr>
        <w:t>Lovibond &amp; S.H. Lovibond, 1995</w:t>
      </w:r>
      <w:r w:rsidR="008A781C" w:rsidRPr="008076E8">
        <w:rPr>
          <w:color w:val="000000" w:themeColor="text1"/>
          <w:sz w:val="22"/>
          <w:szCs w:val="22"/>
          <w:lang w:val="en-US"/>
        </w:rPr>
        <w:t>)</w:t>
      </w:r>
      <w:r w:rsidR="00617F96" w:rsidRPr="008076E8">
        <w:rPr>
          <w:color w:val="000000" w:themeColor="text1"/>
          <w:sz w:val="22"/>
          <w:szCs w:val="22"/>
          <w:lang w:val="en-US"/>
        </w:rPr>
        <w:t>.</w:t>
      </w:r>
      <w:r w:rsidRPr="008076E8">
        <w:rPr>
          <w:color w:val="000000" w:themeColor="text1"/>
          <w:sz w:val="22"/>
          <w:szCs w:val="22"/>
          <w:lang w:val="en-US"/>
        </w:rPr>
        <w:t xml:space="preserve"> Each subscale includes 7 statements. Items consist of statements referring to the previous week, participants are asked to read these statements and rate the frequency of the negative emotions. Ratings are made on a series of 4-point Likert- type scales from 0 (did not apply to me at all/ never) to 3 (applied to me very much/ always). Higher scores indicate more severe emotional distress. The validity and reliability studies of the Turkish version of the DASS-21 were performed by </w:t>
      </w:r>
      <w:proofErr w:type="spellStart"/>
      <w:r w:rsidRPr="008076E8">
        <w:rPr>
          <w:color w:val="000000" w:themeColor="text1"/>
          <w:sz w:val="22"/>
          <w:szCs w:val="22"/>
          <w:lang w:val="en-US"/>
        </w:rPr>
        <w:t>Sarıçam</w:t>
      </w:r>
      <w:proofErr w:type="spellEnd"/>
      <w:r w:rsidR="008A781C" w:rsidRPr="008076E8">
        <w:rPr>
          <w:color w:val="000000" w:themeColor="text1"/>
          <w:sz w:val="22"/>
          <w:szCs w:val="22"/>
          <w:lang w:val="en-US"/>
        </w:rPr>
        <w:t xml:space="preserve"> (2018)</w:t>
      </w:r>
      <w:r w:rsidRPr="008076E8">
        <w:rPr>
          <w:color w:val="000000" w:themeColor="text1"/>
          <w:sz w:val="22"/>
          <w:szCs w:val="22"/>
          <w:lang w:val="en-US"/>
        </w:rPr>
        <w:t xml:space="preserve"> and it was concluded that the scale was a valid and reliable instrument in the assessment of depression, anxiety, and stress levels. </w:t>
      </w:r>
    </w:p>
    <w:p w14:paraId="612BC81D" w14:textId="631E2469" w:rsidR="00B66E84" w:rsidRPr="008076E8" w:rsidRDefault="00B66E84" w:rsidP="008076E8">
      <w:pPr>
        <w:pStyle w:val="NormalWeb"/>
        <w:spacing w:line="480" w:lineRule="auto"/>
        <w:jc w:val="both"/>
        <w:rPr>
          <w:color w:val="000000" w:themeColor="text1"/>
          <w:sz w:val="22"/>
          <w:szCs w:val="22"/>
          <w:lang w:val="en-US"/>
        </w:rPr>
      </w:pPr>
      <w:r w:rsidRPr="008076E8">
        <w:rPr>
          <w:b/>
          <w:bCs/>
          <w:color w:val="000000" w:themeColor="text1"/>
          <w:sz w:val="22"/>
          <w:szCs w:val="22"/>
          <w:lang w:val="en-US"/>
        </w:rPr>
        <w:t>Acceptance and Action Questionnaire-II (AAQ-II):</w:t>
      </w:r>
      <w:r w:rsidRPr="008076E8">
        <w:rPr>
          <w:color w:val="000000" w:themeColor="text1"/>
          <w:sz w:val="22"/>
          <w:szCs w:val="22"/>
          <w:lang w:val="en-US"/>
        </w:rPr>
        <w:t xml:space="preserve"> AAQ- II is a common Acceptance and Commitment Therapy (ACT) measure which assesses the construct referred to as, variously, acceptance, experiential avoidance, and psychological </w:t>
      </w:r>
      <w:r w:rsidR="00617F96" w:rsidRPr="008076E8">
        <w:rPr>
          <w:color w:val="000000" w:themeColor="text1"/>
          <w:sz w:val="22"/>
          <w:szCs w:val="22"/>
          <w:lang w:val="en-US"/>
        </w:rPr>
        <w:t>inflexibility</w:t>
      </w:r>
      <w:r w:rsidR="0087228B" w:rsidRPr="008076E8">
        <w:rPr>
          <w:color w:val="000000" w:themeColor="text1"/>
          <w:sz w:val="22"/>
          <w:szCs w:val="22"/>
          <w:lang w:val="en-US"/>
        </w:rPr>
        <w:t xml:space="preserve"> (Bond et al., 2011)</w:t>
      </w:r>
      <w:r w:rsidR="00617F96" w:rsidRPr="008076E8">
        <w:rPr>
          <w:color w:val="000000" w:themeColor="text1"/>
          <w:sz w:val="22"/>
          <w:szCs w:val="22"/>
          <w:lang w:val="en-US"/>
        </w:rPr>
        <w:t>.</w:t>
      </w:r>
      <w:r w:rsidRPr="008076E8">
        <w:rPr>
          <w:color w:val="000000" w:themeColor="text1"/>
          <w:sz w:val="22"/>
          <w:szCs w:val="22"/>
          <w:lang w:val="en-US"/>
        </w:rPr>
        <w:t xml:space="preserve"> Higher scores indicate experiential avoidance, lower scores show more acceptance and psychological flexibility state. AAQ-II is a seven-item one-factor structure with 7-point Likert style scale and respondents rate items from 1 (“never true”) to 7 (“Always true”). AAQ-II was developed by Bond and colleagues and Turkish validity and reliability study of the scale was conducted by Yavuz et al</w:t>
      </w:r>
      <w:r w:rsidR="00F1321B" w:rsidRPr="008076E8">
        <w:rPr>
          <w:color w:val="000000" w:themeColor="text1"/>
          <w:sz w:val="22"/>
          <w:szCs w:val="22"/>
          <w:lang w:val="en-US"/>
        </w:rPr>
        <w:t>.</w:t>
      </w:r>
      <w:r w:rsidR="0087228B" w:rsidRPr="008076E8">
        <w:rPr>
          <w:color w:val="000000" w:themeColor="text1"/>
          <w:sz w:val="22"/>
          <w:szCs w:val="22"/>
          <w:lang w:val="en-US"/>
        </w:rPr>
        <w:t xml:space="preserve"> (2016)</w:t>
      </w:r>
      <w:r w:rsidRPr="008076E8">
        <w:rPr>
          <w:color w:val="000000" w:themeColor="text1"/>
          <w:sz w:val="22"/>
          <w:szCs w:val="22"/>
          <w:lang w:val="en-US"/>
        </w:rPr>
        <w:t>.</w:t>
      </w:r>
    </w:p>
    <w:p w14:paraId="67A8F9FE" w14:textId="23951D70" w:rsidR="00B66E84" w:rsidRPr="008076E8" w:rsidRDefault="00B66E84" w:rsidP="008076E8">
      <w:pPr>
        <w:pStyle w:val="NormalWeb"/>
        <w:spacing w:line="480" w:lineRule="auto"/>
        <w:jc w:val="both"/>
        <w:rPr>
          <w:color w:val="000000" w:themeColor="text1"/>
          <w:sz w:val="22"/>
          <w:szCs w:val="22"/>
          <w:lang w:val="en-US"/>
        </w:rPr>
      </w:pPr>
      <w:r w:rsidRPr="008076E8">
        <w:rPr>
          <w:b/>
          <w:bCs/>
          <w:color w:val="000000" w:themeColor="text1"/>
          <w:sz w:val="22"/>
          <w:szCs w:val="22"/>
          <w:lang w:val="en-US"/>
        </w:rPr>
        <w:t>Maslach Burnout Inventory (MB</w:t>
      </w:r>
      <w:r w:rsidR="00906D84" w:rsidRPr="008076E8">
        <w:rPr>
          <w:b/>
          <w:bCs/>
          <w:color w:val="000000" w:themeColor="text1"/>
          <w:sz w:val="22"/>
          <w:szCs w:val="22"/>
          <w:lang w:val="en-US"/>
        </w:rPr>
        <w:t>I</w:t>
      </w:r>
      <w:r w:rsidRPr="008076E8">
        <w:rPr>
          <w:b/>
          <w:bCs/>
          <w:color w:val="000000" w:themeColor="text1"/>
          <w:sz w:val="22"/>
          <w:szCs w:val="22"/>
          <w:lang w:val="en-US"/>
        </w:rPr>
        <w:t>):</w:t>
      </w:r>
      <w:r w:rsidRPr="008076E8">
        <w:rPr>
          <w:color w:val="000000" w:themeColor="text1"/>
          <w:sz w:val="22"/>
          <w:szCs w:val="22"/>
          <w:lang w:val="en-US"/>
        </w:rPr>
        <w:t xml:space="preserve">  The 22-item scale consisting of emotional exhaustion (EE), depersonalization (DP) and personal fulfillment (PF) subscales under the heading of burnout was developed by Maslach and Jackson</w:t>
      </w:r>
      <w:r w:rsidR="0087228B" w:rsidRPr="008076E8">
        <w:rPr>
          <w:color w:val="000000" w:themeColor="text1"/>
          <w:sz w:val="22"/>
          <w:szCs w:val="22"/>
          <w:lang w:val="en-US"/>
        </w:rPr>
        <w:t xml:space="preserve"> (1981)</w:t>
      </w:r>
      <w:r w:rsidR="006B78B3" w:rsidRPr="008076E8">
        <w:rPr>
          <w:color w:val="000000" w:themeColor="text1"/>
          <w:sz w:val="22"/>
          <w:szCs w:val="22"/>
          <w:lang w:val="en-US"/>
        </w:rPr>
        <w:t>.</w:t>
      </w:r>
      <w:r w:rsidRPr="008076E8">
        <w:rPr>
          <w:color w:val="000000" w:themeColor="text1"/>
          <w:sz w:val="22"/>
          <w:szCs w:val="22"/>
          <w:lang w:val="en-US"/>
        </w:rPr>
        <w:t xml:space="preserve"> The Turkish validity and reliability study of the scale was made by </w:t>
      </w:r>
      <w:proofErr w:type="spellStart"/>
      <w:r w:rsidRPr="008076E8">
        <w:rPr>
          <w:color w:val="000000" w:themeColor="text1"/>
          <w:sz w:val="22"/>
          <w:szCs w:val="22"/>
          <w:lang w:val="en-US"/>
        </w:rPr>
        <w:t>Ergin</w:t>
      </w:r>
      <w:proofErr w:type="spellEnd"/>
      <w:r w:rsidR="0087228B" w:rsidRPr="008076E8">
        <w:rPr>
          <w:color w:val="000000" w:themeColor="text1"/>
          <w:sz w:val="22"/>
          <w:szCs w:val="22"/>
          <w:vertAlign w:val="superscript"/>
          <w:lang w:val="en-US"/>
        </w:rPr>
        <w:t xml:space="preserve"> </w:t>
      </w:r>
      <w:r w:rsidR="0087228B" w:rsidRPr="008076E8">
        <w:rPr>
          <w:color w:val="000000" w:themeColor="text1"/>
          <w:sz w:val="22"/>
          <w:szCs w:val="22"/>
          <w:lang w:val="en-US"/>
        </w:rPr>
        <w:t>(1992)</w:t>
      </w:r>
      <w:r w:rsidRPr="008076E8">
        <w:rPr>
          <w:color w:val="000000" w:themeColor="text1"/>
          <w:sz w:val="22"/>
          <w:szCs w:val="22"/>
          <w:lang w:val="en-US"/>
        </w:rPr>
        <w:t>. In the Turkish adaptation of the scale, 7-point Likert type of the original scale converted to the 5-point Likert type between "never" - "every day". As the subscales are used as separate parameters, the total score of the scale shows the general burnout level. Increase in scale scores indicates a high level of burnout. During the evaluation of personal achievement subscale items, item scores are reverse-coded to obtain total scores. We consider a high degree of burnout in the case of EE ≥ 27 points, DP ≥ 10, and PF &lt;33. Moderate burnout will be considered in the case of 26&lt;EE&lt;19 points, 6&lt;DP&lt;9 points, and 34&lt; PF &lt; 39 points. Low levels will be considered for EE ≤ 18 points, DP ≤ 5 points, and PF ≥ 40 points</w:t>
      </w:r>
      <w:r w:rsidR="0087228B" w:rsidRPr="008076E8">
        <w:rPr>
          <w:color w:val="000000" w:themeColor="text1"/>
          <w:sz w:val="22"/>
          <w:szCs w:val="22"/>
          <w:vertAlign w:val="superscript"/>
          <w:lang w:val="en-US"/>
        </w:rPr>
        <w:t xml:space="preserve"> </w:t>
      </w:r>
      <w:r w:rsidR="0087228B" w:rsidRPr="008076E8">
        <w:rPr>
          <w:color w:val="000000" w:themeColor="text1"/>
          <w:sz w:val="22"/>
          <w:szCs w:val="22"/>
          <w:lang w:val="en-US"/>
        </w:rPr>
        <w:t>(Gómez-</w:t>
      </w:r>
      <w:proofErr w:type="spellStart"/>
      <w:r w:rsidR="0087228B" w:rsidRPr="008076E8">
        <w:rPr>
          <w:color w:val="000000" w:themeColor="text1"/>
          <w:sz w:val="22"/>
          <w:szCs w:val="22"/>
          <w:lang w:val="en-US"/>
        </w:rPr>
        <w:t>Gascón</w:t>
      </w:r>
      <w:proofErr w:type="spellEnd"/>
      <w:r w:rsidR="0087228B" w:rsidRPr="008076E8">
        <w:rPr>
          <w:color w:val="000000" w:themeColor="text1"/>
          <w:sz w:val="22"/>
          <w:szCs w:val="22"/>
          <w:lang w:val="en-US"/>
        </w:rPr>
        <w:t xml:space="preserve"> et al., 2013)</w:t>
      </w:r>
      <w:r w:rsidRPr="008076E8">
        <w:rPr>
          <w:color w:val="000000" w:themeColor="text1"/>
          <w:sz w:val="22"/>
          <w:szCs w:val="22"/>
          <w:lang w:val="en-US"/>
        </w:rPr>
        <w:t>.</w:t>
      </w:r>
    </w:p>
    <w:p w14:paraId="588B6FF8" w14:textId="77777777" w:rsidR="00B66E84" w:rsidRPr="008076E8" w:rsidRDefault="00B66E84" w:rsidP="008076E8">
      <w:pPr>
        <w:spacing w:before="100" w:beforeAutospacing="1" w:after="100" w:afterAutospacing="1" w:line="480" w:lineRule="auto"/>
        <w:jc w:val="both"/>
        <w:rPr>
          <w:b/>
          <w:bCs/>
          <w:color w:val="000000" w:themeColor="text1"/>
          <w:sz w:val="22"/>
          <w:szCs w:val="22"/>
          <w:lang w:val="en-US"/>
        </w:rPr>
      </w:pPr>
      <w:r w:rsidRPr="008076E8">
        <w:rPr>
          <w:b/>
          <w:bCs/>
          <w:color w:val="000000" w:themeColor="text1"/>
          <w:sz w:val="22"/>
          <w:szCs w:val="22"/>
          <w:lang w:val="en-US"/>
        </w:rPr>
        <w:lastRenderedPageBreak/>
        <w:t>Statistical Analysis</w:t>
      </w:r>
    </w:p>
    <w:p w14:paraId="7853701B" w14:textId="218F2B4E" w:rsidR="00B66E84" w:rsidRPr="008076E8" w:rsidRDefault="00B66E84" w:rsidP="008076E8">
      <w:pPr>
        <w:spacing w:line="480" w:lineRule="auto"/>
        <w:jc w:val="both"/>
        <w:rPr>
          <w:color w:val="000000" w:themeColor="text1"/>
          <w:sz w:val="22"/>
          <w:szCs w:val="22"/>
          <w:lang w:val="en-US"/>
        </w:rPr>
      </w:pPr>
      <w:r w:rsidRPr="008076E8">
        <w:rPr>
          <w:color w:val="000000" w:themeColor="text1"/>
          <w:sz w:val="22"/>
          <w:szCs w:val="22"/>
          <w:lang w:val="en-US"/>
        </w:rPr>
        <w:t>All variables were screened for the accuracy of data entry, missing values, and homoscedasticity using SPSS 20. The data had less than 5% of missing items, and no pattern was detected. Descriptive statistic was reported using means and standard deviations for continues variables and frequencies and percentages for categorical variables. Missing data were controlled by visual inspection. The nonparametric Mann-Whitney </w:t>
      </w:r>
      <w:r w:rsidRPr="008076E8">
        <w:rPr>
          <w:i/>
          <w:iCs/>
          <w:color w:val="000000" w:themeColor="text1"/>
          <w:sz w:val="22"/>
          <w:szCs w:val="22"/>
          <w:lang w:val="en-US"/>
        </w:rPr>
        <w:t>U</w:t>
      </w:r>
      <w:r w:rsidRPr="008076E8">
        <w:rPr>
          <w:color w:val="000000" w:themeColor="text1"/>
          <w:sz w:val="22"/>
          <w:szCs w:val="22"/>
          <w:lang w:val="en-US"/>
        </w:rPr>
        <w:t xml:space="preserve"> test was applied to compare the severity of each symptom between two groups. Relationships between experiential avoidance/psychological inflexibility (AAQ-II), burnout parameters (MBI) depression, anxiety, </w:t>
      </w:r>
      <w:r w:rsidR="00FF1CF0" w:rsidRPr="008076E8">
        <w:rPr>
          <w:color w:val="000000" w:themeColor="text1"/>
          <w:sz w:val="22"/>
          <w:szCs w:val="22"/>
          <w:lang w:val="en-US"/>
        </w:rPr>
        <w:t>distress</w:t>
      </w:r>
      <w:r w:rsidRPr="008076E8">
        <w:rPr>
          <w:color w:val="000000" w:themeColor="text1"/>
          <w:sz w:val="22"/>
          <w:szCs w:val="22"/>
          <w:lang w:val="en-US"/>
        </w:rPr>
        <w:t xml:space="preserve"> leve</w:t>
      </w:r>
      <w:r w:rsidR="00FF1CF0" w:rsidRPr="008076E8">
        <w:rPr>
          <w:color w:val="000000" w:themeColor="text1"/>
          <w:sz w:val="22"/>
          <w:szCs w:val="22"/>
          <w:lang w:val="en-US"/>
        </w:rPr>
        <w:t>l</w:t>
      </w:r>
      <w:r w:rsidRPr="008076E8">
        <w:rPr>
          <w:color w:val="000000" w:themeColor="text1"/>
          <w:sz w:val="22"/>
          <w:szCs w:val="22"/>
          <w:lang w:val="en-US"/>
        </w:rPr>
        <w:t xml:space="preserve">s (DASS), age and environmental working conditions (working days, hours and year of professional experience) were calculated using Spearman’s rank-order correlation coefficient with a significance level of </w:t>
      </w:r>
      <w:r w:rsidRPr="008076E8">
        <w:rPr>
          <w:i/>
          <w:iCs/>
          <w:color w:val="000000" w:themeColor="text1"/>
          <w:sz w:val="22"/>
          <w:szCs w:val="22"/>
          <w:lang w:val="en-US"/>
        </w:rPr>
        <w:t xml:space="preserve">p </w:t>
      </w:r>
      <w:r w:rsidRPr="008076E8">
        <w:rPr>
          <w:color w:val="000000" w:themeColor="text1"/>
          <w:sz w:val="22"/>
          <w:szCs w:val="22"/>
          <w:lang w:val="en-US"/>
        </w:rPr>
        <w:t xml:space="preserve">&lt; 0.05. To determine potential risk factors for burnout in participants, multiple linear regression analysis was performed. </w:t>
      </w:r>
    </w:p>
    <w:p w14:paraId="1A2E3CF1" w14:textId="662DF7B7" w:rsidR="00B66E84" w:rsidRPr="008076E8" w:rsidRDefault="003C7AAD" w:rsidP="008076E8">
      <w:pPr>
        <w:spacing w:line="480" w:lineRule="auto"/>
        <w:jc w:val="both"/>
        <w:rPr>
          <w:color w:val="000000" w:themeColor="text1"/>
          <w:sz w:val="22"/>
          <w:szCs w:val="22"/>
          <w:lang w:val="en-US"/>
        </w:rPr>
      </w:pPr>
      <w:r w:rsidRPr="008076E8">
        <w:rPr>
          <w:b/>
          <w:bCs/>
          <w:color w:val="000000" w:themeColor="text1"/>
          <w:sz w:val="22"/>
          <w:szCs w:val="22"/>
          <w:lang w:val="en-US"/>
        </w:rPr>
        <w:t>RESULTS</w:t>
      </w:r>
      <w:r w:rsidRPr="008076E8">
        <w:rPr>
          <w:color w:val="000000" w:themeColor="text1"/>
          <w:sz w:val="22"/>
          <w:szCs w:val="22"/>
          <w:lang w:val="en-US"/>
        </w:rPr>
        <w:t xml:space="preserve"> </w:t>
      </w:r>
    </w:p>
    <w:p w14:paraId="7AE4AA23" w14:textId="661BBBB7" w:rsidR="00B66E84" w:rsidRPr="008076E8" w:rsidRDefault="00B66E84" w:rsidP="008076E8">
      <w:pPr>
        <w:spacing w:line="480" w:lineRule="auto"/>
        <w:jc w:val="both"/>
        <w:rPr>
          <w:color w:val="000000" w:themeColor="text1"/>
          <w:sz w:val="22"/>
          <w:szCs w:val="22"/>
          <w:lang w:val="en-US"/>
        </w:rPr>
      </w:pPr>
      <w:r w:rsidRPr="008076E8">
        <w:rPr>
          <w:color w:val="000000" w:themeColor="text1"/>
          <w:sz w:val="22"/>
          <w:szCs w:val="22"/>
          <w:lang w:val="en-US"/>
        </w:rPr>
        <w:t xml:space="preserve">Two hundred sixty-one HCWs were participated into the study. Demographic characteristics of all participants </w:t>
      </w:r>
      <w:r w:rsidR="00854AEC" w:rsidRPr="008076E8">
        <w:rPr>
          <w:color w:val="000000" w:themeColor="text1"/>
          <w:sz w:val="22"/>
          <w:szCs w:val="22"/>
          <w:highlight w:val="yellow"/>
          <w:lang w:val="en-US"/>
        </w:rPr>
        <w:t>are</w:t>
      </w:r>
      <w:r w:rsidR="00854AEC" w:rsidRPr="008076E8">
        <w:rPr>
          <w:color w:val="000000" w:themeColor="text1"/>
          <w:sz w:val="22"/>
          <w:szCs w:val="22"/>
          <w:lang w:val="en-US"/>
        </w:rPr>
        <w:t xml:space="preserve"> </w:t>
      </w:r>
      <w:r w:rsidRPr="008076E8">
        <w:rPr>
          <w:color w:val="000000" w:themeColor="text1"/>
          <w:sz w:val="22"/>
          <w:szCs w:val="22"/>
          <w:lang w:val="en-US"/>
        </w:rPr>
        <w:t>summarized in Table 1; their mean age was 29 ±9,88 years, majority (78.9%) of them w</w:t>
      </w:r>
      <w:r w:rsidR="00854AEC" w:rsidRPr="008076E8">
        <w:rPr>
          <w:color w:val="000000" w:themeColor="text1"/>
          <w:sz w:val="22"/>
          <w:szCs w:val="22"/>
          <w:highlight w:val="yellow"/>
          <w:lang w:val="en-US"/>
        </w:rPr>
        <w:t>ere</w:t>
      </w:r>
      <w:r w:rsidRPr="008076E8">
        <w:rPr>
          <w:color w:val="000000" w:themeColor="text1"/>
          <w:sz w:val="22"/>
          <w:szCs w:val="22"/>
          <w:lang w:val="en-US"/>
        </w:rPr>
        <w:t xml:space="preserve"> female, 45.2% </w:t>
      </w:r>
      <w:r w:rsidR="00FF1CF0" w:rsidRPr="008076E8">
        <w:rPr>
          <w:color w:val="000000" w:themeColor="text1"/>
          <w:sz w:val="22"/>
          <w:szCs w:val="22"/>
          <w:lang w:val="en-US"/>
        </w:rPr>
        <w:t xml:space="preserve">of them </w:t>
      </w:r>
      <w:r w:rsidRPr="008076E8">
        <w:rPr>
          <w:color w:val="000000" w:themeColor="text1"/>
          <w:sz w:val="22"/>
          <w:szCs w:val="22"/>
          <w:lang w:val="en-US"/>
        </w:rPr>
        <w:t xml:space="preserve">were married. Physicians consisted 33%, nurses made 40.2%, others HCWs included allied HCWs, technician, clerical staff, administrator, maintenance workers made 26.8% of </w:t>
      </w:r>
      <w:r w:rsidR="00FF1CF0" w:rsidRPr="008076E8">
        <w:rPr>
          <w:color w:val="000000" w:themeColor="text1"/>
          <w:sz w:val="22"/>
          <w:szCs w:val="22"/>
          <w:lang w:val="en-US"/>
        </w:rPr>
        <w:t>participants</w:t>
      </w:r>
      <w:r w:rsidRPr="008076E8">
        <w:rPr>
          <w:color w:val="000000" w:themeColor="text1"/>
          <w:sz w:val="22"/>
          <w:szCs w:val="22"/>
          <w:lang w:val="en-US"/>
        </w:rPr>
        <w:t xml:space="preserve">. A hundred fourth-five participants </w:t>
      </w:r>
      <w:r w:rsidR="00854AEC" w:rsidRPr="008076E8">
        <w:rPr>
          <w:color w:val="000000" w:themeColor="text1"/>
          <w:sz w:val="22"/>
          <w:szCs w:val="22"/>
          <w:highlight w:val="yellow"/>
          <w:lang w:val="en-US"/>
        </w:rPr>
        <w:t xml:space="preserve">were </w:t>
      </w:r>
      <w:r w:rsidRPr="008076E8">
        <w:rPr>
          <w:color w:val="000000" w:themeColor="text1"/>
          <w:sz w:val="22"/>
          <w:szCs w:val="22"/>
          <w:highlight w:val="yellow"/>
          <w:lang w:val="en-US"/>
        </w:rPr>
        <w:t>work</w:t>
      </w:r>
      <w:r w:rsidR="00C83A65" w:rsidRPr="008076E8">
        <w:rPr>
          <w:color w:val="000000" w:themeColor="text1"/>
          <w:sz w:val="22"/>
          <w:szCs w:val="22"/>
          <w:lang w:val="en-US"/>
        </w:rPr>
        <w:t xml:space="preserve">ed </w:t>
      </w:r>
      <w:r w:rsidRPr="008076E8">
        <w:rPr>
          <w:color w:val="000000" w:themeColor="text1"/>
          <w:sz w:val="22"/>
          <w:szCs w:val="22"/>
          <w:lang w:val="en-US"/>
        </w:rPr>
        <w:t xml:space="preserve">in </w:t>
      </w:r>
      <w:r w:rsidR="00FF1CF0" w:rsidRPr="008076E8">
        <w:rPr>
          <w:color w:val="000000" w:themeColor="text1"/>
          <w:sz w:val="22"/>
          <w:szCs w:val="22"/>
          <w:lang w:val="en-US"/>
        </w:rPr>
        <w:t xml:space="preserve">the </w:t>
      </w:r>
      <w:r w:rsidRPr="008076E8">
        <w:rPr>
          <w:color w:val="000000" w:themeColor="text1"/>
          <w:sz w:val="22"/>
          <w:szCs w:val="22"/>
          <w:lang w:val="en-US"/>
        </w:rPr>
        <w:t>front line. One hundred seventy-five HCWs (67%) stated that they had direct contact with COVID-19 cases.</w:t>
      </w:r>
    </w:p>
    <w:p w14:paraId="315FF096" w14:textId="2100369C" w:rsidR="00B66E84" w:rsidRPr="008076E8" w:rsidRDefault="00B66E84" w:rsidP="008076E8">
      <w:pPr>
        <w:pStyle w:val="NormalWeb"/>
        <w:spacing w:line="480" w:lineRule="auto"/>
        <w:jc w:val="both"/>
        <w:rPr>
          <w:color w:val="000000" w:themeColor="text1"/>
          <w:sz w:val="22"/>
          <w:szCs w:val="22"/>
          <w:lang w:val="en-US"/>
        </w:rPr>
      </w:pPr>
      <w:r w:rsidRPr="008076E8">
        <w:rPr>
          <w:color w:val="000000" w:themeColor="text1"/>
          <w:sz w:val="22"/>
          <w:szCs w:val="22"/>
          <w:lang w:val="en-US"/>
        </w:rPr>
        <w:t>The general analysis of psychological outcomes of overall participations demonstrated that they had higher score for burnout, mild depression, mild anxiety and non-pathological stress level (Table 2). We found depression</w:t>
      </w:r>
      <w:r w:rsidR="00FF1CF0" w:rsidRPr="008076E8">
        <w:rPr>
          <w:color w:val="000000" w:themeColor="text1"/>
          <w:sz w:val="22"/>
          <w:szCs w:val="22"/>
          <w:lang w:val="en-US"/>
        </w:rPr>
        <w:t xml:space="preserve"> </w:t>
      </w:r>
      <w:r w:rsidR="00FF1CF0" w:rsidRPr="008076E8">
        <w:rPr>
          <w:color w:val="000000" w:themeColor="text1"/>
          <w:sz w:val="22"/>
          <w:szCs w:val="22"/>
          <w:highlight w:val="yellow"/>
          <w:lang w:val="en-US"/>
        </w:rPr>
        <w:t>symptoms</w:t>
      </w:r>
      <w:r w:rsidRPr="008076E8">
        <w:rPr>
          <w:color w:val="000000" w:themeColor="text1"/>
          <w:sz w:val="22"/>
          <w:szCs w:val="22"/>
          <w:lang w:val="en-US"/>
        </w:rPr>
        <w:t xml:space="preserve"> in 54.8%, anxiety in 49.4%, stress in 33.3% </w:t>
      </w:r>
      <w:r w:rsidR="00D6652A" w:rsidRPr="008076E8">
        <w:rPr>
          <w:color w:val="000000" w:themeColor="text1"/>
          <w:sz w:val="22"/>
          <w:szCs w:val="22"/>
          <w:lang w:val="en-US"/>
        </w:rPr>
        <w:t xml:space="preserve">of participants </w:t>
      </w:r>
      <w:r w:rsidRPr="008076E8">
        <w:rPr>
          <w:color w:val="000000" w:themeColor="text1"/>
          <w:sz w:val="22"/>
          <w:szCs w:val="22"/>
          <w:lang w:val="en-US"/>
        </w:rPr>
        <w:t>(Figure 1)</w:t>
      </w:r>
      <w:r w:rsidR="00D6652A" w:rsidRPr="008076E8">
        <w:rPr>
          <w:color w:val="000000" w:themeColor="text1"/>
          <w:sz w:val="22"/>
          <w:szCs w:val="22"/>
          <w:lang w:val="en-US"/>
        </w:rPr>
        <w:t>.</w:t>
      </w:r>
    </w:p>
    <w:p w14:paraId="02A8111E" w14:textId="77777777" w:rsidR="001C2AB9" w:rsidRPr="008076E8" w:rsidRDefault="00D6652A" w:rsidP="008076E8">
      <w:pPr>
        <w:pStyle w:val="NormalWeb"/>
        <w:spacing w:line="480" w:lineRule="auto"/>
        <w:jc w:val="both"/>
        <w:rPr>
          <w:color w:val="000000" w:themeColor="text1"/>
          <w:sz w:val="22"/>
          <w:szCs w:val="22"/>
          <w:lang w:val="en-US"/>
        </w:rPr>
      </w:pPr>
      <w:r w:rsidRPr="008076E8">
        <w:rPr>
          <w:color w:val="000000" w:themeColor="text1"/>
          <w:sz w:val="22"/>
          <w:szCs w:val="22"/>
          <w:lang w:val="en-US"/>
        </w:rPr>
        <w:t xml:space="preserve">Females </w:t>
      </w:r>
      <w:r w:rsidR="00B66E84" w:rsidRPr="008076E8">
        <w:rPr>
          <w:color w:val="000000" w:themeColor="text1"/>
          <w:sz w:val="22"/>
          <w:szCs w:val="22"/>
          <w:lang w:val="en-US"/>
        </w:rPr>
        <w:t xml:space="preserve">had higher score for anxiety, depression, stress, and psychological inflexibility </w:t>
      </w:r>
      <w:r w:rsidRPr="008076E8">
        <w:rPr>
          <w:color w:val="000000" w:themeColor="text1"/>
          <w:sz w:val="22"/>
          <w:szCs w:val="22"/>
          <w:lang w:val="en-US"/>
        </w:rPr>
        <w:t xml:space="preserve">when compared with males </w:t>
      </w:r>
      <w:r w:rsidR="00B66E84" w:rsidRPr="008076E8">
        <w:rPr>
          <w:color w:val="000000" w:themeColor="text1"/>
          <w:sz w:val="22"/>
          <w:szCs w:val="22"/>
          <w:lang w:val="en-US"/>
        </w:rPr>
        <w:t xml:space="preserve">(p&lt;0.05), but there was no statistical difference between them </w:t>
      </w:r>
      <w:r w:rsidRPr="008076E8">
        <w:rPr>
          <w:color w:val="000000" w:themeColor="text1"/>
          <w:sz w:val="22"/>
          <w:szCs w:val="22"/>
          <w:lang w:val="en-US"/>
        </w:rPr>
        <w:t>in the</w:t>
      </w:r>
      <w:r w:rsidR="00B66E84" w:rsidRPr="008076E8">
        <w:rPr>
          <w:color w:val="000000" w:themeColor="text1"/>
          <w:sz w:val="22"/>
          <w:szCs w:val="22"/>
          <w:lang w:val="en-US"/>
        </w:rPr>
        <w:t xml:space="preserve"> </w:t>
      </w:r>
      <w:r w:rsidRPr="008076E8">
        <w:rPr>
          <w:color w:val="000000" w:themeColor="text1"/>
          <w:sz w:val="22"/>
          <w:szCs w:val="22"/>
          <w:lang w:val="en-US"/>
        </w:rPr>
        <w:t xml:space="preserve">term of </w:t>
      </w:r>
      <w:r w:rsidR="00B66E84" w:rsidRPr="008076E8">
        <w:rPr>
          <w:color w:val="000000" w:themeColor="text1"/>
          <w:sz w:val="22"/>
          <w:szCs w:val="22"/>
          <w:lang w:val="en-US"/>
        </w:rPr>
        <w:t>M</w:t>
      </w:r>
      <w:r w:rsidR="0075334F" w:rsidRPr="008076E8">
        <w:rPr>
          <w:color w:val="000000" w:themeColor="text1"/>
          <w:sz w:val="22"/>
          <w:szCs w:val="22"/>
          <w:lang w:val="en-US"/>
        </w:rPr>
        <w:t>B</w:t>
      </w:r>
      <w:r w:rsidR="00B66E84" w:rsidRPr="008076E8">
        <w:rPr>
          <w:color w:val="000000" w:themeColor="text1"/>
          <w:sz w:val="22"/>
          <w:szCs w:val="22"/>
          <w:lang w:val="en-US"/>
        </w:rPr>
        <w:t xml:space="preserve">I scores. </w:t>
      </w:r>
      <w:r w:rsidR="00D82ADB" w:rsidRPr="008076E8">
        <w:rPr>
          <w:color w:val="000000" w:themeColor="text1"/>
          <w:sz w:val="22"/>
          <w:szCs w:val="22"/>
          <w:lang w:val="en-US"/>
        </w:rPr>
        <w:t xml:space="preserve">Working in front line or second line did not affect </w:t>
      </w:r>
      <w:r w:rsidR="00B66E84" w:rsidRPr="008076E8">
        <w:rPr>
          <w:color w:val="000000" w:themeColor="text1"/>
          <w:sz w:val="22"/>
          <w:szCs w:val="22"/>
          <w:lang w:val="en-US"/>
        </w:rPr>
        <w:t>DASS, PI, and MB</w:t>
      </w:r>
      <w:r w:rsidR="0075334F" w:rsidRPr="008076E8">
        <w:rPr>
          <w:color w:val="000000" w:themeColor="text1"/>
          <w:sz w:val="22"/>
          <w:szCs w:val="22"/>
          <w:lang w:val="en-US"/>
        </w:rPr>
        <w:t>I</w:t>
      </w:r>
      <w:r w:rsidR="00B66E84" w:rsidRPr="008076E8">
        <w:rPr>
          <w:color w:val="000000" w:themeColor="text1"/>
          <w:sz w:val="22"/>
          <w:szCs w:val="22"/>
          <w:lang w:val="en-US"/>
        </w:rPr>
        <w:t xml:space="preserve"> scores</w:t>
      </w:r>
      <w:r w:rsidR="00D82ADB" w:rsidRPr="008076E8">
        <w:rPr>
          <w:color w:val="000000" w:themeColor="text1"/>
          <w:sz w:val="22"/>
          <w:szCs w:val="22"/>
          <w:lang w:val="en-US"/>
        </w:rPr>
        <w:t xml:space="preserve">, whereas when </w:t>
      </w:r>
      <w:r w:rsidR="00B66E84" w:rsidRPr="008076E8">
        <w:rPr>
          <w:color w:val="000000" w:themeColor="text1"/>
          <w:sz w:val="22"/>
          <w:szCs w:val="22"/>
          <w:lang w:val="en-US"/>
        </w:rPr>
        <w:t>frontline HCWs had direct contact with COV</w:t>
      </w:r>
      <w:r w:rsidR="00906D84" w:rsidRPr="008076E8">
        <w:rPr>
          <w:color w:val="000000" w:themeColor="text1"/>
          <w:sz w:val="22"/>
          <w:szCs w:val="22"/>
          <w:lang w:val="en-US"/>
        </w:rPr>
        <w:t>I</w:t>
      </w:r>
      <w:r w:rsidR="00B66E84" w:rsidRPr="008076E8">
        <w:rPr>
          <w:color w:val="000000" w:themeColor="text1"/>
          <w:sz w:val="22"/>
          <w:szCs w:val="22"/>
          <w:lang w:val="en-US"/>
        </w:rPr>
        <w:t>D-19 patients</w:t>
      </w:r>
      <w:r w:rsidR="00D82ADB" w:rsidRPr="008076E8">
        <w:rPr>
          <w:color w:val="000000" w:themeColor="text1"/>
          <w:sz w:val="22"/>
          <w:szCs w:val="22"/>
          <w:lang w:val="en-US"/>
        </w:rPr>
        <w:t xml:space="preserve"> </w:t>
      </w:r>
      <w:r w:rsidR="00B66E84" w:rsidRPr="008076E8">
        <w:rPr>
          <w:color w:val="000000" w:themeColor="text1"/>
          <w:sz w:val="22"/>
          <w:szCs w:val="22"/>
          <w:lang w:val="en-US"/>
        </w:rPr>
        <w:t>by examining, sampling, nursing or caring; anxiety</w:t>
      </w:r>
      <w:r w:rsidR="00D82ADB" w:rsidRPr="008076E8">
        <w:rPr>
          <w:color w:val="000000" w:themeColor="text1"/>
          <w:sz w:val="22"/>
          <w:szCs w:val="22"/>
          <w:lang w:val="en-US"/>
        </w:rPr>
        <w:t>,</w:t>
      </w:r>
      <w:r w:rsidR="00B66E84" w:rsidRPr="008076E8">
        <w:rPr>
          <w:color w:val="000000" w:themeColor="text1"/>
          <w:sz w:val="22"/>
          <w:szCs w:val="22"/>
          <w:lang w:val="en-US"/>
        </w:rPr>
        <w:t xml:space="preserve"> depression</w:t>
      </w:r>
      <w:r w:rsidR="00D82ADB" w:rsidRPr="008076E8">
        <w:rPr>
          <w:color w:val="000000" w:themeColor="text1"/>
          <w:sz w:val="22"/>
          <w:szCs w:val="22"/>
          <w:lang w:val="en-US"/>
        </w:rPr>
        <w:t>,</w:t>
      </w:r>
      <w:r w:rsidR="00B66E84" w:rsidRPr="008076E8">
        <w:rPr>
          <w:color w:val="000000" w:themeColor="text1"/>
          <w:sz w:val="22"/>
          <w:szCs w:val="22"/>
          <w:lang w:val="en-US"/>
        </w:rPr>
        <w:t xml:space="preserve"> stress and burnout scores was found higher </w:t>
      </w:r>
      <w:r w:rsidR="00D82ADB" w:rsidRPr="008076E8">
        <w:rPr>
          <w:color w:val="000000" w:themeColor="text1"/>
          <w:sz w:val="22"/>
          <w:szCs w:val="22"/>
          <w:lang w:val="en-US"/>
        </w:rPr>
        <w:t xml:space="preserve">(p=0.03, p = 0.03, p = 0.02, p = 0.007 </w:t>
      </w:r>
      <w:r w:rsidR="00D82ADB" w:rsidRPr="008076E8">
        <w:rPr>
          <w:color w:val="000000" w:themeColor="text1"/>
          <w:sz w:val="22"/>
          <w:szCs w:val="22"/>
          <w:lang w:val="en-US"/>
        </w:rPr>
        <w:lastRenderedPageBreak/>
        <w:t xml:space="preserve">respectively) </w:t>
      </w:r>
      <w:r w:rsidR="00B66E84" w:rsidRPr="008076E8">
        <w:rPr>
          <w:color w:val="000000" w:themeColor="text1"/>
          <w:sz w:val="22"/>
          <w:szCs w:val="22"/>
          <w:lang w:val="en-US"/>
        </w:rPr>
        <w:t xml:space="preserve">than in whom </w:t>
      </w:r>
      <w:r w:rsidR="00D82ADB" w:rsidRPr="008076E8">
        <w:rPr>
          <w:color w:val="000000" w:themeColor="text1"/>
          <w:sz w:val="22"/>
          <w:szCs w:val="22"/>
          <w:lang w:val="en-US"/>
        </w:rPr>
        <w:t xml:space="preserve">did not </w:t>
      </w:r>
      <w:r w:rsidR="00B66E84" w:rsidRPr="008076E8">
        <w:rPr>
          <w:color w:val="000000" w:themeColor="text1"/>
          <w:sz w:val="22"/>
          <w:szCs w:val="22"/>
          <w:lang w:val="en-US"/>
        </w:rPr>
        <w:t>have direct contact with patients. DASS, PI and MB</w:t>
      </w:r>
      <w:r w:rsidR="0075334F" w:rsidRPr="008076E8">
        <w:rPr>
          <w:color w:val="000000" w:themeColor="text1"/>
          <w:sz w:val="22"/>
          <w:szCs w:val="22"/>
          <w:lang w:val="en-US"/>
        </w:rPr>
        <w:t>I</w:t>
      </w:r>
      <w:r w:rsidR="00B66E84" w:rsidRPr="008076E8">
        <w:rPr>
          <w:color w:val="000000" w:themeColor="text1"/>
          <w:sz w:val="22"/>
          <w:szCs w:val="22"/>
          <w:lang w:val="en-US"/>
        </w:rPr>
        <w:t xml:space="preserve"> scores</w:t>
      </w:r>
      <w:r w:rsidR="002B12FA" w:rsidRPr="008076E8">
        <w:rPr>
          <w:color w:val="000000" w:themeColor="text1"/>
          <w:sz w:val="22"/>
          <w:szCs w:val="22"/>
          <w:lang w:val="en-US"/>
        </w:rPr>
        <w:t xml:space="preserve"> had no statistical difference </w:t>
      </w:r>
      <w:r w:rsidR="00B66E84" w:rsidRPr="008076E8">
        <w:rPr>
          <w:color w:val="000000" w:themeColor="text1"/>
          <w:sz w:val="22"/>
          <w:szCs w:val="22"/>
          <w:lang w:val="en-US"/>
        </w:rPr>
        <w:t>between physicians and allied HCWs</w:t>
      </w:r>
      <w:r w:rsidR="002B12FA" w:rsidRPr="008076E8">
        <w:rPr>
          <w:color w:val="000000" w:themeColor="text1"/>
          <w:sz w:val="22"/>
          <w:szCs w:val="22"/>
          <w:lang w:val="en-US"/>
        </w:rPr>
        <w:t>,</w:t>
      </w:r>
      <w:r w:rsidR="00B66E84" w:rsidRPr="008076E8">
        <w:rPr>
          <w:color w:val="000000" w:themeColor="text1"/>
          <w:sz w:val="22"/>
          <w:szCs w:val="22"/>
          <w:lang w:val="en-US"/>
        </w:rPr>
        <w:t xml:space="preserve"> </w:t>
      </w:r>
      <w:r w:rsidR="002B12FA" w:rsidRPr="008076E8">
        <w:rPr>
          <w:color w:val="000000" w:themeColor="text1"/>
          <w:sz w:val="22"/>
          <w:szCs w:val="22"/>
          <w:lang w:val="en-US"/>
        </w:rPr>
        <w:t>but</w:t>
      </w:r>
      <w:r w:rsidR="00B66E84" w:rsidRPr="008076E8">
        <w:rPr>
          <w:color w:val="000000" w:themeColor="text1"/>
          <w:sz w:val="22"/>
          <w:szCs w:val="22"/>
          <w:lang w:val="en-US"/>
        </w:rPr>
        <w:t xml:space="preserve"> the mean MB</w:t>
      </w:r>
      <w:r w:rsidR="0075334F" w:rsidRPr="008076E8">
        <w:rPr>
          <w:color w:val="000000" w:themeColor="text1"/>
          <w:sz w:val="22"/>
          <w:szCs w:val="22"/>
          <w:lang w:val="en-US"/>
        </w:rPr>
        <w:t>I</w:t>
      </w:r>
      <w:r w:rsidR="00B66E84" w:rsidRPr="008076E8">
        <w:rPr>
          <w:color w:val="000000" w:themeColor="text1"/>
          <w:sz w:val="22"/>
          <w:szCs w:val="22"/>
          <w:lang w:val="en-US"/>
        </w:rPr>
        <w:t>-EE scores of physicians were significantly higher than the scores of allied HCWs (p=0.009).</w:t>
      </w:r>
    </w:p>
    <w:p w14:paraId="59447817" w14:textId="6E3BAEA6" w:rsidR="00B66E84" w:rsidRPr="008076E8" w:rsidRDefault="00B66E84" w:rsidP="008076E8">
      <w:pPr>
        <w:pStyle w:val="NormalWeb"/>
        <w:spacing w:line="480" w:lineRule="auto"/>
        <w:jc w:val="both"/>
        <w:rPr>
          <w:color w:val="000000" w:themeColor="text1"/>
          <w:sz w:val="22"/>
          <w:szCs w:val="22"/>
          <w:lang w:val="en-US"/>
        </w:rPr>
      </w:pPr>
      <w:r w:rsidRPr="008076E8">
        <w:rPr>
          <w:color w:val="000000" w:themeColor="text1"/>
          <w:sz w:val="22"/>
          <w:szCs w:val="22"/>
          <w:lang w:val="en-US"/>
        </w:rPr>
        <w:t>Eleven HCWs who ha</w:t>
      </w:r>
      <w:r w:rsidR="00B42039" w:rsidRPr="008076E8">
        <w:rPr>
          <w:color w:val="000000" w:themeColor="text1"/>
          <w:sz w:val="22"/>
          <w:szCs w:val="22"/>
          <w:lang w:val="en-US"/>
        </w:rPr>
        <w:t>d</w:t>
      </w:r>
      <w:r w:rsidRPr="008076E8">
        <w:rPr>
          <w:color w:val="000000" w:themeColor="text1"/>
          <w:sz w:val="22"/>
          <w:szCs w:val="22"/>
          <w:lang w:val="en-US"/>
        </w:rPr>
        <w:t xml:space="preserve"> </w:t>
      </w:r>
      <w:r w:rsidR="00B42039" w:rsidRPr="008076E8">
        <w:rPr>
          <w:color w:val="000000" w:themeColor="text1"/>
          <w:sz w:val="22"/>
          <w:szCs w:val="22"/>
          <w:highlight w:val="yellow"/>
          <w:lang w:val="en-US"/>
        </w:rPr>
        <w:t>previously had</w:t>
      </w:r>
      <w:r w:rsidR="00B42039" w:rsidRPr="008076E8">
        <w:rPr>
          <w:color w:val="000000" w:themeColor="text1"/>
          <w:sz w:val="22"/>
          <w:szCs w:val="22"/>
          <w:lang w:val="en-US"/>
        </w:rPr>
        <w:t xml:space="preserve"> </w:t>
      </w:r>
      <w:r w:rsidRPr="008076E8">
        <w:rPr>
          <w:color w:val="000000" w:themeColor="text1"/>
          <w:sz w:val="22"/>
          <w:szCs w:val="22"/>
          <w:lang w:val="en-US"/>
        </w:rPr>
        <w:t>COV</w:t>
      </w:r>
      <w:r w:rsidR="00906D84" w:rsidRPr="008076E8">
        <w:rPr>
          <w:color w:val="000000" w:themeColor="text1"/>
          <w:sz w:val="22"/>
          <w:szCs w:val="22"/>
          <w:lang w:val="en-US"/>
        </w:rPr>
        <w:t>I</w:t>
      </w:r>
      <w:r w:rsidRPr="008076E8">
        <w:rPr>
          <w:color w:val="000000" w:themeColor="text1"/>
          <w:sz w:val="22"/>
          <w:szCs w:val="22"/>
          <w:lang w:val="en-US"/>
        </w:rPr>
        <w:t>D-19 did not demonstrate significant difference in psychological scores than who had not. However, those who thought that they have COVID-19 symptoms during the outbreak</w:t>
      </w:r>
      <w:r w:rsidR="004D3254" w:rsidRPr="008076E8">
        <w:rPr>
          <w:color w:val="000000" w:themeColor="text1"/>
          <w:sz w:val="22"/>
          <w:szCs w:val="22"/>
          <w:lang w:val="en-US"/>
        </w:rPr>
        <w:t xml:space="preserve"> </w:t>
      </w:r>
      <w:r w:rsidRPr="008076E8">
        <w:rPr>
          <w:color w:val="000000" w:themeColor="text1"/>
          <w:sz w:val="22"/>
          <w:szCs w:val="22"/>
          <w:lang w:val="en-US"/>
        </w:rPr>
        <w:t>had significantly higher mean scores at MB</w:t>
      </w:r>
      <w:r w:rsidR="0075334F" w:rsidRPr="008076E8">
        <w:rPr>
          <w:color w:val="000000" w:themeColor="text1"/>
          <w:sz w:val="22"/>
          <w:szCs w:val="22"/>
          <w:lang w:val="en-US"/>
        </w:rPr>
        <w:t>I</w:t>
      </w:r>
      <w:r w:rsidR="00130C7D" w:rsidRPr="008076E8">
        <w:rPr>
          <w:color w:val="000000" w:themeColor="text1"/>
          <w:sz w:val="22"/>
          <w:szCs w:val="22"/>
          <w:lang w:val="en-US"/>
        </w:rPr>
        <w:t>,</w:t>
      </w:r>
      <w:r w:rsidRPr="008076E8">
        <w:rPr>
          <w:color w:val="000000" w:themeColor="text1"/>
          <w:sz w:val="22"/>
          <w:szCs w:val="22"/>
          <w:lang w:val="en-US"/>
        </w:rPr>
        <w:t xml:space="preserve"> AAQ-II</w:t>
      </w:r>
      <w:r w:rsidR="00130C7D" w:rsidRPr="008076E8">
        <w:rPr>
          <w:color w:val="000000" w:themeColor="text1"/>
          <w:sz w:val="22"/>
          <w:szCs w:val="22"/>
          <w:lang w:val="en-US"/>
        </w:rPr>
        <w:t>,</w:t>
      </w:r>
      <w:r w:rsidRPr="008076E8">
        <w:rPr>
          <w:color w:val="000000" w:themeColor="text1"/>
          <w:sz w:val="22"/>
          <w:szCs w:val="22"/>
          <w:lang w:val="en-US"/>
        </w:rPr>
        <w:t xml:space="preserve"> and DASS</w:t>
      </w:r>
      <w:r w:rsidR="00130C7D" w:rsidRPr="008076E8">
        <w:rPr>
          <w:color w:val="000000" w:themeColor="text1"/>
          <w:sz w:val="22"/>
          <w:szCs w:val="22"/>
          <w:lang w:val="en-US"/>
        </w:rPr>
        <w:t xml:space="preserve"> measures</w:t>
      </w:r>
      <w:r w:rsidRPr="008076E8">
        <w:rPr>
          <w:color w:val="000000" w:themeColor="text1"/>
          <w:sz w:val="22"/>
          <w:szCs w:val="22"/>
          <w:lang w:val="en-US"/>
        </w:rPr>
        <w:t xml:space="preserve"> </w:t>
      </w:r>
      <w:r w:rsidR="00130C7D" w:rsidRPr="008076E8">
        <w:rPr>
          <w:color w:val="000000" w:themeColor="text1"/>
          <w:sz w:val="22"/>
          <w:szCs w:val="22"/>
          <w:lang w:val="en-US"/>
        </w:rPr>
        <w:t xml:space="preserve">(p&lt;0.001, p=0.003, </w:t>
      </w:r>
      <w:r w:rsidRPr="008076E8">
        <w:rPr>
          <w:color w:val="000000" w:themeColor="text1"/>
          <w:sz w:val="22"/>
          <w:szCs w:val="22"/>
          <w:lang w:val="en-US"/>
        </w:rPr>
        <w:t>p&lt;0.001</w:t>
      </w:r>
      <w:r w:rsidR="00130C7D" w:rsidRPr="008076E8">
        <w:rPr>
          <w:color w:val="000000" w:themeColor="text1"/>
          <w:sz w:val="22"/>
          <w:szCs w:val="22"/>
          <w:lang w:val="en-US"/>
        </w:rPr>
        <w:t>, respectively</w:t>
      </w:r>
      <w:r w:rsidRPr="008076E8">
        <w:rPr>
          <w:color w:val="000000" w:themeColor="text1"/>
          <w:sz w:val="22"/>
          <w:szCs w:val="22"/>
          <w:lang w:val="en-US"/>
        </w:rPr>
        <w:t>) than those who did not think so. Being single or married, having education for COV</w:t>
      </w:r>
      <w:r w:rsidR="00906D84" w:rsidRPr="008076E8">
        <w:rPr>
          <w:color w:val="000000" w:themeColor="text1"/>
          <w:sz w:val="22"/>
          <w:szCs w:val="22"/>
          <w:lang w:val="en-US"/>
        </w:rPr>
        <w:t>I</w:t>
      </w:r>
      <w:r w:rsidRPr="008076E8">
        <w:rPr>
          <w:color w:val="000000" w:themeColor="text1"/>
          <w:sz w:val="22"/>
          <w:szCs w:val="22"/>
          <w:lang w:val="en-US"/>
        </w:rPr>
        <w:t>D-19, having close co-workers with COV</w:t>
      </w:r>
      <w:r w:rsidR="00906D84" w:rsidRPr="008076E8">
        <w:rPr>
          <w:color w:val="000000" w:themeColor="text1"/>
          <w:sz w:val="22"/>
          <w:szCs w:val="22"/>
          <w:lang w:val="en-US"/>
        </w:rPr>
        <w:t>I</w:t>
      </w:r>
      <w:r w:rsidRPr="008076E8">
        <w:rPr>
          <w:color w:val="000000" w:themeColor="text1"/>
          <w:sz w:val="22"/>
          <w:szCs w:val="22"/>
          <w:lang w:val="en-US"/>
        </w:rPr>
        <w:t>D-19, having comorbid medical diseases, living with family member with comorbidities were not found to be associated with significant differences at mean scores of MBI, DASS and AAQ-II measures</w:t>
      </w:r>
      <w:r w:rsidR="00130C7D" w:rsidRPr="008076E8">
        <w:rPr>
          <w:color w:val="000000" w:themeColor="text1"/>
          <w:sz w:val="22"/>
          <w:szCs w:val="22"/>
          <w:lang w:val="en-US"/>
        </w:rPr>
        <w:t>.</w:t>
      </w:r>
    </w:p>
    <w:p w14:paraId="32BFF5E1" w14:textId="77777777" w:rsidR="00B66E84" w:rsidRPr="008076E8" w:rsidRDefault="00B66E84" w:rsidP="008076E8">
      <w:pPr>
        <w:pStyle w:val="NormalWeb"/>
        <w:spacing w:line="480" w:lineRule="auto"/>
        <w:jc w:val="both"/>
        <w:rPr>
          <w:color w:val="000000" w:themeColor="text1"/>
          <w:sz w:val="22"/>
          <w:szCs w:val="22"/>
          <w:lang w:val="en-US"/>
        </w:rPr>
      </w:pPr>
      <w:r w:rsidRPr="008076E8">
        <w:rPr>
          <w:color w:val="000000" w:themeColor="text1"/>
          <w:sz w:val="22"/>
          <w:szCs w:val="22"/>
          <w:shd w:val="clear" w:color="auto" w:fill="FFFFFF" w:themeFill="background1"/>
          <w:lang w:val="en-US"/>
        </w:rPr>
        <w:t>The Spearman’s correlation analysis demonstrated significant positive correlation between</w:t>
      </w:r>
      <w:r w:rsidRPr="008076E8">
        <w:rPr>
          <w:color w:val="000000" w:themeColor="text1"/>
          <w:sz w:val="22"/>
          <w:szCs w:val="22"/>
          <w:lang w:val="en-US"/>
        </w:rPr>
        <w:t xml:space="preserve"> daily working hours, DASS, AAQ-II and MBI total scores (p &lt; 0.001) (table 3). In contrast, a significant negative correlation was found between the participants’ age and work experience with their burnout, depression, anxiety and stress levels (p&lt;0.001, p&lt;0.01). Also, as MIB, DASS scores were found to be significantly correlated with AAQ (p&lt;0.001) But we didn’t find any relationship between working days and MBI, DASS and AAQ-II scores. </w:t>
      </w:r>
    </w:p>
    <w:p w14:paraId="39AA0FA7" w14:textId="55765E43" w:rsidR="00127301" w:rsidRPr="008076E8" w:rsidRDefault="00B66E84" w:rsidP="008076E8">
      <w:pPr>
        <w:pStyle w:val="NormalWeb"/>
        <w:spacing w:line="480" w:lineRule="auto"/>
        <w:jc w:val="both"/>
        <w:rPr>
          <w:color w:val="000000" w:themeColor="text1"/>
          <w:sz w:val="22"/>
          <w:szCs w:val="22"/>
          <w:lang w:val="en-US"/>
        </w:rPr>
      </w:pPr>
      <w:r w:rsidRPr="008076E8">
        <w:rPr>
          <w:color w:val="000000" w:themeColor="text1"/>
          <w:sz w:val="22"/>
          <w:szCs w:val="22"/>
          <w:lang w:val="en-US"/>
        </w:rPr>
        <w:t xml:space="preserve">In the regression analysis where we examine the effect of related parameters (non-psychological </w:t>
      </w:r>
      <w:r w:rsidR="0075334F" w:rsidRPr="008076E8">
        <w:rPr>
          <w:color w:val="000000" w:themeColor="text1"/>
          <w:sz w:val="22"/>
          <w:szCs w:val="22"/>
          <w:highlight w:val="yellow"/>
          <w:lang w:val="en-US"/>
        </w:rPr>
        <w:t>and psychological</w:t>
      </w:r>
      <w:r w:rsidR="0075334F" w:rsidRPr="008076E8">
        <w:rPr>
          <w:color w:val="000000" w:themeColor="text1"/>
          <w:sz w:val="22"/>
          <w:szCs w:val="22"/>
          <w:lang w:val="en-US"/>
        </w:rPr>
        <w:t xml:space="preserve"> </w:t>
      </w:r>
      <w:r w:rsidRPr="008076E8">
        <w:rPr>
          <w:color w:val="000000" w:themeColor="text1"/>
          <w:sz w:val="22"/>
          <w:szCs w:val="22"/>
          <w:lang w:val="en-US"/>
        </w:rPr>
        <w:t>parameters) on burnout</w:t>
      </w:r>
      <w:r w:rsidRPr="008076E8" w:rsidDel="00447592">
        <w:rPr>
          <w:color w:val="000000" w:themeColor="text1"/>
          <w:sz w:val="22"/>
          <w:szCs w:val="22"/>
          <w:lang w:val="en-US"/>
        </w:rPr>
        <w:t xml:space="preserve"> </w:t>
      </w:r>
      <w:r w:rsidRPr="008076E8">
        <w:rPr>
          <w:color w:val="000000" w:themeColor="text1"/>
          <w:sz w:val="22"/>
          <w:szCs w:val="22"/>
          <w:lang w:val="en-US"/>
        </w:rPr>
        <w:t xml:space="preserve">we found that independent variables explain </w:t>
      </w:r>
      <w:r w:rsidR="0075334F" w:rsidRPr="008076E8">
        <w:rPr>
          <w:color w:val="000000" w:themeColor="text1"/>
          <w:sz w:val="22"/>
          <w:szCs w:val="22"/>
          <w:highlight w:val="yellow"/>
          <w:lang w:val="en-US"/>
        </w:rPr>
        <w:t>37.5</w:t>
      </w:r>
      <w:r w:rsidRPr="008076E8">
        <w:rPr>
          <w:color w:val="000000" w:themeColor="text1"/>
          <w:sz w:val="22"/>
          <w:szCs w:val="22"/>
          <w:highlight w:val="yellow"/>
          <w:lang w:val="en-US"/>
        </w:rPr>
        <w:t>%</w:t>
      </w:r>
      <w:r w:rsidRPr="008076E8">
        <w:rPr>
          <w:color w:val="000000" w:themeColor="text1"/>
          <w:sz w:val="22"/>
          <w:szCs w:val="22"/>
          <w:lang w:val="en-US"/>
        </w:rPr>
        <w:t xml:space="preserve"> of the total variance in the burnout level</w:t>
      </w:r>
      <w:r w:rsidR="0075334F" w:rsidRPr="008076E8">
        <w:rPr>
          <w:color w:val="000000" w:themeColor="text1"/>
          <w:sz w:val="22"/>
          <w:szCs w:val="22"/>
          <w:lang w:val="en-US"/>
        </w:rPr>
        <w:t xml:space="preserve"> </w:t>
      </w:r>
      <w:r w:rsidR="0075334F" w:rsidRPr="008076E8">
        <w:rPr>
          <w:color w:val="000000" w:themeColor="text1"/>
          <w:sz w:val="22"/>
          <w:szCs w:val="22"/>
          <w:highlight w:val="yellow"/>
          <w:lang w:val="en-US"/>
        </w:rPr>
        <w:t>(Table 4)</w:t>
      </w:r>
      <w:r w:rsidRPr="008076E8">
        <w:rPr>
          <w:color w:val="000000" w:themeColor="text1"/>
          <w:sz w:val="22"/>
          <w:szCs w:val="22"/>
          <w:highlight w:val="yellow"/>
          <w:lang w:val="en-US"/>
        </w:rPr>
        <w:t>.</w:t>
      </w:r>
      <w:r w:rsidRPr="008076E8">
        <w:rPr>
          <w:color w:val="000000" w:themeColor="text1"/>
          <w:sz w:val="22"/>
          <w:szCs w:val="22"/>
          <w:lang w:val="en-US"/>
        </w:rPr>
        <w:t xml:space="preserve"> When the effects of predictive variables on the burnout level were examined according to standardized regression coefficient (β), only weekly working hours have a statistically significant effect on burnout </w:t>
      </w:r>
      <w:r w:rsidRPr="008076E8">
        <w:rPr>
          <w:color w:val="000000" w:themeColor="text1"/>
          <w:sz w:val="22"/>
          <w:szCs w:val="22"/>
          <w:highlight w:val="yellow"/>
          <w:lang w:val="en-US"/>
        </w:rPr>
        <w:t>(β = 0.</w:t>
      </w:r>
      <w:r w:rsidR="00127301" w:rsidRPr="008076E8">
        <w:rPr>
          <w:color w:val="000000" w:themeColor="text1"/>
          <w:sz w:val="22"/>
          <w:szCs w:val="22"/>
          <w:highlight w:val="yellow"/>
          <w:lang w:val="en-US"/>
        </w:rPr>
        <w:t>145</w:t>
      </w:r>
      <w:r w:rsidRPr="008076E8">
        <w:rPr>
          <w:color w:val="000000" w:themeColor="text1"/>
          <w:sz w:val="22"/>
          <w:szCs w:val="22"/>
          <w:highlight w:val="yellow"/>
          <w:lang w:val="en-US"/>
        </w:rPr>
        <w:t>, p = 0.0</w:t>
      </w:r>
      <w:r w:rsidR="00127301" w:rsidRPr="008076E8">
        <w:rPr>
          <w:color w:val="000000" w:themeColor="text1"/>
          <w:sz w:val="22"/>
          <w:szCs w:val="22"/>
          <w:highlight w:val="yellow"/>
          <w:lang w:val="en-US"/>
        </w:rPr>
        <w:t>15</w:t>
      </w:r>
      <w:r w:rsidRPr="008076E8">
        <w:rPr>
          <w:color w:val="000000" w:themeColor="text1"/>
          <w:sz w:val="22"/>
          <w:szCs w:val="22"/>
          <w:highlight w:val="yellow"/>
          <w:lang w:val="en-US"/>
        </w:rPr>
        <w:t>)</w:t>
      </w:r>
      <w:r w:rsidR="00127301" w:rsidRPr="008076E8">
        <w:rPr>
          <w:color w:val="000000" w:themeColor="text1"/>
          <w:sz w:val="22"/>
          <w:szCs w:val="22"/>
          <w:highlight w:val="yellow"/>
          <w:lang w:val="en-US"/>
        </w:rPr>
        <w:t xml:space="preserve"> in the working condition parameters</w:t>
      </w:r>
      <w:r w:rsidRPr="008076E8">
        <w:rPr>
          <w:color w:val="000000" w:themeColor="text1"/>
          <w:sz w:val="22"/>
          <w:szCs w:val="22"/>
          <w:highlight w:val="yellow"/>
          <w:lang w:val="en-US"/>
        </w:rPr>
        <w:t>.</w:t>
      </w:r>
      <w:r w:rsidRPr="008076E8">
        <w:rPr>
          <w:color w:val="000000" w:themeColor="text1"/>
          <w:sz w:val="22"/>
          <w:szCs w:val="22"/>
          <w:lang w:val="en-US"/>
        </w:rPr>
        <w:t xml:space="preserve"> Age, working year and weekly working day did not have a</w:t>
      </w:r>
      <w:r w:rsidR="002061F6" w:rsidRPr="008076E8">
        <w:rPr>
          <w:color w:val="000000" w:themeColor="text1"/>
          <w:sz w:val="22"/>
          <w:szCs w:val="22"/>
          <w:lang w:val="en-US"/>
        </w:rPr>
        <w:t>ny</w:t>
      </w:r>
      <w:r w:rsidRPr="008076E8">
        <w:rPr>
          <w:color w:val="000000" w:themeColor="text1"/>
          <w:sz w:val="22"/>
          <w:szCs w:val="22"/>
          <w:lang w:val="en-US"/>
        </w:rPr>
        <w:t xml:space="preserve"> statistically significant effect on burnout.</w:t>
      </w:r>
      <w:r w:rsidR="001B1E73" w:rsidRPr="008076E8">
        <w:rPr>
          <w:color w:val="000000" w:themeColor="text1"/>
          <w:sz w:val="22"/>
          <w:szCs w:val="22"/>
          <w:lang w:val="en-US"/>
        </w:rPr>
        <w:t xml:space="preserve"> </w:t>
      </w:r>
      <w:r w:rsidR="00127301" w:rsidRPr="008076E8">
        <w:rPr>
          <w:color w:val="000000" w:themeColor="text1"/>
          <w:sz w:val="22"/>
          <w:szCs w:val="22"/>
          <w:highlight w:val="yellow"/>
          <w:lang w:val="en-US"/>
        </w:rPr>
        <w:t>Within the psychological parameters, it was shown that AAQ-II (β = 0.175, p=0.01) and DASS-Stress subscale (β = 0.24, p=0.03) exhibit statistical significance. DASS-A and DASS-D didn’t show a statistically significant effect on burnout when we look at standardized regression coefficient (β) of predictive variables (Table 4)</w:t>
      </w:r>
    </w:p>
    <w:p w14:paraId="35C3B06E" w14:textId="662BB17A" w:rsidR="00B66E84" w:rsidRPr="008076E8" w:rsidRDefault="003C7AAD" w:rsidP="008076E8">
      <w:pPr>
        <w:spacing w:line="480" w:lineRule="auto"/>
        <w:jc w:val="both"/>
        <w:rPr>
          <w:color w:val="000000" w:themeColor="text1"/>
          <w:sz w:val="22"/>
          <w:szCs w:val="22"/>
          <w:lang w:val="en-US"/>
        </w:rPr>
      </w:pPr>
      <w:r w:rsidRPr="008076E8">
        <w:rPr>
          <w:b/>
          <w:bCs/>
          <w:color w:val="000000" w:themeColor="text1"/>
          <w:sz w:val="22"/>
          <w:szCs w:val="22"/>
          <w:lang w:val="en-US"/>
        </w:rPr>
        <w:lastRenderedPageBreak/>
        <w:t>DISCUSSION</w:t>
      </w:r>
    </w:p>
    <w:p w14:paraId="2F54449A" w14:textId="47AC9821" w:rsidR="00B66E84" w:rsidRPr="008076E8" w:rsidRDefault="00B66E84"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 xml:space="preserve">This study showed </w:t>
      </w:r>
      <w:r w:rsidR="009A3CA5" w:rsidRPr="008076E8">
        <w:rPr>
          <w:color w:val="000000" w:themeColor="text1"/>
          <w:sz w:val="22"/>
          <w:szCs w:val="22"/>
          <w:lang w:val="en-US"/>
        </w:rPr>
        <w:t xml:space="preserve">depression symptoms, anxiety, and stress </w:t>
      </w:r>
      <w:r w:rsidR="0072159A" w:rsidRPr="008076E8">
        <w:rPr>
          <w:color w:val="000000" w:themeColor="text1"/>
          <w:sz w:val="22"/>
          <w:szCs w:val="22"/>
          <w:lang w:val="en-US"/>
        </w:rPr>
        <w:t xml:space="preserve">in HCWs of </w:t>
      </w:r>
      <w:r w:rsidR="0072159A" w:rsidRPr="008076E8">
        <w:rPr>
          <w:color w:val="000000" w:themeColor="text1"/>
          <w:sz w:val="22"/>
          <w:szCs w:val="22"/>
          <w:highlight w:val="yellow"/>
          <w:lang w:val="en-US"/>
        </w:rPr>
        <w:t>Pediatric Clinic</w:t>
      </w:r>
      <w:r w:rsidR="0072159A" w:rsidRPr="008076E8">
        <w:rPr>
          <w:color w:val="000000" w:themeColor="text1"/>
          <w:sz w:val="22"/>
          <w:szCs w:val="22"/>
          <w:lang w:val="en-US"/>
        </w:rPr>
        <w:t xml:space="preserve"> with frequency </w:t>
      </w:r>
      <w:r w:rsidRPr="008076E8">
        <w:rPr>
          <w:color w:val="000000" w:themeColor="text1"/>
          <w:sz w:val="22"/>
          <w:szCs w:val="22"/>
          <w:lang w:val="en-US"/>
        </w:rPr>
        <w:t>54.8%, 49.4%, and 33.3%</w:t>
      </w:r>
      <w:r w:rsidR="00077F04" w:rsidRPr="008076E8">
        <w:rPr>
          <w:color w:val="000000" w:themeColor="text1"/>
          <w:sz w:val="22"/>
          <w:szCs w:val="22"/>
          <w:lang w:val="en-US"/>
        </w:rPr>
        <w:t>,</w:t>
      </w:r>
      <w:r w:rsidRPr="008076E8">
        <w:rPr>
          <w:color w:val="000000" w:themeColor="text1"/>
          <w:sz w:val="22"/>
          <w:szCs w:val="22"/>
          <w:lang w:val="en-US"/>
        </w:rPr>
        <w:t xml:space="preserve"> respectively. Three months ago, at the beginning of the outbreak </w:t>
      </w:r>
      <w:proofErr w:type="spellStart"/>
      <w:r w:rsidRPr="008076E8">
        <w:rPr>
          <w:color w:val="000000" w:themeColor="text1"/>
          <w:sz w:val="22"/>
          <w:szCs w:val="22"/>
          <w:lang w:val="en-US"/>
        </w:rPr>
        <w:t>Elbay</w:t>
      </w:r>
      <w:proofErr w:type="spellEnd"/>
      <w:r w:rsidR="00F00B59" w:rsidRPr="008076E8">
        <w:rPr>
          <w:color w:val="000000" w:themeColor="text1"/>
          <w:sz w:val="22"/>
          <w:szCs w:val="22"/>
          <w:lang w:val="en-US"/>
        </w:rPr>
        <w:t xml:space="preserve">, </w:t>
      </w:r>
      <w:proofErr w:type="spellStart"/>
      <w:r w:rsidR="00F00B59" w:rsidRPr="008076E8">
        <w:rPr>
          <w:color w:val="000000" w:themeColor="text1"/>
          <w:sz w:val="22"/>
          <w:szCs w:val="22"/>
          <w:lang w:val="en-US"/>
        </w:rPr>
        <w:t>Kurtulmus</w:t>
      </w:r>
      <w:proofErr w:type="spellEnd"/>
      <w:r w:rsidR="00F00B59" w:rsidRPr="008076E8">
        <w:rPr>
          <w:color w:val="000000" w:themeColor="text1"/>
          <w:sz w:val="22"/>
          <w:szCs w:val="22"/>
          <w:lang w:val="en-US"/>
        </w:rPr>
        <w:t xml:space="preserve">, </w:t>
      </w:r>
      <w:proofErr w:type="spellStart"/>
      <w:r w:rsidR="00F00B59" w:rsidRPr="008076E8">
        <w:rPr>
          <w:color w:val="000000" w:themeColor="text1"/>
          <w:sz w:val="22"/>
          <w:szCs w:val="22"/>
          <w:lang w:val="en-US"/>
        </w:rPr>
        <w:t>Arpacıoglu</w:t>
      </w:r>
      <w:proofErr w:type="spellEnd"/>
      <w:r w:rsidR="00F00B59" w:rsidRPr="008076E8">
        <w:rPr>
          <w:color w:val="000000" w:themeColor="text1"/>
          <w:sz w:val="22"/>
          <w:szCs w:val="22"/>
          <w:lang w:val="en-US"/>
        </w:rPr>
        <w:t xml:space="preserve"> and </w:t>
      </w:r>
      <w:proofErr w:type="spellStart"/>
      <w:r w:rsidR="00F00B59" w:rsidRPr="008076E8">
        <w:rPr>
          <w:color w:val="000000" w:themeColor="text1"/>
          <w:sz w:val="22"/>
          <w:szCs w:val="22"/>
          <w:lang w:val="en-US"/>
        </w:rPr>
        <w:t>Karadere</w:t>
      </w:r>
      <w:proofErr w:type="spellEnd"/>
      <w:r w:rsidR="00F00B59" w:rsidRPr="008076E8">
        <w:rPr>
          <w:color w:val="000000" w:themeColor="text1"/>
          <w:sz w:val="22"/>
          <w:szCs w:val="22"/>
          <w:lang w:val="en-US"/>
        </w:rPr>
        <w:t xml:space="preserve"> (2020) </w:t>
      </w:r>
      <w:r w:rsidRPr="008076E8">
        <w:rPr>
          <w:color w:val="000000" w:themeColor="text1"/>
          <w:sz w:val="22"/>
          <w:szCs w:val="22"/>
          <w:lang w:val="en-US"/>
        </w:rPr>
        <w:t xml:space="preserve">conducted a similar study with HCWs of all </w:t>
      </w:r>
      <w:r w:rsidR="00077F04" w:rsidRPr="008076E8">
        <w:rPr>
          <w:color w:val="000000" w:themeColor="text1"/>
          <w:sz w:val="22"/>
          <w:szCs w:val="22"/>
          <w:lang w:val="en-US"/>
        </w:rPr>
        <w:t>c</w:t>
      </w:r>
      <w:r w:rsidRPr="008076E8">
        <w:rPr>
          <w:color w:val="000000" w:themeColor="text1"/>
          <w:sz w:val="22"/>
          <w:szCs w:val="22"/>
          <w:lang w:val="en-US"/>
        </w:rPr>
        <w:t xml:space="preserve">linics of our hospital and reported similar results; 64.7% participants had symptoms of depression, 51.6% had anxiety and 41.2% had stress. Even COVID-19 has milder clinical manifestations in children, its’ psychological impacts were not lesser on HCWs of </w:t>
      </w:r>
      <w:r w:rsidRPr="008076E8">
        <w:rPr>
          <w:color w:val="000000" w:themeColor="text1"/>
          <w:sz w:val="22"/>
          <w:szCs w:val="22"/>
          <w:highlight w:val="yellow"/>
          <w:lang w:val="en-US"/>
        </w:rPr>
        <w:t>Pediatric Clinic</w:t>
      </w:r>
      <w:r w:rsidRPr="008076E8">
        <w:rPr>
          <w:color w:val="000000" w:themeColor="text1"/>
          <w:sz w:val="22"/>
          <w:szCs w:val="22"/>
          <w:lang w:val="en-US"/>
        </w:rPr>
        <w:t xml:space="preserve">. </w:t>
      </w:r>
      <w:r w:rsidR="00023474" w:rsidRPr="008076E8">
        <w:rPr>
          <w:color w:val="000000" w:themeColor="text1"/>
          <w:sz w:val="22"/>
          <w:szCs w:val="22"/>
          <w:lang w:val="en-US"/>
        </w:rPr>
        <w:t>In p</w:t>
      </w:r>
      <w:r w:rsidRPr="008076E8">
        <w:rPr>
          <w:color w:val="000000" w:themeColor="text1"/>
          <w:sz w:val="22"/>
          <w:szCs w:val="22"/>
          <w:lang w:val="en-US"/>
        </w:rPr>
        <w:t xml:space="preserve">revious study </w:t>
      </w:r>
      <w:r w:rsidR="00023474" w:rsidRPr="008076E8">
        <w:rPr>
          <w:color w:val="000000" w:themeColor="text1"/>
          <w:sz w:val="22"/>
          <w:szCs w:val="22"/>
          <w:lang w:val="en-US"/>
        </w:rPr>
        <w:t xml:space="preserve">conducted by </w:t>
      </w:r>
      <w:proofErr w:type="spellStart"/>
      <w:r w:rsidR="00023474" w:rsidRPr="008076E8">
        <w:rPr>
          <w:color w:val="000000" w:themeColor="text1"/>
          <w:sz w:val="22"/>
          <w:szCs w:val="22"/>
          <w:lang w:val="en-US"/>
        </w:rPr>
        <w:t>Elbay</w:t>
      </w:r>
      <w:proofErr w:type="spellEnd"/>
      <w:r w:rsidR="00023474" w:rsidRPr="008076E8">
        <w:rPr>
          <w:color w:val="000000" w:themeColor="text1"/>
          <w:sz w:val="22"/>
          <w:szCs w:val="22"/>
          <w:lang w:val="en-US"/>
        </w:rPr>
        <w:t xml:space="preserve"> et al, </w:t>
      </w:r>
      <w:r w:rsidRPr="008076E8">
        <w:rPr>
          <w:color w:val="000000" w:themeColor="text1"/>
          <w:sz w:val="22"/>
          <w:szCs w:val="22"/>
          <w:lang w:val="en-US"/>
        </w:rPr>
        <w:t xml:space="preserve">both in Pediatric </w:t>
      </w:r>
      <w:r w:rsidR="00023474" w:rsidRPr="008076E8">
        <w:rPr>
          <w:color w:val="000000" w:themeColor="text1"/>
          <w:sz w:val="22"/>
          <w:szCs w:val="22"/>
          <w:lang w:val="en-US"/>
        </w:rPr>
        <w:t xml:space="preserve">Clinic </w:t>
      </w:r>
      <w:r w:rsidRPr="008076E8">
        <w:rPr>
          <w:color w:val="000000" w:themeColor="text1"/>
          <w:sz w:val="22"/>
          <w:szCs w:val="22"/>
          <w:lang w:val="en-US"/>
        </w:rPr>
        <w:t xml:space="preserve">and other clinics </w:t>
      </w:r>
      <w:r w:rsidR="00023474" w:rsidRPr="008076E8">
        <w:rPr>
          <w:color w:val="000000" w:themeColor="text1"/>
          <w:sz w:val="22"/>
          <w:szCs w:val="22"/>
          <w:lang w:val="en-US"/>
        </w:rPr>
        <w:t xml:space="preserve">HCWs </w:t>
      </w:r>
      <w:r w:rsidRPr="008076E8">
        <w:rPr>
          <w:color w:val="000000" w:themeColor="text1"/>
          <w:sz w:val="22"/>
          <w:szCs w:val="22"/>
          <w:lang w:val="en-US"/>
        </w:rPr>
        <w:t>did not encounter COVID-19 patients, in this study assessment was made after encountering CO</w:t>
      </w:r>
      <w:r w:rsidR="00F62897" w:rsidRPr="008076E8">
        <w:rPr>
          <w:color w:val="000000" w:themeColor="text1"/>
          <w:sz w:val="22"/>
          <w:szCs w:val="22"/>
          <w:lang w:val="en-US"/>
        </w:rPr>
        <w:t>V</w:t>
      </w:r>
      <w:r w:rsidR="00906D84" w:rsidRPr="008076E8">
        <w:rPr>
          <w:color w:val="000000" w:themeColor="text1"/>
          <w:sz w:val="22"/>
          <w:szCs w:val="22"/>
          <w:lang w:val="en-US"/>
        </w:rPr>
        <w:t>I</w:t>
      </w:r>
      <w:r w:rsidRPr="008076E8">
        <w:rPr>
          <w:color w:val="000000" w:themeColor="text1"/>
          <w:sz w:val="22"/>
          <w:szCs w:val="22"/>
          <w:lang w:val="en-US"/>
        </w:rPr>
        <w:t>D-19 patients</w:t>
      </w:r>
      <w:r w:rsidR="00023474" w:rsidRPr="008076E8">
        <w:rPr>
          <w:color w:val="000000" w:themeColor="text1"/>
          <w:sz w:val="22"/>
          <w:szCs w:val="22"/>
          <w:lang w:val="en-US"/>
        </w:rPr>
        <w:t>,</w:t>
      </w:r>
      <w:r w:rsidRPr="008076E8">
        <w:rPr>
          <w:color w:val="000000" w:themeColor="text1"/>
          <w:sz w:val="22"/>
          <w:szCs w:val="22"/>
          <w:lang w:val="en-US"/>
        </w:rPr>
        <w:t xml:space="preserve"> but this did not change scales scores. In China Lai et al</w:t>
      </w:r>
      <w:r w:rsidR="00DB69FB" w:rsidRPr="008076E8">
        <w:rPr>
          <w:color w:val="000000" w:themeColor="text1"/>
          <w:sz w:val="22"/>
          <w:szCs w:val="22"/>
          <w:lang w:val="en-US"/>
        </w:rPr>
        <w:t>. (2020)</w:t>
      </w:r>
      <w:r w:rsidR="00EB0DB6" w:rsidRPr="008076E8">
        <w:rPr>
          <w:color w:val="000000" w:themeColor="text1"/>
          <w:sz w:val="22"/>
          <w:szCs w:val="22"/>
          <w:lang w:val="en-US"/>
        </w:rPr>
        <w:t xml:space="preserve"> </w:t>
      </w:r>
      <w:r w:rsidRPr="008076E8">
        <w:rPr>
          <w:color w:val="000000" w:themeColor="text1"/>
          <w:sz w:val="22"/>
          <w:szCs w:val="22"/>
          <w:lang w:val="en-US"/>
        </w:rPr>
        <w:t xml:space="preserve">enrolled 1257 HCWs in to study and they found that </w:t>
      </w:r>
      <w:r w:rsidR="00353981" w:rsidRPr="008076E8">
        <w:rPr>
          <w:color w:val="000000" w:themeColor="text1"/>
          <w:sz w:val="22"/>
          <w:szCs w:val="22"/>
          <w:lang w:val="en-US"/>
        </w:rPr>
        <w:t>overall,</w:t>
      </w:r>
      <w:r w:rsidRPr="008076E8">
        <w:rPr>
          <w:color w:val="000000" w:themeColor="text1"/>
          <w:sz w:val="22"/>
          <w:szCs w:val="22"/>
          <w:lang w:val="en-US"/>
        </w:rPr>
        <w:t xml:space="preserve"> 50.4%, 44.6%, 34.0%, and 71.5% of HCWs reported </w:t>
      </w:r>
      <w:r w:rsidRPr="008076E8">
        <w:rPr>
          <w:color w:val="000000" w:themeColor="text1"/>
          <w:sz w:val="22"/>
          <w:szCs w:val="22"/>
          <w:highlight w:val="yellow"/>
          <w:lang w:val="en-US"/>
        </w:rPr>
        <w:t>symptoms</w:t>
      </w:r>
      <w:r w:rsidRPr="008076E8">
        <w:rPr>
          <w:color w:val="000000" w:themeColor="text1"/>
          <w:sz w:val="22"/>
          <w:szCs w:val="22"/>
          <w:lang w:val="en-US"/>
        </w:rPr>
        <w:t xml:space="preserve"> of depression, anxiety, insomnia, and distress respectively</w:t>
      </w:r>
      <w:r w:rsidR="00F00B59" w:rsidRPr="008076E8">
        <w:rPr>
          <w:color w:val="000000" w:themeColor="text1"/>
          <w:sz w:val="22"/>
          <w:szCs w:val="22"/>
          <w:vertAlign w:val="superscript"/>
          <w:lang w:val="en-US"/>
        </w:rPr>
        <w:t xml:space="preserve"> </w:t>
      </w:r>
      <w:r w:rsidR="00F00B59" w:rsidRPr="008076E8">
        <w:rPr>
          <w:color w:val="000000" w:themeColor="text1"/>
          <w:sz w:val="22"/>
          <w:szCs w:val="22"/>
          <w:lang w:val="en-US"/>
        </w:rPr>
        <w:t>(Lai et al., 2020)</w:t>
      </w:r>
      <w:r w:rsidRPr="008076E8">
        <w:rPr>
          <w:color w:val="000000" w:themeColor="text1"/>
          <w:sz w:val="22"/>
          <w:szCs w:val="22"/>
          <w:lang w:val="en-US"/>
        </w:rPr>
        <w:t xml:space="preserve">. </w:t>
      </w:r>
    </w:p>
    <w:p w14:paraId="4ED89D37" w14:textId="435E3425" w:rsidR="00B66E84" w:rsidRPr="008076E8" w:rsidRDefault="00B66E84"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 xml:space="preserve">In our study less distress may be </w:t>
      </w:r>
      <w:r w:rsidR="000C476D" w:rsidRPr="008076E8">
        <w:rPr>
          <w:color w:val="000000" w:themeColor="text1"/>
          <w:sz w:val="22"/>
          <w:szCs w:val="22"/>
          <w:lang w:val="en-US"/>
        </w:rPr>
        <w:t>due to</w:t>
      </w:r>
      <w:r w:rsidRPr="008076E8">
        <w:rPr>
          <w:color w:val="000000" w:themeColor="text1"/>
          <w:sz w:val="22"/>
          <w:szCs w:val="22"/>
          <w:lang w:val="en-US"/>
        </w:rPr>
        <w:t xml:space="preserve"> </w:t>
      </w:r>
      <w:r w:rsidR="00077F04" w:rsidRPr="008076E8">
        <w:rPr>
          <w:color w:val="000000" w:themeColor="text1"/>
          <w:sz w:val="22"/>
          <w:szCs w:val="22"/>
          <w:lang w:val="en-US"/>
        </w:rPr>
        <w:t xml:space="preserve">the fact that the </w:t>
      </w:r>
      <w:r w:rsidRPr="008076E8">
        <w:rPr>
          <w:color w:val="000000" w:themeColor="text1"/>
          <w:sz w:val="22"/>
          <w:szCs w:val="22"/>
          <w:lang w:val="en-US"/>
        </w:rPr>
        <w:t xml:space="preserve">study was conducted in </w:t>
      </w:r>
      <w:r w:rsidR="00077F04" w:rsidRPr="008076E8">
        <w:rPr>
          <w:color w:val="000000" w:themeColor="text1"/>
          <w:sz w:val="22"/>
          <w:szCs w:val="22"/>
          <w:lang w:val="en-US"/>
        </w:rPr>
        <w:t xml:space="preserve">the </w:t>
      </w:r>
      <w:r w:rsidRPr="008076E8">
        <w:rPr>
          <w:color w:val="000000" w:themeColor="text1"/>
          <w:sz w:val="22"/>
          <w:szCs w:val="22"/>
          <w:highlight w:val="yellow"/>
          <w:lang w:val="en-US"/>
        </w:rPr>
        <w:t>Pediatric Clinic</w:t>
      </w:r>
      <w:r w:rsidR="00077F04" w:rsidRPr="008076E8">
        <w:rPr>
          <w:color w:val="000000" w:themeColor="text1"/>
          <w:sz w:val="22"/>
          <w:szCs w:val="22"/>
          <w:lang w:val="en-US"/>
        </w:rPr>
        <w:t xml:space="preserve"> managing milder COVID-19 patients</w:t>
      </w:r>
      <w:r w:rsidRPr="008076E8">
        <w:rPr>
          <w:color w:val="000000" w:themeColor="text1"/>
          <w:sz w:val="22"/>
          <w:szCs w:val="22"/>
          <w:lang w:val="en-US"/>
        </w:rPr>
        <w:t xml:space="preserve">, or may be </w:t>
      </w:r>
      <w:r w:rsidR="000C476D" w:rsidRPr="008076E8">
        <w:rPr>
          <w:color w:val="000000" w:themeColor="text1"/>
          <w:sz w:val="22"/>
          <w:szCs w:val="22"/>
          <w:lang w:val="en-US"/>
        </w:rPr>
        <w:t xml:space="preserve">due </w:t>
      </w:r>
      <w:r w:rsidRPr="008076E8">
        <w:rPr>
          <w:color w:val="000000" w:themeColor="text1"/>
          <w:sz w:val="22"/>
          <w:szCs w:val="22"/>
          <w:lang w:val="en-US"/>
        </w:rPr>
        <w:t xml:space="preserve">to late arrival of outbreak to country and slower increase in number of COVID-19 </w:t>
      </w:r>
      <w:r w:rsidR="000C476D" w:rsidRPr="008076E8">
        <w:rPr>
          <w:color w:val="000000" w:themeColor="text1"/>
          <w:sz w:val="22"/>
          <w:szCs w:val="22"/>
          <w:lang w:val="en-US"/>
        </w:rPr>
        <w:t>case</w:t>
      </w:r>
      <w:r w:rsidRPr="008076E8">
        <w:rPr>
          <w:color w:val="000000" w:themeColor="text1"/>
          <w:sz w:val="22"/>
          <w:szCs w:val="22"/>
          <w:lang w:val="en-US"/>
        </w:rPr>
        <w:t xml:space="preserve">s. When we look at closer to the time orientation of </w:t>
      </w:r>
      <w:r w:rsidR="00353981" w:rsidRPr="008076E8">
        <w:rPr>
          <w:color w:val="000000" w:themeColor="text1"/>
          <w:sz w:val="22"/>
          <w:szCs w:val="22"/>
          <w:lang w:val="en-US"/>
        </w:rPr>
        <w:t>these three psychological concepts</w:t>
      </w:r>
      <w:r w:rsidRPr="008076E8">
        <w:rPr>
          <w:color w:val="000000" w:themeColor="text1"/>
          <w:sz w:val="22"/>
          <w:szCs w:val="22"/>
          <w:lang w:val="en-US"/>
        </w:rPr>
        <w:t>; we see that depression is associated with analytical thinking focusing on the lost goal in the past, in contrast, anxiety typically occurs when an individual faces a threat to self-preservation and more associated with a future orientation but stress is associated with actual aversive conditions</w:t>
      </w:r>
      <w:r w:rsidR="00F00B59" w:rsidRPr="008076E8">
        <w:rPr>
          <w:color w:val="000000" w:themeColor="text1"/>
          <w:sz w:val="22"/>
          <w:szCs w:val="22"/>
          <w:vertAlign w:val="superscript"/>
          <w:lang w:val="en-US"/>
        </w:rPr>
        <w:t xml:space="preserve"> </w:t>
      </w:r>
      <w:r w:rsidR="00F00B59" w:rsidRPr="008076E8">
        <w:rPr>
          <w:color w:val="000000" w:themeColor="text1"/>
          <w:sz w:val="22"/>
          <w:szCs w:val="22"/>
          <w:lang w:val="en-US"/>
        </w:rPr>
        <w:t>(</w:t>
      </w:r>
      <w:r w:rsidR="00F00B59" w:rsidRPr="008076E8">
        <w:rPr>
          <w:color w:val="000000" w:themeColor="text1"/>
          <w:sz w:val="22"/>
          <w:szCs w:val="22"/>
          <w:shd w:val="clear" w:color="auto" w:fill="FFFFFF"/>
          <w:lang w:val="en-US"/>
        </w:rPr>
        <w:t xml:space="preserve">Eysenck &amp; </w:t>
      </w:r>
      <w:proofErr w:type="spellStart"/>
      <w:r w:rsidR="00F00B59" w:rsidRPr="008076E8">
        <w:rPr>
          <w:color w:val="000000" w:themeColor="text1"/>
          <w:sz w:val="22"/>
          <w:szCs w:val="22"/>
          <w:shd w:val="clear" w:color="auto" w:fill="FFFFFF"/>
          <w:lang w:val="en-US"/>
        </w:rPr>
        <w:t>Fajkowska</w:t>
      </w:r>
      <w:proofErr w:type="spellEnd"/>
      <w:r w:rsidR="00F00B59" w:rsidRPr="008076E8">
        <w:rPr>
          <w:color w:val="000000" w:themeColor="text1"/>
          <w:sz w:val="22"/>
          <w:szCs w:val="22"/>
          <w:shd w:val="clear" w:color="auto" w:fill="FFFFFF"/>
          <w:lang w:val="en-US"/>
        </w:rPr>
        <w:t>, 2018</w:t>
      </w:r>
      <w:r w:rsidR="00F00B59" w:rsidRPr="008076E8">
        <w:rPr>
          <w:color w:val="000000" w:themeColor="text1"/>
          <w:sz w:val="22"/>
          <w:szCs w:val="22"/>
          <w:lang w:val="en-US"/>
        </w:rPr>
        <w:t>)</w:t>
      </w:r>
      <w:r w:rsidRPr="008076E8">
        <w:rPr>
          <w:color w:val="000000" w:themeColor="text1"/>
          <w:sz w:val="22"/>
          <w:szCs w:val="22"/>
          <w:lang w:val="en-US"/>
        </w:rPr>
        <w:t>. HCWs had emerged from a pandemic with many devastating consequences, but there was still a big concern about the COVID-19 cases would increase in the future during our study period (normalization period). For this reason, DASS-D and DASS-A percentage of our study is similar with the two previous study. But in this period, most cases were discharged from hospital, work load of the HCWs’ decreased and almost all of the staff returned to the previous working state. Lesser distress outcomes of our study may be due to this normalization time period.</w:t>
      </w:r>
    </w:p>
    <w:p w14:paraId="67141594" w14:textId="374A8412" w:rsidR="00B66E84" w:rsidRPr="008076E8" w:rsidRDefault="00B66E84"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As in many studies, being a woman was associated with experiencing depression</w:t>
      </w:r>
      <w:r w:rsidR="00DB4628" w:rsidRPr="008076E8">
        <w:rPr>
          <w:color w:val="000000" w:themeColor="text1"/>
          <w:sz w:val="22"/>
          <w:szCs w:val="22"/>
          <w:lang w:val="en-US"/>
        </w:rPr>
        <w:t xml:space="preserve"> symptoms</w:t>
      </w:r>
      <w:r w:rsidRPr="008076E8">
        <w:rPr>
          <w:color w:val="000000" w:themeColor="text1"/>
          <w:sz w:val="22"/>
          <w:szCs w:val="22"/>
          <w:lang w:val="en-US"/>
        </w:rPr>
        <w:t>, anxiety, and stress</w:t>
      </w:r>
      <w:r w:rsidR="00B23078" w:rsidRPr="008076E8">
        <w:rPr>
          <w:color w:val="000000" w:themeColor="text1"/>
          <w:sz w:val="22"/>
          <w:szCs w:val="22"/>
          <w:vertAlign w:val="superscript"/>
          <w:lang w:val="en-US"/>
        </w:rPr>
        <w:t xml:space="preserve"> </w:t>
      </w:r>
      <w:r w:rsidR="00B23078" w:rsidRPr="008076E8">
        <w:rPr>
          <w:color w:val="000000" w:themeColor="text1"/>
          <w:sz w:val="22"/>
          <w:szCs w:val="22"/>
          <w:lang w:val="en-US"/>
        </w:rPr>
        <w:t xml:space="preserve">(Luo, Guo, Yu, Jiang, </w:t>
      </w:r>
      <w:r w:rsidR="00B23078" w:rsidRPr="008076E8">
        <w:rPr>
          <w:color w:val="000000" w:themeColor="text1"/>
          <w:sz w:val="22"/>
          <w:szCs w:val="22"/>
          <w:shd w:val="clear" w:color="auto" w:fill="FFFFFF"/>
          <w:lang w:val="en-US"/>
        </w:rPr>
        <w:t xml:space="preserve">&amp; </w:t>
      </w:r>
      <w:r w:rsidR="00B23078" w:rsidRPr="008076E8">
        <w:rPr>
          <w:color w:val="000000" w:themeColor="text1"/>
          <w:sz w:val="22"/>
          <w:szCs w:val="22"/>
          <w:lang w:val="en-US"/>
        </w:rPr>
        <w:t>Wang, 2020)</w:t>
      </w:r>
      <w:r w:rsidRPr="008076E8">
        <w:rPr>
          <w:color w:val="000000" w:themeColor="text1"/>
          <w:sz w:val="22"/>
          <w:szCs w:val="22"/>
          <w:lang w:val="en-US"/>
        </w:rPr>
        <w:t xml:space="preserve">. </w:t>
      </w:r>
      <w:r w:rsidR="00DB4628" w:rsidRPr="008076E8">
        <w:rPr>
          <w:color w:val="000000" w:themeColor="text1"/>
          <w:sz w:val="22"/>
          <w:szCs w:val="22"/>
          <w:lang w:val="en-US"/>
        </w:rPr>
        <w:t>In our study w</w:t>
      </w:r>
      <w:r w:rsidRPr="008076E8">
        <w:rPr>
          <w:color w:val="000000" w:themeColor="text1"/>
          <w:sz w:val="22"/>
          <w:szCs w:val="22"/>
          <w:lang w:val="en-US"/>
        </w:rPr>
        <w:t xml:space="preserve">orking </w:t>
      </w:r>
      <w:r w:rsidR="00DB4628" w:rsidRPr="008076E8">
        <w:rPr>
          <w:color w:val="000000" w:themeColor="text1"/>
          <w:sz w:val="22"/>
          <w:szCs w:val="22"/>
          <w:lang w:val="en-US"/>
        </w:rPr>
        <w:t>o</w:t>
      </w:r>
      <w:r w:rsidRPr="008076E8">
        <w:rPr>
          <w:color w:val="000000" w:themeColor="text1"/>
          <w:sz w:val="22"/>
          <w:szCs w:val="22"/>
          <w:lang w:val="en-US"/>
        </w:rPr>
        <w:t xml:space="preserve">n frontline </w:t>
      </w:r>
      <w:r w:rsidR="00854AEC" w:rsidRPr="008076E8">
        <w:rPr>
          <w:color w:val="000000" w:themeColor="text1"/>
          <w:sz w:val="22"/>
          <w:szCs w:val="22"/>
          <w:highlight w:val="yellow"/>
          <w:lang w:val="en-US"/>
        </w:rPr>
        <w:t>was not</w:t>
      </w:r>
      <w:r w:rsidRPr="008076E8">
        <w:rPr>
          <w:color w:val="000000" w:themeColor="text1"/>
          <w:sz w:val="22"/>
          <w:szCs w:val="22"/>
          <w:lang w:val="en-US"/>
        </w:rPr>
        <w:t xml:space="preserve"> associa</w:t>
      </w:r>
      <w:r w:rsidR="0060670B" w:rsidRPr="008076E8">
        <w:rPr>
          <w:color w:val="000000" w:themeColor="text1"/>
          <w:sz w:val="22"/>
          <w:szCs w:val="22"/>
          <w:lang w:val="en-US"/>
        </w:rPr>
        <w:t>tion</w:t>
      </w:r>
      <w:r w:rsidRPr="008076E8">
        <w:rPr>
          <w:color w:val="000000" w:themeColor="text1"/>
          <w:sz w:val="22"/>
          <w:szCs w:val="22"/>
          <w:lang w:val="en-US"/>
        </w:rPr>
        <w:t xml:space="preserve"> </w:t>
      </w:r>
      <w:r w:rsidRPr="008076E8">
        <w:rPr>
          <w:color w:val="000000" w:themeColor="text1"/>
          <w:sz w:val="22"/>
          <w:szCs w:val="22"/>
          <w:lang w:val="en-US"/>
        </w:rPr>
        <w:lastRenderedPageBreak/>
        <w:t>with stress disturbance, but direct contact with COV</w:t>
      </w:r>
      <w:r w:rsidR="00F62897" w:rsidRPr="008076E8">
        <w:rPr>
          <w:color w:val="000000" w:themeColor="text1"/>
          <w:sz w:val="22"/>
          <w:szCs w:val="22"/>
          <w:lang w:val="en-US"/>
        </w:rPr>
        <w:t>I</w:t>
      </w:r>
      <w:r w:rsidRPr="008076E8">
        <w:rPr>
          <w:color w:val="000000" w:themeColor="text1"/>
          <w:sz w:val="22"/>
          <w:szCs w:val="22"/>
          <w:lang w:val="en-US"/>
        </w:rPr>
        <w:t xml:space="preserve">D-19 patients increased anxiety, depression, stress and burnout. </w:t>
      </w:r>
      <w:proofErr w:type="spellStart"/>
      <w:r w:rsidRPr="008076E8">
        <w:rPr>
          <w:color w:val="000000" w:themeColor="text1"/>
          <w:sz w:val="22"/>
          <w:szCs w:val="22"/>
          <w:lang w:val="en-US"/>
        </w:rPr>
        <w:t>Preti</w:t>
      </w:r>
      <w:proofErr w:type="spellEnd"/>
      <w:r w:rsidRPr="008076E8">
        <w:rPr>
          <w:color w:val="000000" w:themeColor="text1"/>
          <w:sz w:val="22"/>
          <w:szCs w:val="22"/>
          <w:lang w:val="en-US"/>
        </w:rPr>
        <w:t xml:space="preserve"> et</w:t>
      </w:r>
      <w:r w:rsidR="00B23078" w:rsidRPr="008076E8">
        <w:rPr>
          <w:color w:val="000000" w:themeColor="text1"/>
          <w:sz w:val="22"/>
          <w:szCs w:val="22"/>
          <w:lang w:val="en-US"/>
        </w:rPr>
        <w:t xml:space="preserve"> al. (2020)</w:t>
      </w:r>
      <w:r w:rsidRPr="008076E8">
        <w:rPr>
          <w:color w:val="000000" w:themeColor="text1"/>
          <w:sz w:val="22"/>
          <w:szCs w:val="22"/>
          <w:lang w:val="en-US"/>
        </w:rPr>
        <w:t xml:space="preserve"> reviewed 44 studies and concluded that the level of exposure to </w:t>
      </w:r>
      <w:r w:rsidR="00DB4628" w:rsidRPr="008076E8">
        <w:rPr>
          <w:color w:val="000000" w:themeColor="text1"/>
          <w:sz w:val="22"/>
          <w:szCs w:val="22"/>
          <w:lang w:val="en-US"/>
        </w:rPr>
        <w:t xml:space="preserve">COVID-19 </w:t>
      </w:r>
      <w:r w:rsidRPr="008076E8">
        <w:rPr>
          <w:color w:val="000000" w:themeColor="text1"/>
          <w:sz w:val="22"/>
          <w:szCs w:val="22"/>
          <w:lang w:val="en-US"/>
        </w:rPr>
        <w:t>patients is determinant factor of psychological</w:t>
      </w:r>
      <w:r w:rsidR="00DB4628" w:rsidRPr="008076E8">
        <w:rPr>
          <w:color w:val="000000" w:themeColor="text1"/>
          <w:sz w:val="22"/>
          <w:szCs w:val="22"/>
          <w:lang w:val="en-US"/>
        </w:rPr>
        <w:t xml:space="preserve"> suffering</w:t>
      </w:r>
      <w:r w:rsidRPr="008076E8">
        <w:rPr>
          <w:color w:val="000000" w:themeColor="text1"/>
          <w:sz w:val="22"/>
          <w:szCs w:val="22"/>
          <w:lang w:val="en-US"/>
        </w:rPr>
        <w:t>. Lai et al</w:t>
      </w:r>
      <w:r w:rsidR="001D0102" w:rsidRPr="008076E8">
        <w:rPr>
          <w:color w:val="000000" w:themeColor="text1"/>
          <w:sz w:val="22"/>
          <w:szCs w:val="22"/>
          <w:lang w:val="en-US"/>
        </w:rPr>
        <w:t>.</w:t>
      </w:r>
      <w:r w:rsidR="00B23078" w:rsidRPr="008076E8">
        <w:rPr>
          <w:color w:val="000000" w:themeColor="text1"/>
          <w:sz w:val="22"/>
          <w:szCs w:val="22"/>
          <w:lang w:val="en-US"/>
        </w:rPr>
        <w:t xml:space="preserve"> (2020)</w:t>
      </w:r>
      <w:r w:rsidRPr="008076E8">
        <w:rPr>
          <w:color w:val="000000" w:themeColor="text1"/>
          <w:sz w:val="22"/>
          <w:szCs w:val="22"/>
          <w:lang w:val="en-US"/>
        </w:rPr>
        <w:t xml:space="preserve"> reported </w:t>
      </w:r>
      <w:r w:rsidR="0060670B" w:rsidRPr="008076E8">
        <w:rPr>
          <w:color w:val="000000" w:themeColor="text1"/>
          <w:sz w:val="22"/>
          <w:szCs w:val="22"/>
          <w:highlight w:val="cyan"/>
          <w:lang w:val="en-US"/>
        </w:rPr>
        <w:t>that</w:t>
      </w:r>
      <w:r w:rsidR="0060670B" w:rsidRPr="008076E8">
        <w:rPr>
          <w:color w:val="000000" w:themeColor="text1"/>
          <w:sz w:val="22"/>
          <w:szCs w:val="22"/>
          <w:lang w:val="en-US"/>
        </w:rPr>
        <w:t xml:space="preserve"> </w:t>
      </w:r>
      <w:r w:rsidRPr="008076E8">
        <w:rPr>
          <w:color w:val="000000" w:themeColor="text1"/>
          <w:sz w:val="22"/>
          <w:szCs w:val="22"/>
          <w:lang w:val="en-US"/>
        </w:rPr>
        <w:t>working in the front line</w:t>
      </w:r>
      <w:r w:rsidR="00DB4628" w:rsidRPr="008076E8">
        <w:rPr>
          <w:color w:val="000000" w:themeColor="text1"/>
          <w:sz w:val="22"/>
          <w:szCs w:val="22"/>
          <w:lang w:val="en-US"/>
        </w:rPr>
        <w:t xml:space="preserve">, </w:t>
      </w:r>
      <w:r w:rsidRPr="008076E8">
        <w:rPr>
          <w:color w:val="000000" w:themeColor="text1"/>
          <w:sz w:val="22"/>
          <w:szCs w:val="22"/>
          <w:lang w:val="en-US"/>
        </w:rPr>
        <w:t>indirectly represent exposure to COVID-19 patients, as independent risk factor for worse mental health outcomes. One study reported different result; Wu et al</w:t>
      </w:r>
      <w:r w:rsidR="001D0102" w:rsidRPr="008076E8">
        <w:rPr>
          <w:color w:val="000000" w:themeColor="text1"/>
          <w:sz w:val="22"/>
          <w:szCs w:val="22"/>
          <w:lang w:val="en-US"/>
        </w:rPr>
        <w:t>.</w:t>
      </w:r>
      <w:r w:rsidR="00B23078" w:rsidRPr="008076E8">
        <w:rPr>
          <w:color w:val="000000" w:themeColor="text1"/>
          <w:sz w:val="22"/>
          <w:szCs w:val="22"/>
          <w:lang w:val="en-US"/>
        </w:rPr>
        <w:t xml:space="preserve"> (2020)</w:t>
      </w:r>
      <w:r w:rsidR="00B23078" w:rsidRPr="008076E8">
        <w:rPr>
          <w:color w:val="000000" w:themeColor="text1"/>
          <w:sz w:val="22"/>
          <w:szCs w:val="22"/>
          <w:vertAlign w:val="superscript"/>
          <w:lang w:val="en-US"/>
        </w:rPr>
        <w:t xml:space="preserve"> </w:t>
      </w:r>
      <w:r w:rsidRPr="008076E8">
        <w:rPr>
          <w:color w:val="000000" w:themeColor="text1"/>
          <w:sz w:val="22"/>
          <w:szCs w:val="22"/>
          <w:lang w:val="en-US"/>
        </w:rPr>
        <w:t>compare burnout frequency among HCWs on the frontline wards and those working in usual wards during the COVID-19 outbreak in Wuhan, China. They found that the group working on the front lines had a lower frequency of burnout and were less worried about being infected compared with the usual wards group. They suggested that directly addressing COVID-19 caused frontline HCWs to have felt a greater sense of control of their situation.</w:t>
      </w:r>
    </w:p>
    <w:p w14:paraId="5C07B68F" w14:textId="3E498886" w:rsidR="002B7855" w:rsidRPr="008076E8" w:rsidRDefault="00B66E84"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 xml:space="preserve">On the other hand, we found no significant differences </w:t>
      </w:r>
      <w:r w:rsidR="001C2AB9" w:rsidRPr="008076E8">
        <w:rPr>
          <w:color w:val="000000" w:themeColor="text1"/>
          <w:sz w:val="22"/>
          <w:szCs w:val="22"/>
          <w:lang w:val="en-US"/>
        </w:rPr>
        <w:t xml:space="preserve">in </w:t>
      </w:r>
      <w:r w:rsidR="001C2AB9" w:rsidRPr="008076E8">
        <w:rPr>
          <w:color w:val="000000" w:themeColor="text1"/>
          <w:sz w:val="22"/>
          <w:szCs w:val="22"/>
          <w:lang w:val="en-US"/>
        </w:rPr>
        <w:t>MBI, AAQ-II and DASS scores</w:t>
      </w:r>
      <w:r w:rsidR="001C2AB9" w:rsidRPr="008076E8">
        <w:rPr>
          <w:color w:val="000000" w:themeColor="text1"/>
          <w:sz w:val="22"/>
          <w:szCs w:val="22"/>
          <w:lang w:val="en-US"/>
        </w:rPr>
        <w:t xml:space="preserve"> of HCWs </w:t>
      </w:r>
      <w:r w:rsidRPr="008076E8">
        <w:rPr>
          <w:color w:val="000000" w:themeColor="text1"/>
          <w:sz w:val="22"/>
          <w:szCs w:val="22"/>
          <w:lang w:val="en-US"/>
        </w:rPr>
        <w:t xml:space="preserve">working with </w:t>
      </w:r>
      <w:r w:rsidR="001C2AB9" w:rsidRPr="008076E8">
        <w:rPr>
          <w:color w:val="000000" w:themeColor="text1"/>
          <w:sz w:val="22"/>
          <w:szCs w:val="22"/>
          <w:lang w:val="en-US"/>
        </w:rPr>
        <w:t xml:space="preserve">close colleague with and without </w:t>
      </w:r>
      <w:r w:rsidRPr="008076E8">
        <w:rPr>
          <w:color w:val="000000" w:themeColor="text1"/>
          <w:sz w:val="22"/>
          <w:szCs w:val="22"/>
          <w:lang w:val="en-US"/>
        </w:rPr>
        <w:t xml:space="preserve">COVID-19.  </w:t>
      </w:r>
      <w:r w:rsidRPr="008076E8">
        <w:rPr>
          <w:color w:val="000000" w:themeColor="text1"/>
          <w:sz w:val="22"/>
          <w:szCs w:val="22"/>
          <w:highlight w:val="yellow"/>
          <w:lang w:val="en-US"/>
        </w:rPr>
        <w:t xml:space="preserve">This interesting result may </w:t>
      </w:r>
      <w:r w:rsidR="00C7154E" w:rsidRPr="008076E8">
        <w:rPr>
          <w:color w:val="000000" w:themeColor="text1"/>
          <w:sz w:val="22"/>
          <w:szCs w:val="22"/>
          <w:highlight w:val="yellow"/>
          <w:lang w:val="en-US"/>
        </w:rPr>
        <w:t xml:space="preserve">be </w:t>
      </w:r>
      <w:r w:rsidRPr="008076E8">
        <w:rPr>
          <w:color w:val="000000" w:themeColor="text1"/>
          <w:sz w:val="22"/>
          <w:szCs w:val="22"/>
          <w:highlight w:val="yellow"/>
          <w:lang w:val="en-US"/>
        </w:rPr>
        <w:t xml:space="preserve">due to the stigmatizing </w:t>
      </w:r>
      <w:r w:rsidR="006935C1" w:rsidRPr="008076E8">
        <w:rPr>
          <w:color w:val="000000" w:themeColor="text1"/>
          <w:sz w:val="22"/>
          <w:szCs w:val="22"/>
          <w:highlight w:val="yellow"/>
          <w:lang w:val="en-US"/>
        </w:rPr>
        <w:t xml:space="preserve">attitudes </w:t>
      </w:r>
      <w:r w:rsidRPr="008076E8">
        <w:rPr>
          <w:color w:val="000000" w:themeColor="text1"/>
          <w:sz w:val="22"/>
          <w:szCs w:val="22"/>
          <w:highlight w:val="yellow"/>
          <w:lang w:val="en-US"/>
        </w:rPr>
        <w:t xml:space="preserve">and </w:t>
      </w:r>
      <w:proofErr w:type="spellStart"/>
      <w:r w:rsidRPr="008076E8">
        <w:rPr>
          <w:color w:val="000000" w:themeColor="text1"/>
          <w:sz w:val="22"/>
          <w:szCs w:val="22"/>
          <w:highlight w:val="yellow"/>
          <w:lang w:val="en-US"/>
        </w:rPr>
        <w:t>xeno</w:t>
      </w:r>
      <w:proofErr w:type="spellEnd"/>
      <w:r w:rsidRPr="008076E8">
        <w:rPr>
          <w:color w:val="000000" w:themeColor="text1"/>
          <w:sz w:val="22"/>
          <w:szCs w:val="22"/>
          <w:highlight w:val="yellow"/>
          <w:lang w:val="en-US"/>
        </w:rPr>
        <w:t>-phobic fears</w:t>
      </w:r>
      <w:r w:rsidR="006935C1" w:rsidRPr="008076E8">
        <w:rPr>
          <w:color w:val="000000" w:themeColor="text1"/>
          <w:sz w:val="22"/>
          <w:szCs w:val="22"/>
          <w:highlight w:val="yellow"/>
          <w:lang w:val="en-US"/>
        </w:rPr>
        <w:t xml:space="preserve"> claim</w:t>
      </w:r>
      <w:r w:rsidR="00B044D9" w:rsidRPr="008076E8">
        <w:rPr>
          <w:color w:val="000000" w:themeColor="text1"/>
          <w:sz w:val="22"/>
          <w:szCs w:val="22"/>
          <w:highlight w:val="yellow"/>
          <w:lang w:val="en-US"/>
        </w:rPr>
        <w:t>ing</w:t>
      </w:r>
      <w:r w:rsidR="006935C1" w:rsidRPr="008076E8">
        <w:rPr>
          <w:color w:val="000000" w:themeColor="text1"/>
          <w:sz w:val="22"/>
          <w:szCs w:val="22"/>
          <w:highlight w:val="yellow"/>
          <w:lang w:val="en-US"/>
        </w:rPr>
        <w:t xml:space="preserve"> </w:t>
      </w:r>
      <w:r w:rsidRPr="008076E8">
        <w:rPr>
          <w:color w:val="000000" w:themeColor="text1"/>
          <w:sz w:val="22"/>
          <w:szCs w:val="22"/>
          <w:highlight w:val="yellow"/>
          <w:lang w:val="en-US"/>
        </w:rPr>
        <w:t xml:space="preserve">foreigners </w:t>
      </w:r>
      <w:r w:rsidR="006935C1" w:rsidRPr="008076E8">
        <w:rPr>
          <w:color w:val="000000" w:themeColor="text1"/>
          <w:sz w:val="22"/>
          <w:szCs w:val="22"/>
          <w:highlight w:val="yellow"/>
          <w:lang w:val="en-US"/>
        </w:rPr>
        <w:t xml:space="preserve">as </w:t>
      </w:r>
      <w:r w:rsidRPr="008076E8">
        <w:rPr>
          <w:color w:val="000000" w:themeColor="text1"/>
          <w:sz w:val="22"/>
          <w:szCs w:val="22"/>
          <w:highlight w:val="yellow"/>
          <w:lang w:val="en-US"/>
        </w:rPr>
        <w:t xml:space="preserve">sources of infection </w:t>
      </w:r>
      <w:r w:rsidR="00B044D9" w:rsidRPr="008076E8">
        <w:rPr>
          <w:color w:val="000000" w:themeColor="text1"/>
          <w:sz w:val="22"/>
          <w:szCs w:val="22"/>
          <w:highlight w:val="yellow"/>
          <w:lang w:val="en-US"/>
        </w:rPr>
        <w:t xml:space="preserve">which were reported to be </w:t>
      </w:r>
      <w:r w:rsidRPr="008076E8">
        <w:rPr>
          <w:color w:val="000000" w:themeColor="text1"/>
          <w:sz w:val="22"/>
          <w:szCs w:val="22"/>
          <w:highlight w:val="yellow"/>
          <w:lang w:val="en-US"/>
        </w:rPr>
        <w:t>associated with COVID Stress Syndrome</w:t>
      </w:r>
      <w:r w:rsidR="00B23078" w:rsidRPr="008076E8">
        <w:rPr>
          <w:color w:val="000000" w:themeColor="text1"/>
          <w:sz w:val="22"/>
          <w:szCs w:val="22"/>
          <w:lang w:val="en-US"/>
        </w:rPr>
        <w:t xml:space="preserve"> (Taylor et al., 2020a, b)</w:t>
      </w:r>
      <w:r w:rsidRPr="008076E8">
        <w:rPr>
          <w:color w:val="000000" w:themeColor="text1"/>
          <w:sz w:val="22"/>
          <w:szCs w:val="22"/>
          <w:lang w:val="en-US"/>
        </w:rPr>
        <w:t>.</w:t>
      </w:r>
      <w:r w:rsidR="00B044D9" w:rsidRPr="008076E8">
        <w:rPr>
          <w:color w:val="000000" w:themeColor="text1"/>
          <w:sz w:val="22"/>
          <w:szCs w:val="22"/>
          <w:lang w:val="en-US"/>
        </w:rPr>
        <w:t xml:space="preserve"> </w:t>
      </w:r>
      <w:r w:rsidRPr="008076E8">
        <w:rPr>
          <w:color w:val="000000" w:themeColor="text1"/>
          <w:sz w:val="22"/>
          <w:szCs w:val="22"/>
          <w:lang w:val="en-US"/>
        </w:rPr>
        <w:t xml:space="preserve">These results indicate an interesting area to be investigated </w:t>
      </w:r>
      <w:r w:rsidR="00B044D9" w:rsidRPr="008076E8">
        <w:rPr>
          <w:color w:val="000000" w:themeColor="text1"/>
          <w:sz w:val="22"/>
          <w:szCs w:val="22"/>
          <w:lang w:val="en-US"/>
        </w:rPr>
        <w:t xml:space="preserve">in the subsequent studies; </w:t>
      </w:r>
      <w:r w:rsidRPr="008076E8">
        <w:rPr>
          <w:color w:val="000000" w:themeColor="text1"/>
          <w:sz w:val="22"/>
          <w:szCs w:val="22"/>
          <w:lang w:val="en-US"/>
        </w:rPr>
        <w:t xml:space="preserve">the effects of </w:t>
      </w:r>
      <w:proofErr w:type="spellStart"/>
      <w:r w:rsidRPr="008076E8">
        <w:rPr>
          <w:color w:val="000000" w:themeColor="text1"/>
          <w:sz w:val="22"/>
          <w:szCs w:val="22"/>
          <w:lang w:val="en-US"/>
        </w:rPr>
        <w:t>xeno</w:t>
      </w:r>
      <w:proofErr w:type="spellEnd"/>
      <w:r w:rsidRPr="008076E8">
        <w:rPr>
          <w:color w:val="000000" w:themeColor="text1"/>
          <w:sz w:val="22"/>
          <w:szCs w:val="22"/>
          <w:lang w:val="en-US"/>
        </w:rPr>
        <w:t>-phobic fears and stigmatization in HCWs’ COVID related anxiety</w:t>
      </w:r>
      <w:r w:rsidR="00B044D9" w:rsidRPr="008076E8">
        <w:rPr>
          <w:color w:val="000000" w:themeColor="text1"/>
          <w:sz w:val="22"/>
          <w:szCs w:val="22"/>
          <w:lang w:val="en-US"/>
        </w:rPr>
        <w:t>.</w:t>
      </w:r>
      <w:r w:rsidRPr="008076E8">
        <w:rPr>
          <w:color w:val="000000" w:themeColor="text1"/>
          <w:sz w:val="22"/>
          <w:szCs w:val="22"/>
          <w:lang w:val="en-US"/>
        </w:rPr>
        <w:t xml:space="preserve"> Another factor </w:t>
      </w:r>
      <w:r w:rsidR="002B7855" w:rsidRPr="008076E8">
        <w:rPr>
          <w:color w:val="000000" w:themeColor="text1"/>
          <w:sz w:val="22"/>
          <w:szCs w:val="22"/>
          <w:lang w:val="en-US"/>
        </w:rPr>
        <w:t xml:space="preserve">for </w:t>
      </w:r>
      <w:r w:rsidRPr="008076E8">
        <w:rPr>
          <w:color w:val="000000" w:themeColor="text1"/>
          <w:sz w:val="22"/>
          <w:szCs w:val="22"/>
          <w:lang w:val="en-US"/>
        </w:rPr>
        <w:t>this result may be</w:t>
      </w:r>
      <w:r w:rsidR="00B044D9" w:rsidRPr="008076E8">
        <w:rPr>
          <w:color w:val="000000" w:themeColor="text1"/>
          <w:sz w:val="22"/>
          <w:szCs w:val="22"/>
          <w:lang w:val="en-US"/>
        </w:rPr>
        <w:t xml:space="preserve"> ‘</w:t>
      </w:r>
      <w:r w:rsidRPr="008076E8">
        <w:rPr>
          <w:color w:val="000000" w:themeColor="text1"/>
          <w:sz w:val="22"/>
          <w:szCs w:val="22"/>
          <w:lang w:val="en-US"/>
        </w:rPr>
        <w:t>avoidance</w:t>
      </w:r>
      <w:r w:rsidR="00B044D9" w:rsidRPr="008076E8">
        <w:rPr>
          <w:color w:val="000000" w:themeColor="text1"/>
          <w:sz w:val="22"/>
          <w:szCs w:val="22"/>
          <w:lang w:val="en-US"/>
        </w:rPr>
        <w:t>’</w:t>
      </w:r>
      <w:r w:rsidR="002B7855" w:rsidRPr="008076E8">
        <w:rPr>
          <w:color w:val="000000" w:themeColor="text1"/>
          <w:sz w:val="22"/>
          <w:szCs w:val="22"/>
          <w:lang w:val="en-US"/>
        </w:rPr>
        <w:t xml:space="preserve">, </w:t>
      </w:r>
      <w:r w:rsidRPr="008076E8">
        <w:rPr>
          <w:color w:val="000000" w:themeColor="text1"/>
          <w:sz w:val="22"/>
          <w:szCs w:val="22"/>
          <w:lang w:val="en-US"/>
        </w:rPr>
        <w:t>the main psychological reaction to stressor factor for establishing and maintaining of anxiety related disorders</w:t>
      </w:r>
      <w:r w:rsidR="00B23078" w:rsidRPr="008076E8">
        <w:rPr>
          <w:color w:val="000000" w:themeColor="text1"/>
          <w:sz w:val="22"/>
          <w:szCs w:val="22"/>
          <w:lang w:val="en-US"/>
        </w:rPr>
        <w:t xml:space="preserve"> (</w:t>
      </w:r>
      <w:proofErr w:type="spellStart"/>
      <w:r w:rsidR="00B23078" w:rsidRPr="008076E8">
        <w:rPr>
          <w:color w:val="000000" w:themeColor="text1"/>
          <w:sz w:val="22"/>
          <w:szCs w:val="22"/>
          <w:lang w:val="en-US"/>
        </w:rPr>
        <w:t>Borkovec</w:t>
      </w:r>
      <w:proofErr w:type="spellEnd"/>
      <w:r w:rsidR="00B23078" w:rsidRPr="008076E8">
        <w:rPr>
          <w:color w:val="000000" w:themeColor="text1"/>
          <w:sz w:val="22"/>
          <w:szCs w:val="22"/>
          <w:lang w:val="en-US"/>
        </w:rPr>
        <w:t xml:space="preserve"> et al., 2004</w:t>
      </w:r>
      <w:r w:rsidR="00DB69FB" w:rsidRPr="008076E8">
        <w:rPr>
          <w:color w:val="000000" w:themeColor="text1"/>
          <w:sz w:val="22"/>
          <w:szCs w:val="22"/>
          <w:lang w:val="en-US"/>
        </w:rPr>
        <w:t>;</w:t>
      </w:r>
      <w:r w:rsidR="00B23078" w:rsidRPr="008076E8">
        <w:rPr>
          <w:color w:val="000000" w:themeColor="text1"/>
          <w:sz w:val="22"/>
          <w:szCs w:val="22"/>
          <w:lang w:val="en-US"/>
        </w:rPr>
        <w:t xml:space="preserve"> Solomon et al., 1954)</w:t>
      </w:r>
      <w:r w:rsidRPr="008076E8">
        <w:rPr>
          <w:color w:val="000000" w:themeColor="text1"/>
          <w:sz w:val="22"/>
          <w:szCs w:val="22"/>
          <w:lang w:val="en-US"/>
        </w:rPr>
        <w:t xml:space="preserve">. </w:t>
      </w:r>
      <w:r w:rsidR="002B7855" w:rsidRPr="008076E8">
        <w:rPr>
          <w:color w:val="000000" w:themeColor="text1"/>
          <w:sz w:val="22"/>
          <w:szCs w:val="22"/>
          <w:lang w:val="en-US"/>
        </w:rPr>
        <w:t>In anxiety related disorders</w:t>
      </w:r>
      <w:r w:rsidR="002B7855" w:rsidRPr="008076E8">
        <w:rPr>
          <w:color w:val="000000" w:themeColor="text1"/>
          <w:sz w:val="22"/>
          <w:szCs w:val="22"/>
          <w:vertAlign w:val="superscript"/>
          <w:lang w:val="en-US"/>
        </w:rPr>
        <w:t xml:space="preserve"> </w:t>
      </w:r>
      <w:r w:rsidRPr="008076E8">
        <w:rPr>
          <w:color w:val="000000" w:themeColor="text1"/>
          <w:sz w:val="22"/>
          <w:szCs w:val="22"/>
          <w:lang w:val="en-US"/>
        </w:rPr>
        <w:t xml:space="preserve">exposure based therapeutic approaches is the gold-standard interventions </w:t>
      </w:r>
      <w:r w:rsidR="00B23078" w:rsidRPr="008076E8">
        <w:rPr>
          <w:color w:val="000000" w:themeColor="text1"/>
          <w:sz w:val="22"/>
          <w:szCs w:val="22"/>
          <w:lang w:val="en-US"/>
        </w:rPr>
        <w:t>(</w:t>
      </w:r>
      <w:proofErr w:type="spellStart"/>
      <w:r w:rsidR="00B23078" w:rsidRPr="008076E8">
        <w:rPr>
          <w:color w:val="000000" w:themeColor="text1"/>
          <w:sz w:val="22"/>
          <w:szCs w:val="22"/>
          <w:lang w:val="en-US"/>
        </w:rPr>
        <w:t>B.</w:t>
      </w:r>
      <w:proofErr w:type="gramStart"/>
      <w:r w:rsidR="00B23078" w:rsidRPr="008076E8">
        <w:rPr>
          <w:color w:val="000000" w:themeColor="text1"/>
          <w:sz w:val="22"/>
          <w:szCs w:val="22"/>
          <w:lang w:val="en-US"/>
        </w:rPr>
        <w:t>J.Sadock</w:t>
      </w:r>
      <w:proofErr w:type="spellEnd"/>
      <w:proofErr w:type="gramEnd"/>
      <w:r w:rsidR="00B23078" w:rsidRPr="008076E8">
        <w:rPr>
          <w:color w:val="000000" w:themeColor="text1"/>
          <w:sz w:val="22"/>
          <w:szCs w:val="22"/>
          <w:lang w:val="en-US"/>
        </w:rPr>
        <w:t xml:space="preserve"> &amp;V.A. Sadock, 2011)</w:t>
      </w:r>
      <w:r w:rsidRPr="008076E8">
        <w:rPr>
          <w:color w:val="000000" w:themeColor="text1"/>
          <w:sz w:val="22"/>
          <w:szCs w:val="22"/>
          <w:lang w:val="en-US"/>
        </w:rPr>
        <w:t>. Coming closer to the feared stimulus, balanced the anxiety reactions in a healthy way, extinction to the feared situation occurs in the basis of systematic desensitization or inhibitory learning mechanism</w:t>
      </w:r>
      <w:r w:rsidR="00B23078" w:rsidRPr="008076E8">
        <w:rPr>
          <w:color w:val="000000" w:themeColor="text1"/>
          <w:sz w:val="22"/>
          <w:szCs w:val="22"/>
          <w:lang w:val="en-US"/>
        </w:rPr>
        <w:t xml:space="preserve"> (</w:t>
      </w:r>
      <w:proofErr w:type="spellStart"/>
      <w:r w:rsidR="00B23078" w:rsidRPr="008076E8">
        <w:rPr>
          <w:color w:val="000000" w:themeColor="text1"/>
          <w:sz w:val="22"/>
          <w:szCs w:val="22"/>
          <w:shd w:val="clear" w:color="auto" w:fill="FFFFFF"/>
          <w:lang w:val="en-US"/>
        </w:rPr>
        <w:t>Craske</w:t>
      </w:r>
      <w:proofErr w:type="spellEnd"/>
      <w:r w:rsidR="00B23078" w:rsidRPr="008076E8">
        <w:rPr>
          <w:color w:val="000000" w:themeColor="text1"/>
          <w:sz w:val="22"/>
          <w:szCs w:val="22"/>
          <w:shd w:val="clear" w:color="auto" w:fill="FFFFFF"/>
          <w:lang w:val="en-US"/>
        </w:rPr>
        <w:t xml:space="preserve">, Treanor, Conway, </w:t>
      </w:r>
      <w:proofErr w:type="spellStart"/>
      <w:r w:rsidR="00B23078" w:rsidRPr="008076E8">
        <w:rPr>
          <w:color w:val="000000" w:themeColor="text1"/>
          <w:sz w:val="22"/>
          <w:szCs w:val="22"/>
          <w:shd w:val="clear" w:color="auto" w:fill="FFFFFF"/>
          <w:lang w:val="en-US"/>
        </w:rPr>
        <w:t>Zbozinek</w:t>
      </w:r>
      <w:proofErr w:type="spellEnd"/>
      <w:r w:rsidR="00B23078" w:rsidRPr="008076E8">
        <w:rPr>
          <w:color w:val="000000" w:themeColor="text1"/>
          <w:sz w:val="22"/>
          <w:szCs w:val="22"/>
          <w:shd w:val="clear" w:color="auto" w:fill="FFFFFF"/>
          <w:lang w:val="en-US"/>
        </w:rPr>
        <w:t xml:space="preserve">, &amp; </w:t>
      </w:r>
      <w:proofErr w:type="spellStart"/>
      <w:r w:rsidR="00B23078" w:rsidRPr="008076E8">
        <w:rPr>
          <w:color w:val="000000" w:themeColor="text1"/>
          <w:sz w:val="22"/>
          <w:szCs w:val="22"/>
          <w:shd w:val="clear" w:color="auto" w:fill="FFFFFF"/>
          <w:lang w:val="en-US"/>
        </w:rPr>
        <w:t>Vervliet</w:t>
      </w:r>
      <w:proofErr w:type="spellEnd"/>
      <w:r w:rsidR="00B23078" w:rsidRPr="008076E8">
        <w:rPr>
          <w:color w:val="000000" w:themeColor="text1"/>
          <w:sz w:val="22"/>
          <w:szCs w:val="22"/>
          <w:shd w:val="clear" w:color="auto" w:fill="FFFFFF"/>
          <w:lang w:val="en-US"/>
        </w:rPr>
        <w:t xml:space="preserve"> 2014</w:t>
      </w:r>
      <w:r w:rsidR="00B23078" w:rsidRPr="008076E8">
        <w:rPr>
          <w:color w:val="000000" w:themeColor="text1"/>
          <w:sz w:val="22"/>
          <w:szCs w:val="22"/>
          <w:lang w:val="en-US"/>
        </w:rPr>
        <w:t>)</w:t>
      </w:r>
      <w:r w:rsidRPr="008076E8">
        <w:rPr>
          <w:color w:val="000000" w:themeColor="text1"/>
          <w:sz w:val="22"/>
          <w:szCs w:val="22"/>
          <w:lang w:val="en-US"/>
        </w:rPr>
        <w:t xml:space="preserve">. </w:t>
      </w:r>
      <w:r w:rsidR="002B7855" w:rsidRPr="008076E8">
        <w:rPr>
          <w:color w:val="000000" w:themeColor="text1"/>
          <w:sz w:val="22"/>
          <w:szCs w:val="22"/>
          <w:lang w:val="en-US"/>
        </w:rPr>
        <w:t>I</w:t>
      </w:r>
      <w:r w:rsidRPr="008076E8">
        <w:rPr>
          <w:color w:val="000000" w:themeColor="text1"/>
          <w:sz w:val="22"/>
          <w:szCs w:val="22"/>
          <w:lang w:val="en-US"/>
        </w:rPr>
        <w:t>nvestigat</w:t>
      </w:r>
      <w:r w:rsidR="002B7855" w:rsidRPr="008076E8">
        <w:rPr>
          <w:color w:val="000000" w:themeColor="text1"/>
          <w:sz w:val="22"/>
          <w:szCs w:val="22"/>
          <w:lang w:val="en-US"/>
        </w:rPr>
        <w:t>ion of</w:t>
      </w:r>
      <w:r w:rsidRPr="008076E8">
        <w:rPr>
          <w:color w:val="000000" w:themeColor="text1"/>
          <w:sz w:val="22"/>
          <w:szCs w:val="22"/>
          <w:lang w:val="en-US"/>
        </w:rPr>
        <w:t xml:space="preserve"> these results through the avoidance and stigmatization mechanism </w:t>
      </w:r>
      <w:r w:rsidR="002B7855" w:rsidRPr="008076E8">
        <w:rPr>
          <w:color w:val="000000" w:themeColor="text1"/>
          <w:sz w:val="22"/>
          <w:szCs w:val="22"/>
          <w:lang w:val="en-US"/>
        </w:rPr>
        <w:t>is important</w:t>
      </w:r>
      <w:r w:rsidRPr="008076E8">
        <w:rPr>
          <w:color w:val="000000" w:themeColor="text1"/>
          <w:sz w:val="22"/>
          <w:szCs w:val="22"/>
          <w:lang w:val="en-US"/>
        </w:rPr>
        <w:t>.</w:t>
      </w:r>
    </w:p>
    <w:p w14:paraId="32E092ED" w14:textId="5EA8F6A5" w:rsidR="008624A6" w:rsidRPr="008076E8" w:rsidRDefault="00910B34"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The significantly higher MB</w:t>
      </w:r>
      <w:r w:rsidR="00E649D2" w:rsidRPr="008076E8">
        <w:rPr>
          <w:color w:val="000000" w:themeColor="text1"/>
          <w:sz w:val="22"/>
          <w:szCs w:val="22"/>
          <w:lang w:val="en-US"/>
        </w:rPr>
        <w:t>I</w:t>
      </w:r>
      <w:r w:rsidRPr="008076E8">
        <w:rPr>
          <w:color w:val="000000" w:themeColor="text1"/>
          <w:sz w:val="22"/>
          <w:szCs w:val="22"/>
          <w:lang w:val="en-US"/>
        </w:rPr>
        <w:t>-EE scores of physicians in contrast to allied HCWs’ scores were frequently observed result</w:t>
      </w:r>
      <w:r w:rsidR="001373DE" w:rsidRPr="008076E8">
        <w:rPr>
          <w:color w:val="000000" w:themeColor="text1"/>
          <w:sz w:val="22"/>
          <w:szCs w:val="22"/>
          <w:lang w:val="en-US"/>
        </w:rPr>
        <w:t>,</w:t>
      </w:r>
      <w:r w:rsidRPr="008076E8">
        <w:rPr>
          <w:color w:val="000000" w:themeColor="text1"/>
          <w:sz w:val="22"/>
          <w:szCs w:val="22"/>
          <w:lang w:val="en-US"/>
        </w:rPr>
        <w:t xml:space="preserve"> most obviously due to physicians work alone at the decision-making level (</w:t>
      </w:r>
      <w:proofErr w:type="spellStart"/>
      <w:r w:rsidRPr="008076E8">
        <w:rPr>
          <w:color w:val="000000" w:themeColor="text1"/>
          <w:sz w:val="22"/>
          <w:szCs w:val="22"/>
          <w:lang w:val="en-US"/>
        </w:rPr>
        <w:t>Rotenstein</w:t>
      </w:r>
      <w:proofErr w:type="spellEnd"/>
      <w:r w:rsidRPr="008076E8">
        <w:rPr>
          <w:color w:val="000000" w:themeColor="text1"/>
          <w:sz w:val="22"/>
          <w:szCs w:val="22"/>
          <w:lang w:val="en-US"/>
        </w:rPr>
        <w:t xml:space="preserve"> et al.,2018; West et al., 2016; </w:t>
      </w:r>
      <w:proofErr w:type="spellStart"/>
      <w:r w:rsidRPr="008076E8">
        <w:rPr>
          <w:color w:val="000000" w:themeColor="text1"/>
          <w:sz w:val="22"/>
          <w:szCs w:val="22"/>
          <w:lang w:val="en-US"/>
        </w:rPr>
        <w:t>Panagioti</w:t>
      </w:r>
      <w:proofErr w:type="spellEnd"/>
      <w:r w:rsidRPr="008076E8">
        <w:rPr>
          <w:color w:val="000000" w:themeColor="text1"/>
          <w:sz w:val="22"/>
          <w:szCs w:val="22"/>
          <w:lang w:val="en-US"/>
        </w:rPr>
        <w:t xml:space="preserve"> et al., 2018). It is known that burnout is significantly </w:t>
      </w:r>
      <w:r w:rsidRPr="008076E8">
        <w:rPr>
          <w:color w:val="000000" w:themeColor="text1"/>
          <w:sz w:val="22"/>
          <w:szCs w:val="22"/>
          <w:lang w:val="en-US"/>
        </w:rPr>
        <w:lastRenderedPageBreak/>
        <w:t xml:space="preserve">reduced in group work environments especially with shared responsibility and supportive health care systems (West, </w:t>
      </w:r>
      <w:proofErr w:type="spellStart"/>
      <w:r w:rsidRPr="008076E8">
        <w:rPr>
          <w:color w:val="000000" w:themeColor="text1"/>
          <w:sz w:val="22"/>
          <w:szCs w:val="22"/>
          <w:lang w:val="en-US"/>
        </w:rPr>
        <w:t>Dyrbye</w:t>
      </w:r>
      <w:proofErr w:type="spellEnd"/>
      <w:r w:rsidRPr="008076E8">
        <w:rPr>
          <w:color w:val="000000" w:themeColor="text1"/>
          <w:sz w:val="22"/>
          <w:szCs w:val="22"/>
          <w:lang w:val="en-US"/>
        </w:rPr>
        <w:t xml:space="preserve"> &amp; </w:t>
      </w:r>
      <w:proofErr w:type="spellStart"/>
      <w:r w:rsidRPr="008076E8">
        <w:rPr>
          <w:color w:val="000000" w:themeColor="text1"/>
          <w:sz w:val="22"/>
          <w:szCs w:val="22"/>
          <w:lang w:val="en-US"/>
        </w:rPr>
        <w:t>Shanafelt</w:t>
      </w:r>
      <w:proofErr w:type="spellEnd"/>
      <w:r w:rsidRPr="008076E8">
        <w:rPr>
          <w:color w:val="000000" w:themeColor="text1"/>
          <w:sz w:val="22"/>
          <w:szCs w:val="22"/>
          <w:lang w:val="en-US"/>
        </w:rPr>
        <w:t xml:space="preserve">, 2018). </w:t>
      </w:r>
    </w:p>
    <w:p w14:paraId="6FA2C30F" w14:textId="36BF2E5A" w:rsidR="001E0390" w:rsidRPr="008076E8" w:rsidRDefault="003458F8"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During this outbreak while some HCWs worked with shift system, for others</w:t>
      </w:r>
      <w:r w:rsidR="008624A6" w:rsidRPr="008076E8">
        <w:rPr>
          <w:color w:val="000000" w:themeColor="text1"/>
          <w:sz w:val="22"/>
          <w:szCs w:val="22"/>
          <w:lang w:val="en-US"/>
        </w:rPr>
        <w:t xml:space="preserve"> this was not possible</w:t>
      </w:r>
      <w:r w:rsidRPr="008076E8">
        <w:rPr>
          <w:color w:val="000000" w:themeColor="text1"/>
          <w:sz w:val="22"/>
          <w:szCs w:val="22"/>
          <w:lang w:val="en-US"/>
        </w:rPr>
        <w:t xml:space="preserve">; such as </w:t>
      </w:r>
      <w:r w:rsidR="008624A6" w:rsidRPr="008076E8">
        <w:rPr>
          <w:color w:val="000000" w:themeColor="text1"/>
          <w:sz w:val="22"/>
          <w:szCs w:val="22"/>
          <w:lang w:val="en-US"/>
        </w:rPr>
        <w:t xml:space="preserve">for </w:t>
      </w:r>
      <w:r w:rsidRPr="008076E8">
        <w:rPr>
          <w:color w:val="000000" w:themeColor="text1"/>
          <w:sz w:val="22"/>
          <w:szCs w:val="22"/>
          <w:lang w:val="en-US"/>
        </w:rPr>
        <w:t>physicians of infectious diseases, emergency department, anesthesiology, intensive care units and administrators</w:t>
      </w:r>
      <w:r w:rsidR="008624A6" w:rsidRPr="008076E8">
        <w:rPr>
          <w:color w:val="000000" w:themeColor="text1"/>
          <w:sz w:val="22"/>
          <w:szCs w:val="22"/>
          <w:lang w:val="en-US"/>
        </w:rPr>
        <w:t xml:space="preserve"> of departments</w:t>
      </w:r>
      <w:r w:rsidRPr="008076E8">
        <w:rPr>
          <w:color w:val="000000" w:themeColor="text1"/>
          <w:sz w:val="22"/>
          <w:szCs w:val="22"/>
          <w:lang w:val="en-US"/>
        </w:rPr>
        <w:t xml:space="preserve">. </w:t>
      </w:r>
      <w:r w:rsidR="008624A6" w:rsidRPr="008076E8">
        <w:rPr>
          <w:color w:val="000000" w:themeColor="text1"/>
          <w:sz w:val="22"/>
          <w:szCs w:val="22"/>
          <w:lang w:val="en-US"/>
        </w:rPr>
        <w:t xml:space="preserve">This reflected to scales as significant positive correlation between working hours and depression, anxiety, stress, psychological inflexibility and burnout </w:t>
      </w:r>
      <w:r w:rsidR="008624A6" w:rsidRPr="008076E8">
        <w:rPr>
          <w:color w:val="000000" w:themeColor="text1"/>
          <w:sz w:val="22"/>
          <w:szCs w:val="22"/>
          <w:highlight w:val="yellow"/>
          <w:lang w:val="en-US"/>
        </w:rPr>
        <w:t>level.</w:t>
      </w:r>
      <w:r w:rsidR="008624A6" w:rsidRPr="008076E8">
        <w:rPr>
          <w:color w:val="000000" w:themeColor="text1"/>
          <w:sz w:val="22"/>
          <w:szCs w:val="22"/>
          <w:lang w:val="en-US"/>
        </w:rPr>
        <w:t xml:space="preserve"> Not only for physical well-being but also for mental well-being and to prevent burnout, studies advised limiting physician working hours, promoting a sense of community and core values, and engaging physicians in establishment of new protocols, and psychological support (Bradley &amp; </w:t>
      </w:r>
      <w:proofErr w:type="spellStart"/>
      <w:r w:rsidR="008624A6" w:rsidRPr="008076E8">
        <w:rPr>
          <w:color w:val="000000" w:themeColor="text1"/>
          <w:sz w:val="22"/>
          <w:szCs w:val="22"/>
          <w:lang w:val="en-US"/>
        </w:rPr>
        <w:t>Chahar</w:t>
      </w:r>
      <w:proofErr w:type="spellEnd"/>
      <w:r w:rsidR="008624A6" w:rsidRPr="008076E8">
        <w:rPr>
          <w:color w:val="000000" w:themeColor="text1"/>
          <w:sz w:val="22"/>
          <w:szCs w:val="22"/>
          <w:lang w:val="en-US"/>
        </w:rPr>
        <w:t>, 2020).</w:t>
      </w:r>
    </w:p>
    <w:p w14:paraId="29AB5E5C" w14:textId="01B99C04" w:rsidR="000E4966" w:rsidRPr="008076E8" w:rsidRDefault="001E0390" w:rsidP="008076E8">
      <w:pPr>
        <w:spacing w:line="480" w:lineRule="auto"/>
        <w:jc w:val="both"/>
        <w:rPr>
          <w:color w:val="000000" w:themeColor="text1"/>
          <w:sz w:val="22"/>
          <w:szCs w:val="22"/>
          <w:lang w:val="en-US"/>
        </w:rPr>
      </w:pPr>
      <w:r w:rsidRPr="008076E8">
        <w:rPr>
          <w:color w:val="000000" w:themeColor="text1"/>
          <w:sz w:val="22"/>
          <w:szCs w:val="22"/>
          <w:lang w:val="en-US"/>
        </w:rPr>
        <w:t xml:space="preserve">The </w:t>
      </w:r>
      <w:r w:rsidR="000E4966" w:rsidRPr="008076E8">
        <w:rPr>
          <w:color w:val="000000" w:themeColor="text1"/>
          <w:sz w:val="22"/>
          <w:szCs w:val="22"/>
          <w:lang w:val="en-US"/>
        </w:rPr>
        <w:t xml:space="preserve">finding </w:t>
      </w:r>
      <w:r w:rsidRPr="008076E8">
        <w:rPr>
          <w:color w:val="000000" w:themeColor="text1"/>
          <w:sz w:val="22"/>
          <w:szCs w:val="22"/>
          <w:lang w:val="en-US"/>
        </w:rPr>
        <w:t xml:space="preserve">that </w:t>
      </w:r>
      <w:r w:rsidR="000E4966" w:rsidRPr="008076E8">
        <w:rPr>
          <w:color w:val="000000" w:themeColor="text1"/>
          <w:sz w:val="22"/>
          <w:szCs w:val="22"/>
          <w:lang w:val="en-US"/>
        </w:rPr>
        <w:t xml:space="preserve">the risks of stress, anxiety, depression and burnout decrease as the age and work experience of the participants increase is </w:t>
      </w:r>
      <w:r w:rsidRPr="008076E8">
        <w:rPr>
          <w:color w:val="000000" w:themeColor="text1"/>
          <w:sz w:val="22"/>
          <w:szCs w:val="22"/>
          <w:lang w:val="en-US"/>
        </w:rPr>
        <w:t xml:space="preserve">compatible with </w:t>
      </w:r>
      <w:r w:rsidR="000E4966" w:rsidRPr="008076E8">
        <w:rPr>
          <w:color w:val="000000" w:themeColor="text1"/>
          <w:sz w:val="22"/>
          <w:szCs w:val="22"/>
          <w:lang w:val="en-US"/>
        </w:rPr>
        <w:t xml:space="preserve">many </w:t>
      </w:r>
      <w:r w:rsidRPr="008076E8">
        <w:rPr>
          <w:color w:val="000000" w:themeColor="text1"/>
          <w:sz w:val="22"/>
          <w:szCs w:val="22"/>
          <w:lang w:val="en-US"/>
        </w:rPr>
        <w:t>reviews</w:t>
      </w:r>
      <w:r w:rsidR="000E4966" w:rsidRPr="008076E8">
        <w:rPr>
          <w:color w:val="000000" w:themeColor="text1"/>
          <w:sz w:val="22"/>
          <w:szCs w:val="22"/>
          <w:lang w:val="en-US"/>
        </w:rPr>
        <w:t xml:space="preserve"> stated that</w:t>
      </w:r>
      <w:r w:rsidRPr="008076E8">
        <w:rPr>
          <w:color w:val="000000" w:themeColor="text1"/>
          <w:sz w:val="22"/>
          <w:szCs w:val="22"/>
          <w:lang w:val="en-US"/>
        </w:rPr>
        <w:t xml:space="preserve"> the increased age and professional experience are associated with a decrease in burnout scores (Chuang et al., 2016; </w:t>
      </w:r>
      <w:proofErr w:type="spellStart"/>
      <w:r w:rsidRPr="008076E8">
        <w:rPr>
          <w:color w:val="000000" w:themeColor="text1"/>
          <w:sz w:val="22"/>
          <w:szCs w:val="22"/>
          <w:lang w:val="en-US"/>
        </w:rPr>
        <w:t>Simionato</w:t>
      </w:r>
      <w:proofErr w:type="spellEnd"/>
      <w:r w:rsidRPr="008076E8">
        <w:rPr>
          <w:color w:val="000000" w:themeColor="text1"/>
          <w:sz w:val="22"/>
          <w:szCs w:val="22"/>
          <w:lang w:val="en-US"/>
        </w:rPr>
        <w:t>, 2018). It was reported that professional skills and problem-solving ability that increase with experience and age have been reported as the most important potential factors reducing burnout.</w:t>
      </w:r>
    </w:p>
    <w:p w14:paraId="47592B1F" w14:textId="1BBCFCCD" w:rsidR="000818D9" w:rsidRPr="008076E8" w:rsidRDefault="00A64E47"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Study revealed psychological parameters have more strong relationship with MBI-total scores than the environmental parameters for burnout (table 3).</w:t>
      </w:r>
      <w:r w:rsidR="00FB1AC2" w:rsidRPr="008076E8">
        <w:rPr>
          <w:color w:val="000000" w:themeColor="text1"/>
          <w:sz w:val="22"/>
          <w:szCs w:val="22"/>
          <w:lang w:val="en-US"/>
        </w:rPr>
        <w:t xml:space="preserve"> </w:t>
      </w:r>
      <w:r w:rsidR="00127301" w:rsidRPr="008076E8">
        <w:rPr>
          <w:color w:val="000000" w:themeColor="text1"/>
          <w:sz w:val="22"/>
          <w:szCs w:val="22"/>
          <w:highlight w:val="yellow"/>
          <w:lang w:val="en-US"/>
        </w:rPr>
        <w:t xml:space="preserve">Environmental and psychological </w:t>
      </w:r>
      <w:r w:rsidR="00B66E84" w:rsidRPr="008076E8">
        <w:rPr>
          <w:color w:val="000000" w:themeColor="text1"/>
          <w:sz w:val="22"/>
          <w:szCs w:val="22"/>
          <w:highlight w:val="yellow"/>
          <w:lang w:val="en-US"/>
        </w:rPr>
        <w:t>variables explain</w:t>
      </w:r>
      <w:r w:rsidR="00FB1AC2" w:rsidRPr="008076E8">
        <w:rPr>
          <w:color w:val="000000" w:themeColor="text1"/>
          <w:sz w:val="22"/>
          <w:szCs w:val="22"/>
          <w:highlight w:val="yellow"/>
          <w:lang w:val="en-US"/>
        </w:rPr>
        <w:t>ed</w:t>
      </w:r>
      <w:r w:rsidR="00B66E84" w:rsidRPr="008076E8">
        <w:rPr>
          <w:color w:val="000000" w:themeColor="text1"/>
          <w:sz w:val="22"/>
          <w:szCs w:val="22"/>
          <w:highlight w:val="yellow"/>
          <w:lang w:val="en-US"/>
        </w:rPr>
        <w:t xml:space="preserve"> 3</w:t>
      </w:r>
      <w:r w:rsidR="00127301" w:rsidRPr="008076E8">
        <w:rPr>
          <w:color w:val="000000" w:themeColor="text1"/>
          <w:sz w:val="22"/>
          <w:szCs w:val="22"/>
          <w:highlight w:val="yellow"/>
          <w:lang w:val="en-US"/>
        </w:rPr>
        <w:t>7.5</w:t>
      </w:r>
      <w:r w:rsidR="00B66E84" w:rsidRPr="008076E8">
        <w:rPr>
          <w:color w:val="000000" w:themeColor="text1"/>
          <w:sz w:val="22"/>
          <w:szCs w:val="22"/>
          <w:highlight w:val="yellow"/>
          <w:lang w:val="en-US"/>
        </w:rPr>
        <w:t>% of the total variance in the multiple regression analysis.</w:t>
      </w:r>
      <w:r w:rsidR="00B66E84" w:rsidRPr="008076E8">
        <w:rPr>
          <w:color w:val="000000" w:themeColor="text1"/>
          <w:sz w:val="22"/>
          <w:szCs w:val="22"/>
          <w:lang w:val="en-US"/>
        </w:rPr>
        <w:t xml:space="preserve"> </w:t>
      </w:r>
      <w:r w:rsidR="00FB1AC2" w:rsidRPr="008076E8">
        <w:rPr>
          <w:color w:val="000000" w:themeColor="text1"/>
          <w:sz w:val="22"/>
          <w:szCs w:val="22"/>
          <w:lang w:val="en-US"/>
        </w:rPr>
        <w:t xml:space="preserve">The “working hours” was the </w:t>
      </w:r>
      <w:r w:rsidR="00B66E84" w:rsidRPr="008076E8">
        <w:rPr>
          <w:color w:val="000000" w:themeColor="text1"/>
          <w:sz w:val="22"/>
          <w:szCs w:val="22"/>
          <w:lang w:val="en-US"/>
        </w:rPr>
        <w:t>most predictive variable</w:t>
      </w:r>
      <w:r w:rsidR="00FB1AC2" w:rsidRPr="008076E8">
        <w:rPr>
          <w:color w:val="000000" w:themeColor="text1"/>
          <w:sz w:val="22"/>
          <w:szCs w:val="22"/>
          <w:lang w:val="en-US"/>
        </w:rPr>
        <w:t xml:space="preserve"> </w:t>
      </w:r>
      <w:r w:rsidR="00B66E84" w:rsidRPr="008076E8">
        <w:rPr>
          <w:color w:val="000000" w:themeColor="text1"/>
          <w:sz w:val="22"/>
          <w:szCs w:val="22"/>
          <w:lang w:val="en-US"/>
        </w:rPr>
        <w:t>in the environmental variables</w:t>
      </w:r>
      <w:r w:rsidR="00FB1AC2" w:rsidRPr="008076E8">
        <w:rPr>
          <w:color w:val="000000" w:themeColor="text1"/>
          <w:sz w:val="22"/>
          <w:szCs w:val="22"/>
          <w:lang w:val="en-US"/>
        </w:rPr>
        <w:t>,</w:t>
      </w:r>
      <w:r w:rsidR="00B66E84" w:rsidRPr="008076E8">
        <w:rPr>
          <w:color w:val="000000" w:themeColor="text1"/>
          <w:sz w:val="22"/>
          <w:szCs w:val="22"/>
          <w:lang w:val="en-US"/>
        </w:rPr>
        <w:t xml:space="preserve"> </w:t>
      </w:r>
      <w:r w:rsidR="00FB1AC2" w:rsidRPr="008076E8">
        <w:rPr>
          <w:color w:val="000000" w:themeColor="text1"/>
          <w:sz w:val="22"/>
          <w:szCs w:val="22"/>
          <w:lang w:val="en-US"/>
        </w:rPr>
        <w:t xml:space="preserve">whereas </w:t>
      </w:r>
      <w:r w:rsidR="00B66E84" w:rsidRPr="008076E8">
        <w:rPr>
          <w:color w:val="000000" w:themeColor="text1"/>
          <w:sz w:val="22"/>
          <w:szCs w:val="22"/>
          <w:lang w:val="en-US"/>
        </w:rPr>
        <w:t xml:space="preserve">“psychological inflexibility” or “experiential avoidance” </w:t>
      </w:r>
      <w:r w:rsidR="00FB1AC2" w:rsidRPr="008076E8">
        <w:rPr>
          <w:color w:val="000000" w:themeColor="text1"/>
          <w:sz w:val="22"/>
          <w:szCs w:val="22"/>
          <w:lang w:val="en-US"/>
        </w:rPr>
        <w:t xml:space="preserve">was the most predictive variable </w:t>
      </w:r>
      <w:r w:rsidR="00B66E84" w:rsidRPr="008076E8">
        <w:rPr>
          <w:color w:val="000000" w:themeColor="text1"/>
          <w:sz w:val="22"/>
          <w:szCs w:val="22"/>
          <w:lang w:val="en-US"/>
        </w:rPr>
        <w:t>in the psychological variable</w:t>
      </w:r>
      <w:r w:rsidR="00FB1AC2" w:rsidRPr="008076E8">
        <w:rPr>
          <w:color w:val="000000" w:themeColor="text1"/>
          <w:sz w:val="22"/>
          <w:szCs w:val="22"/>
          <w:lang w:val="en-US"/>
        </w:rPr>
        <w:t>s</w:t>
      </w:r>
      <w:r w:rsidR="00B66E84" w:rsidRPr="008076E8">
        <w:rPr>
          <w:color w:val="000000" w:themeColor="text1"/>
          <w:sz w:val="22"/>
          <w:szCs w:val="22"/>
          <w:lang w:val="en-US"/>
        </w:rPr>
        <w:t xml:space="preserve"> (</w:t>
      </w:r>
      <w:r w:rsidR="00B66E84" w:rsidRPr="008076E8">
        <w:rPr>
          <w:color w:val="000000" w:themeColor="text1"/>
          <w:sz w:val="22"/>
          <w:szCs w:val="22"/>
          <w:highlight w:val="yellow"/>
          <w:lang w:val="en-US"/>
        </w:rPr>
        <w:t>Table 4).</w:t>
      </w:r>
      <w:r w:rsidR="00B66E84" w:rsidRPr="008076E8">
        <w:rPr>
          <w:color w:val="000000" w:themeColor="text1"/>
          <w:sz w:val="22"/>
          <w:szCs w:val="22"/>
          <w:lang w:val="en-US"/>
        </w:rPr>
        <w:t xml:space="preserve"> AAQ-II is </w:t>
      </w:r>
      <w:r w:rsidR="00A1231D" w:rsidRPr="008076E8">
        <w:rPr>
          <w:color w:val="000000" w:themeColor="text1"/>
          <w:sz w:val="22"/>
          <w:szCs w:val="22"/>
          <w:lang w:val="en-US"/>
        </w:rPr>
        <w:t xml:space="preserve">the </w:t>
      </w:r>
      <w:r w:rsidR="00B66E84" w:rsidRPr="008076E8">
        <w:rPr>
          <w:color w:val="000000" w:themeColor="text1"/>
          <w:sz w:val="22"/>
          <w:szCs w:val="22"/>
          <w:lang w:val="en-US"/>
        </w:rPr>
        <w:t>most used measure to assess the psychological inflexibility (PI) and efficacy of acceptance and commitment therapy interventions</w:t>
      </w:r>
      <w:r w:rsidR="00DB69FB" w:rsidRPr="008076E8">
        <w:rPr>
          <w:color w:val="000000" w:themeColor="text1"/>
          <w:sz w:val="22"/>
          <w:szCs w:val="22"/>
          <w:lang w:val="en-US"/>
        </w:rPr>
        <w:t xml:space="preserve"> (Bond et al., 2011)</w:t>
      </w:r>
      <w:r w:rsidR="00B66E84" w:rsidRPr="008076E8">
        <w:rPr>
          <w:color w:val="000000" w:themeColor="text1"/>
          <w:sz w:val="22"/>
          <w:szCs w:val="22"/>
          <w:lang w:val="en-US"/>
        </w:rPr>
        <w:t>. A great deal of research showed that PI and experiential avoidance functioned as a mediator in treatment response in depression, anxiety disorders, chronic pain, nicotine dependence, and psychosis</w:t>
      </w:r>
      <w:r w:rsidR="00EB60D4" w:rsidRPr="008076E8">
        <w:rPr>
          <w:color w:val="000000" w:themeColor="text1"/>
          <w:sz w:val="22"/>
          <w:szCs w:val="22"/>
          <w:lang w:val="en-US"/>
        </w:rPr>
        <w:t xml:space="preserve"> (Bach et al., 2002; </w:t>
      </w:r>
      <w:proofErr w:type="spellStart"/>
      <w:r w:rsidR="00EB60D4" w:rsidRPr="008076E8">
        <w:rPr>
          <w:color w:val="000000" w:themeColor="text1"/>
          <w:sz w:val="22"/>
          <w:szCs w:val="22"/>
          <w:lang w:val="en-US"/>
        </w:rPr>
        <w:t>Kashdan</w:t>
      </w:r>
      <w:proofErr w:type="spellEnd"/>
      <w:r w:rsidR="00EB60D4" w:rsidRPr="008076E8">
        <w:rPr>
          <w:color w:val="000000" w:themeColor="text1"/>
          <w:sz w:val="22"/>
          <w:szCs w:val="22"/>
          <w:lang w:val="en-US"/>
        </w:rPr>
        <w:t xml:space="preserve"> et al., 2010; McCracken et al., 2005)</w:t>
      </w:r>
      <w:r w:rsidR="00B66E84" w:rsidRPr="008076E8">
        <w:rPr>
          <w:color w:val="000000" w:themeColor="text1"/>
          <w:sz w:val="22"/>
          <w:szCs w:val="22"/>
          <w:lang w:val="en-US"/>
        </w:rPr>
        <w:t>. Also, it was shown that PI have a moderating role in the developmental of burnout syndromes, in the recent studies</w:t>
      </w:r>
      <w:r w:rsidR="00EB60D4" w:rsidRPr="008076E8">
        <w:rPr>
          <w:color w:val="000000" w:themeColor="text1"/>
          <w:sz w:val="22"/>
          <w:szCs w:val="22"/>
          <w:vertAlign w:val="superscript"/>
          <w:lang w:val="en-US"/>
        </w:rPr>
        <w:t xml:space="preserve"> </w:t>
      </w:r>
      <w:r w:rsidR="00EB60D4" w:rsidRPr="008076E8">
        <w:rPr>
          <w:color w:val="000000" w:themeColor="text1"/>
          <w:sz w:val="22"/>
          <w:szCs w:val="22"/>
          <w:lang w:val="en-US"/>
        </w:rPr>
        <w:t>(</w:t>
      </w:r>
      <w:proofErr w:type="spellStart"/>
      <w:r w:rsidR="00EB60D4" w:rsidRPr="008076E8">
        <w:rPr>
          <w:color w:val="000000" w:themeColor="text1"/>
          <w:sz w:val="22"/>
          <w:szCs w:val="22"/>
          <w:lang w:val="en-US"/>
        </w:rPr>
        <w:t>Noone</w:t>
      </w:r>
      <w:proofErr w:type="spellEnd"/>
      <w:r w:rsidR="00EB60D4" w:rsidRPr="008076E8">
        <w:rPr>
          <w:color w:val="000000" w:themeColor="text1"/>
          <w:sz w:val="22"/>
          <w:szCs w:val="22"/>
          <w:lang w:val="en-US"/>
        </w:rPr>
        <w:t xml:space="preserve"> et al., 2011; Ruiz et al., 2017; Yao et al. 2013)</w:t>
      </w:r>
      <w:r w:rsidR="00F40716" w:rsidRPr="008076E8">
        <w:rPr>
          <w:color w:val="000000" w:themeColor="text1"/>
          <w:sz w:val="22"/>
          <w:szCs w:val="22"/>
          <w:lang w:val="en-US"/>
        </w:rPr>
        <w:t xml:space="preserve">. </w:t>
      </w:r>
      <w:r w:rsidR="00B66E84" w:rsidRPr="008076E8">
        <w:rPr>
          <w:color w:val="000000" w:themeColor="text1"/>
          <w:sz w:val="22"/>
          <w:szCs w:val="22"/>
          <w:lang w:val="en-US"/>
        </w:rPr>
        <w:t xml:space="preserve">AAQ-II has been shown the most </w:t>
      </w:r>
      <w:r w:rsidR="00127301" w:rsidRPr="008076E8">
        <w:rPr>
          <w:color w:val="000000" w:themeColor="text1"/>
          <w:sz w:val="22"/>
          <w:szCs w:val="22"/>
          <w:highlight w:val="yellow"/>
          <w:lang w:val="en-US"/>
        </w:rPr>
        <w:t>significant</w:t>
      </w:r>
      <w:r w:rsidR="00B66E84" w:rsidRPr="008076E8">
        <w:rPr>
          <w:color w:val="000000" w:themeColor="text1"/>
          <w:sz w:val="22"/>
          <w:szCs w:val="22"/>
          <w:lang w:val="en-US"/>
        </w:rPr>
        <w:t xml:space="preserve"> effect on burnout in our regression analysis, consistent with the </w:t>
      </w:r>
      <w:r w:rsidR="00B66E84" w:rsidRPr="008076E8">
        <w:rPr>
          <w:color w:val="000000" w:themeColor="text1"/>
          <w:sz w:val="22"/>
          <w:szCs w:val="22"/>
          <w:lang w:val="en-US"/>
        </w:rPr>
        <w:lastRenderedPageBreak/>
        <w:t xml:space="preserve">literature. </w:t>
      </w:r>
      <w:r w:rsidR="00B66E84" w:rsidRPr="008076E8">
        <w:rPr>
          <w:color w:val="000000" w:themeColor="text1"/>
          <w:sz w:val="22"/>
          <w:szCs w:val="22"/>
          <w:highlight w:val="yellow"/>
          <w:lang w:val="en-US"/>
        </w:rPr>
        <w:t xml:space="preserve">These results </w:t>
      </w:r>
      <w:r w:rsidR="00127301" w:rsidRPr="008076E8">
        <w:rPr>
          <w:color w:val="000000" w:themeColor="text1"/>
          <w:sz w:val="22"/>
          <w:szCs w:val="22"/>
          <w:highlight w:val="yellow"/>
          <w:lang w:val="en-US"/>
        </w:rPr>
        <w:t xml:space="preserve">indicate </w:t>
      </w:r>
      <w:r w:rsidR="00B66E84" w:rsidRPr="008076E8">
        <w:rPr>
          <w:color w:val="000000" w:themeColor="text1"/>
          <w:sz w:val="22"/>
          <w:szCs w:val="22"/>
          <w:highlight w:val="yellow"/>
          <w:lang w:val="en-US"/>
        </w:rPr>
        <w:t xml:space="preserve">that </w:t>
      </w:r>
      <w:r w:rsidR="00127301" w:rsidRPr="008076E8">
        <w:rPr>
          <w:color w:val="000000" w:themeColor="text1"/>
          <w:sz w:val="22"/>
          <w:szCs w:val="22"/>
          <w:highlight w:val="yellow"/>
          <w:lang w:val="en-US"/>
        </w:rPr>
        <w:t xml:space="preserve">it may be beneficial to choose </w:t>
      </w:r>
      <w:r w:rsidR="00B66E84" w:rsidRPr="008076E8">
        <w:rPr>
          <w:color w:val="000000" w:themeColor="text1"/>
          <w:sz w:val="22"/>
          <w:szCs w:val="22"/>
          <w:highlight w:val="yellow"/>
          <w:lang w:val="en-US"/>
        </w:rPr>
        <w:t xml:space="preserve">psychological flexibility </w:t>
      </w:r>
      <w:r w:rsidR="00127301" w:rsidRPr="008076E8">
        <w:rPr>
          <w:color w:val="000000" w:themeColor="text1"/>
          <w:sz w:val="22"/>
          <w:szCs w:val="22"/>
          <w:highlight w:val="yellow"/>
          <w:lang w:val="en-US"/>
        </w:rPr>
        <w:t>interventions in planned psychotherapies for burnout in the future studies.</w:t>
      </w:r>
    </w:p>
    <w:p w14:paraId="3CFF20D5" w14:textId="006E68BC" w:rsidR="00EC0B8A" w:rsidRPr="008076E8" w:rsidRDefault="00EC0B8A"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Although t</w:t>
      </w:r>
      <w:r w:rsidR="009E2862" w:rsidRPr="008076E8">
        <w:rPr>
          <w:color w:val="000000" w:themeColor="text1"/>
          <w:sz w:val="22"/>
          <w:szCs w:val="22"/>
          <w:lang w:val="en-US"/>
        </w:rPr>
        <w:t xml:space="preserve">his </w:t>
      </w:r>
      <w:r w:rsidRPr="008076E8">
        <w:rPr>
          <w:color w:val="000000" w:themeColor="text1"/>
          <w:sz w:val="22"/>
          <w:szCs w:val="22"/>
          <w:lang w:val="en-US"/>
        </w:rPr>
        <w:t>study is</w:t>
      </w:r>
      <w:r w:rsidR="009E2862" w:rsidRPr="008076E8">
        <w:rPr>
          <w:color w:val="000000" w:themeColor="text1"/>
          <w:sz w:val="22"/>
          <w:szCs w:val="22"/>
          <w:lang w:val="en-US"/>
        </w:rPr>
        <w:t xml:space="preserve"> </w:t>
      </w:r>
      <w:r w:rsidR="004661F7" w:rsidRPr="008076E8">
        <w:rPr>
          <w:color w:val="000000" w:themeColor="text1"/>
          <w:sz w:val="22"/>
          <w:szCs w:val="22"/>
          <w:lang w:val="en-US"/>
        </w:rPr>
        <w:t xml:space="preserve">valuable because of being </w:t>
      </w:r>
      <w:r w:rsidR="009E2862" w:rsidRPr="008076E8">
        <w:rPr>
          <w:color w:val="000000" w:themeColor="text1"/>
          <w:sz w:val="22"/>
          <w:szCs w:val="22"/>
          <w:lang w:val="en-US"/>
        </w:rPr>
        <w:t xml:space="preserve">the first </w:t>
      </w:r>
      <w:r w:rsidRPr="008076E8">
        <w:rPr>
          <w:color w:val="000000" w:themeColor="text1"/>
          <w:sz w:val="22"/>
          <w:szCs w:val="22"/>
          <w:lang w:val="en-US"/>
        </w:rPr>
        <w:t>investigation</w:t>
      </w:r>
      <w:r w:rsidR="009E2862" w:rsidRPr="008076E8">
        <w:rPr>
          <w:color w:val="000000" w:themeColor="text1"/>
          <w:sz w:val="22"/>
          <w:szCs w:val="22"/>
          <w:lang w:val="en-US"/>
        </w:rPr>
        <w:t xml:space="preserve"> evaluating </w:t>
      </w:r>
      <w:r w:rsidR="009E2862" w:rsidRPr="008076E8">
        <w:rPr>
          <w:rFonts w:eastAsiaTheme="minorHAnsi"/>
          <w:sz w:val="22"/>
          <w:szCs w:val="22"/>
          <w:lang w:val="en-US" w:eastAsia="en-US"/>
        </w:rPr>
        <w:t>psychological effects of COVID-19 outbreak on HCWs who care pediatric COVID-19</w:t>
      </w:r>
      <w:r w:rsidRPr="008076E8">
        <w:rPr>
          <w:rFonts w:eastAsiaTheme="minorHAnsi"/>
          <w:sz w:val="22"/>
          <w:szCs w:val="22"/>
          <w:lang w:val="en-US" w:eastAsia="en-US"/>
        </w:rPr>
        <w:t xml:space="preserve">, it has some limitations. First of all, the study is cross-sectional, </w:t>
      </w:r>
      <w:r w:rsidR="004661F7" w:rsidRPr="008076E8">
        <w:rPr>
          <w:rFonts w:eastAsiaTheme="minorHAnsi"/>
          <w:sz w:val="22"/>
          <w:szCs w:val="22"/>
          <w:lang w:val="en-US" w:eastAsia="en-US"/>
        </w:rPr>
        <w:t xml:space="preserve">data was collected in </w:t>
      </w:r>
      <w:r w:rsidR="000E7937" w:rsidRPr="008076E8">
        <w:rPr>
          <w:rFonts w:eastAsiaTheme="minorHAnsi"/>
          <w:sz w:val="22"/>
          <w:szCs w:val="22"/>
          <w:lang w:val="en-US" w:eastAsia="en-US"/>
        </w:rPr>
        <w:t xml:space="preserve">as short as </w:t>
      </w:r>
      <w:r w:rsidR="004661F7" w:rsidRPr="008076E8">
        <w:rPr>
          <w:rFonts w:eastAsiaTheme="minorHAnsi"/>
          <w:sz w:val="22"/>
          <w:szCs w:val="22"/>
          <w:lang w:val="en-US" w:eastAsia="en-US"/>
        </w:rPr>
        <w:t xml:space="preserve">5 days, </w:t>
      </w:r>
      <w:r w:rsidRPr="008076E8">
        <w:rPr>
          <w:rFonts w:eastAsiaTheme="minorHAnsi"/>
          <w:sz w:val="22"/>
          <w:szCs w:val="22"/>
          <w:lang w:val="en-US" w:eastAsia="en-US"/>
        </w:rPr>
        <w:t>there is no longitudinal follow-up</w:t>
      </w:r>
      <w:r w:rsidR="000E7937" w:rsidRPr="008076E8">
        <w:rPr>
          <w:rFonts w:eastAsiaTheme="minorHAnsi"/>
          <w:sz w:val="22"/>
          <w:szCs w:val="22"/>
          <w:lang w:val="en-US" w:eastAsia="en-US"/>
        </w:rPr>
        <w:t xml:space="preserve"> of participants</w:t>
      </w:r>
      <w:r w:rsidRPr="008076E8">
        <w:rPr>
          <w:rFonts w:eastAsiaTheme="minorHAnsi"/>
          <w:sz w:val="22"/>
          <w:szCs w:val="22"/>
          <w:lang w:val="en-US" w:eastAsia="en-US"/>
        </w:rPr>
        <w:t>.</w:t>
      </w:r>
      <w:r w:rsidR="00776E90" w:rsidRPr="008076E8">
        <w:rPr>
          <w:rFonts w:eastAsiaTheme="minorHAnsi"/>
          <w:sz w:val="22"/>
          <w:szCs w:val="22"/>
          <w:lang w:val="en-US" w:eastAsia="en-US"/>
        </w:rPr>
        <w:t xml:space="preserve"> Additionally,</w:t>
      </w:r>
      <w:r w:rsidR="004661F7" w:rsidRPr="008076E8">
        <w:rPr>
          <w:rFonts w:eastAsiaTheme="minorHAnsi"/>
          <w:sz w:val="22"/>
          <w:szCs w:val="22"/>
          <w:lang w:val="en-US" w:eastAsia="en-US"/>
        </w:rPr>
        <w:t xml:space="preserve"> not all </w:t>
      </w:r>
      <w:r w:rsidR="00776E90" w:rsidRPr="008076E8">
        <w:rPr>
          <w:rFonts w:eastAsiaTheme="minorHAnsi"/>
          <w:sz w:val="22"/>
          <w:szCs w:val="22"/>
          <w:lang w:val="en-US" w:eastAsia="en-US"/>
        </w:rPr>
        <w:t>of the staff</w:t>
      </w:r>
      <w:r w:rsidR="004661F7" w:rsidRPr="008076E8">
        <w:rPr>
          <w:rFonts w:eastAsiaTheme="minorHAnsi"/>
          <w:sz w:val="22"/>
          <w:szCs w:val="22"/>
          <w:lang w:val="en-US" w:eastAsia="en-US"/>
        </w:rPr>
        <w:t xml:space="preserve"> </w:t>
      </w:r>
      <w:r w:rsidR="00776E90" w:rsidRPr="008076E8">
        <w:rPr>
          <w:rFonts w:eastAsiaTheme="minorHAnsi"/>
          <w:sz w:val="22"/>
          <w:szCs w:val="22"/>
          <w:lang w:val="en-US" w:eastAsia="en-US"/>
        </w:rPr>
        <w:t>cared pediatric cases</w:t>
      </w:r>
      <w:r w:rsidR="004661F7" w:rsidRPr="008076E8">
        <w:rPr>
          <w:rFonts w:eastAsiaTheme="minorHAnsi"/>
          <w:sz w:val="22"/>
          <w:szCs w:val="22"/>
          <w:lang w:val="en-US" w:eastAsia="en-US"/>
        </w:rPr>
        <w:t xml:space="preserve"> </w:t>
      </w:r>
      <w:r w:rsidR="00776E90" w:rsidRPr="008076E8">
        <w:rPr>
          <w:rFonts w:eastAsiaTheme="minorHAnsi"/>
          <w:sz w:val="22"/>
          <w:szCs w:val="22"/>
          <w:lang w:val="en-US" w:eastAsia="en-US"/>
        </w:rPr>
        <w:t>participated</w:t>
      </w:r>
      <w:r w:rsidR="004661F7" w:rsidRPr="008076E8">
        <w:rPr>
          <w:rFonts w:eastAsiaTheme="minorHAnsi"/>
          <w:sz w:val="22"/>
          <w:szCs w:val="22"/>
          <w:lang w:val="en-US" w:eastAsia="en-US"/>
        </w:rPr>
        <w:t xml:space="preserve"> to </w:t>
      </w:r>
      <w:r w:rsidR="00776E90" w:rsidRPr="008076E8">
        <w:rPr>
          <w:rFonts w:eastAsiaTheme="minorHAnsi"/>
          <w:sz w:val="22"/>
          <w:szCs w:val="22"/>
          <w:lang w:val="en-US" w:eastAsia="en-US"/>
        </w:rPr>
        <w:t>study</w:t>
      </w:r>
      <w:r w:rsidR="004661F7" w:rsidRPr="008076E8">
        <w:rPr>
          <w:rFonts w:eastAsiaTheme="minorHAnsi"/>
          <w:sz w:val="22"/>
          <w:szCs w:val="22"/>
          <w:lang w:val="en-US" w:eastAsia="en-US"/>
        </w:rPr>
        <w:t xml:space="preserve">, so </w:t>
      </w:r>
      <w:r w:rsidR="00776E90" w:rsidRPr="008076E8">
        <w:rPr>
          <w:rFonts w:eastAsiaTheme="minorHAnsi"/>
          <w:sz w:val="22"/>
          <w:szCs w:val="22"/>
          <w:lang w:val="en-US" w:eastAsia="en-US"/>
        </w:rPr>
        <w:t xml:space="preserve">participants may not exactly represent entire population. </w:t>
      </w:r>
      <w:r w:rsidR="00776E90" w:rsidRPr="008076E8">
        <w:rPr>
          <w:sz w:val="22"/>
          <w:szCs w:val="22"/>
          <w:lang w:val="en-US"/>
        </w:rPr>
        <w:t>The number of female participants was significantly higher than male participants</w:t>
      </w:r>
      <w:r w:rsidR="000E7937" w:rsidRPr="008076E8">
        <w:rPr>
          <w:sz w:val="22"/>
          <w:szCs w:val="22"/>
          <w:lang w:val="en-US"/>
        </w:rPr>
        <w:t xml:space="preserve">, this may affect analysis </w:t>
      </w:r>
      <w:r w:rsidR="000818D9" w:rsidRPr="008076E8">
        <w:rPr>
          <w:sz w:val="22"/>
          <w:szCs w:val="22"/>
          <w:lang w:val="en-US"/>
        </w:rPr>
        <w:t xml:space="preserve">especially </w:t>
      </w:r>
      <w:r w:rsidR="000E7937" w:rsidRPr="008076E8">
        <w:rPr>
          <w:sz w:val="22"/>
          <w:szCs w:val="22"/>
          <w:lang w:val="en-US"/>
        </w:rPr>
        <w:t>related to gender</w:t>
      </w:r>
      <w:r w:rsidR="00776E90" w:rsidRPr="008076E8">
        <w:rPr>
          <w:sz w:val="22"/>
          <w:szCs w:val="22"/>
          <w:lang w:val="en-US"/>
        </w:rPr>
        <w:t xml:space="preserve">. The number of HCWs who had had COVID-19 was </w:t>
      </w:r>
      <w:r w:rsidR="000E7937" w:rsidRPr="008076E8">
        <w:rPr>
          <w:sz w:val="22"/>
          <w:szCs w:val="22"/>
          <w:lang w:val="en-US"/>
        </w:rPr>
        <w:t xml:space="preserve">too </w:t>
      </w:r>
      <w:r w:rsidR="00776E90" w:rsidRPr="008076E8">
        <w:rPr>
          <w:sz w:val="22"/>
          <w:szCs w:val="22"/>
          <w:lang w:val="en-US"/>
        </w:rPr>
        <w:t>low to show th</w:t>
      </w:r>
      <w:r w:rsidR="000E7937" w:rsidRPr="008076E8">
        <w:rPr>
          <w:sz w:val="22"/>
          <w:szCs w:val="22"/>
          <w:lang w:val="en-US"/>
        </w:rPr>
        <w:t>eir psychological influence.</w:t>
      </w:r>
      <w:r w:rsidR="00776E90" w:rsidRPr="008076E8">
        <w:rPr>
          <w:sz w:val="22"/>
          <w:szCs w:val="22"/>
          <w:lang w:val="en-US"/>
        </w:rPr>
        <w:t xml:space="preserve"> </w:t>
      </w:r>
      <w:r w:rsidR="000818D9" w:rsidRPr="008076E8">
        <w:rPr>
          <w:sz w:val="22"/>
          <w:szCs w:val="22"/>
          <w:lang w:val="en-US"/>
        </w:rPr>
        <w:t xml:space="preserve">And </w:t>
      </w:r>
      <w:r w:rsidR="00BF7F3F" w:rsidRPr="008076E8">
        <w:rPr>
          <w:sz w:val="22"/>
          <w:szCs w:val="22"/>
          <w:lang w:val="en-US"/>
        </w:rPr>
        <w:t xml:space="preserve">finally, </w:t>
      </w:r>
      <w:r w:rsidR="000E7937" w:rsidRPr="008076E8">
        <w:rPr>
          <w:sz w:val="22"/>
          <w:szCs w:val="22"/>
          <w:lang w:val="en-US"/>
        </w:rPr>
        <w:t xml:space="preserve">to minimize face to face interview, </w:t>
      </w:r>
      <w:r w:rsidR="00BF7F3F" w:rsidRPr="008076E8">
        <w:rPr>
          <w:color w:val="000000" w:themeColor="text1"/>
          <w:sz w:val="22"/>
          <w:szCs w:val="22"/>
          <w:lang w:val="en-US"/>
        </w:rPr>
        <w:t>s</w:t>
      </w:r>
      <w:r w:rsidR="00BF7F3F" w:rsidRPr="008076E8">
        <w:rPr>
          <w:sz w:val="22"/>
          <w:szCs w:val="22"/>
          <w:lang w:val="en-US"/>
        </w:rPr>
        <w:t xml:space="preserve">elf-reported </w:t>
      </w:r>
      <w:r w:rsidR="00BF7F3F" w:rsidRPr="008076E8">
        <w:rPr>
          <w:rFonts w:eastAsiaTheme="minorHAnsi"/>
          <w:sz w:val="22"/>
          <w:szCs w:val="22"/>
          <w:lang w:val="en-US" w:eastAsia="en-US"/>
        </w:rPr>
        <w:t xml:space="preserve">questionnaires </w:t>
      </w:r>
      <w:r w:rsidR="00BF7F3F" w:rsidRPr="008076E8">
        <w:rPr>
          <w:color w:val="000000" w:themeColor="text1"/>
          <w:sz w:val="22"/>
          <w:szCs w:val="22"/>
          <w:lang w:val="en-US"/>
        </w:rPr>
        <w:t xml:space="preserve">were used, </w:t>
      </w:r>
      <w:r w:rsidR="000818D9" w:rsidRPr="008076E8">
        <w:rPr>
          <w:color w:val="000000" w:themeColor="text1"/>
          <w:sz w:val="22"/>
          <w:szCs w:val="22"/>
          <w:lang w:val="en-US"/>
        </w:rPr>
        <w:t>diagnostic assessment could not made by mental health professional</w:t>
      </w:r>
      <w:r w:rsidR="008E1CBE" w:rsidRPr="008076E8">
        <w:rPr>
          <w:color w:val="000000" w:themeColor="text1"/>
          <w:sz w:val="22"/>
          <w:szCs w:val="22"/>
          <w:lang w:val="en-US"/>
        </w:rPr>
        <w:t>.</w:t>
      </w:r>
      <w:r w:rsidR="000818D9" w:rsidRPr="008076E8">
        <w:rPr>
          <w:color w:val="000000" w:themeColor="text1"/>
          <w:sz w:val="22"/>
          <w:szCs w:val="22"/>
          <w:lang w:val="en-US"/>
        </w:rPr>
        <w:t xml:space="preserve"> </w:t>
      </w:r>
    </w:p>
    <w:p w14:paraId="0C9010FC" w14:textId="616D84AB" w:rsidR="003C7AAD" w:rsidRPr="008076E8" w:rsidRDefault="003C7AAD" w:rsidP="008076E8">
      <w:pPr>
        <w:spacing w:line="480" w:lineRule="auto"/>
        <w:jc w:val="both"/>
        <w:rPr>
          <w:b/>
          <w:bCs/>
          <w:color w:val="000000" w:themeColor="text1"/>
          <w:sz w:val="22"/>
          <w:szCs w:val="22"/>
          <w:lang w:val="en-US"/>
        </w:rPr>
      </w:pPr>
      <w:r w:rsidRPr="008076E8">
        <w:rPr>
          <w:b/>
          <w:bCs/>
          <w:color w:val="000000" w:themeColor="text1"/>
          <w:sz w:val="22"/>
          <w:szCs w:val="22"/>
          <w:lang w:val="en-US"/>
        </w:rPr>
        <w:t>CONCLUSIONS</w:t>
      </w:r>
    </w:p>
    <w:p w14:paraId="65EAE004" w14:textId="063B9E9F" w:rsidR="00466712" w:rsidRPr="008076E8" w:rsidRDefault="00B66E84" w:rsidP="008076E8">
      <w:pPr>
        <w:spacing w:line="480" w:lineRule="auto"/>
        <w:jc w:val="both"/>
        <w:rPr>
          <w:color w:val="000000" w:themeColor="text1"/>
          <w:sz w:val="22"/>
          <w:szCs w:val="22"/>
          <w:lang w:val="en-US"/>
        </w:rPr>
      </w:pPr>
      <w:r w:rsidRPr="008076E8">
        <w:rPr>
          <w:color w:val="000000" w:themeColor="text1"/>
          <w:sz w:val="22"/>
          <w:szCs w:val="22"/>
          <w:lang w:val="en-US"/>
        </w:rPr>
        <w:t xml:space="preserve">COVID-19 pandemic has major psychological impacts </w:t>
      </w:r>
      <w:r w:rsidR="00A51607" w:rsidRPr="008076E8">
        <w:rPr>
          <w:color w:val="000000" w:themeColor="text1"/>
          <w:sz w:val="22"/>
          <w:szCs w:val="22"/>
          <w:lang w:val="en-US"/>
        </w:rPr>
        <w:t xml:space="preserve">on </w:t>
      </w:r>
      <w:r w:rsidRPr="008076E8">
        <w:rPr>
          <w:color w:val="000000" w:themeColor="text1"/>
          <w:sz w:val="22"/>
          <w:szCs w:val="22"/>
          <w:lang w:val="en-US"/>
        </w:rPr>
        <w:t>HCWs. It is crucial to pr</w:t>
      </w:r>
      <w:r w:rsidR="007E79F1" w:rsidRPr="008076E8">
        <w:rPr>
          <w:color w:val="000000" w:themeColor="text1"/>
          <w:sz w:val="22"/>
          <w:szCs w:val="22"/>
          <w:lang w:val="en-US"/>
        </w:rPr>
        <w:t>event</w:t>
      </w:r>
      <w:r w:rsidRPr="008076E8">
        <w:rPr>
          <w:color w:val="000000" w:themeColor="text1"/>
          <w:sz w:val="22"/>
          <w:szCs w:val="22"/>
          <w:lang w:val="en-US"/>
        </w:rPr>
        <w:t xml:space="preserve"> burnout urgently with concrete actions to avoid subsequent potential short-term and long-term adverse effects</w:t>
      </w:r>
      <w:r w:rsidR="007E79F1" w:rsidRPr="008076E8">
        <w:rPr>
          <w:color w:val="000000" w:themeColor="text1"/>
          <w:sz w:val="22"/>
          <w:szCs w:val="22"/>
          <w:lang w:val="en-US"/>
        </w:rPr>
        <w:t xml:space="preserve"> in HCWs</w:t>
      </w:r>
      <w:r w:rsidRPr="008076E8">
        <w:rPr>
          <w:color w:val="000000" w:themeColor="text1"/>
          <w:sz w:val="22"/>
          <w:szCs w:val="22"/>
          <w:lang w:val="en-US"/>
        </w:rPr>
        <w:t>. Special attention should be paid for HCWs exposed to COV</w:t>
      </w:r>
      <w:r w:rsidR="00F62897" w:rsidRPr="008076E8">
        <w:rPr>
          <w:color w:val="000000" w:themeColor="text1"/>
          <w:sz w:val="22"/>
          <w:szCs w:val="22"/>
          <w:lang w:val="en-US"/>
        </w:rPr>
        <w:t>I</w:t>
      </w:r>
      <w:r w:rsidRPr="008076E8">
        <w:rPr>
          <w:color w:val="000000" w:themeColor="text1"/>
          <w:sz w:val="22"/>
          <w:szCs w:val="22"/>
          <w:lang w:val="en-US"/>
        </w:rPr>
        <w:t xml:space="preserve">D-19, especially clarifying and limiting of working hours need to be implemented. HCWs who </w:t>
      </w:r>
      <w:r w:rsidR="00E649D2" w:rsidRPr="008076E8">
        <w:rPr>
          <w:color w:val="000000" w:themeColor="text1"/>
          <w:sz w:val="22"/>
          <w:szCs w:val="22"/>
          <w:highlight w:val="yellow"/>
          <w:lang w:val="en-US"/>
        </w:rPr>
        <w:t>are</w:t>
      </w:r>
      <w:r w:rsidR="00E649D2" w:rsidRPr="008076E8">
        <w:rPr>
          <w:color w:val="000000" w:themeColor="text1"/>
          <w:sz w:val="22"/>
          <w:szCs w:val="22"/>
          <w:lang w:val="en-US"/>
        </w:rPr>
        <w:t xml:space="preserve"> </w:t>
      </w:r>
      <w:r w:rsidRPr="008076E8">
        <w:rPr>
          <w:color w:val="000000" w:themeColor="text1"/>
          <w:sz w:val="22"/>
          <w:szCs w:val="22"/>
          <w:lang w:val="en-US"/>
        </w:rPr>
        <w:t xml:space="preserve">woman, young, or with less working experiences require particular attention, such as </w:t>
      </w:r>
      <w:r w:rsidR="00BE422F" w:rsidRPr="008076E8">
        <w:rPr>
          <w:color w:val="000000" w:themeColor="text1"/>
          <w:sz w:val="22"/>
          <w:szCs w:val="22"/>
          <w:lang w:val="en-US"/>
        </w:rPr>
        <w:t>h</w:t>
      </w:r>
      <w:r w:rsidRPr="008076E8">
        <w:rPr>
          <w:color w:val="000000" w:themeColor="text1"/>
          <w:sz w:val="22"/>
          <w:szCs w:val="22"/>
          <w:lang w:val="en-US"/>
        </w:rPr>
        <w:t>ealthcare organizations can provide information on managing stress, reducing burnout to support clinicians</w:t>
      </w:r>
      <w:r w:rsidR="00906D84" w:rsidRPr="008076E8">
        <w:rPr>
          <w:color w:val="000000" w:themeColor="text1"/>
          <w:sz w:val="22"/>
          <w:szCs w:val="22"/>
          <w:lang w:val="en-US"/>
        </w:rPr>
        <w:t>.</w:t>
      </w:r>
      <w:r w:rsidR="007E79F1" w:rsidRPr="008076E8">
        <w:rPr>
          <w:color w:val="000000" w:themeColor="text1"/>
          <w:sz w:val="22"/>
          <w:szCs w:val="22"/>
          <w:lang w:val="en-US"/>
        </w:rPr>
        <w:t xml:space="preserve"> </w:t>
      </w:r>
      <w:r w:rsidR="007E79F1" w:rsidRPr="008076E8">
        <w:rPr>
          <w:color w:val="000000" w:themeColor="text1"/>
          <w:sz w:val="22"/>
          <w:szCs w:val="22"/>
          <w:highlight w:val="yellow"/>
          <w:lang w:val="en-US"/>
        </w:rPr>
        <w:t>Psychological factors showed a stronger relationship with burnout scores compared to environmental factors</w:t>
      </w:r>
      <w:r w:rsidR="007E79F1" w:rsidRPr="008076E8">
        <w:rPr>
          <w:color w:val="000000" w:themeColor="text1"/>
          <w:sz w:val="22"/>
          <w:szCs w:val="22"/>
          <w:lang w:val="en-US"/>
        </w:rPr>
        <w:t>.</w:t>
      </w:r>
      <w:r w:rsidRPr="008076E8">
        <w:rPr>
          <w:color w:val="000000" w:themeColor="text1"/>
          <w:sz w:val="22"/>
          <w:szCs w:val="22"/>
          <w:lang w:val="en-US"/>
        </w:rPr>
        <w:t xml:space="preserve"> </w:t>
      </w:r>
      <w:r w:rsidR="00906D84" w:rsidRPr="008076E8">
        <w:rPr>
          <w:color w:val="000000" w:themeColor="text1"/>
          <w:sz w:val="22"/>
          <w:szCs w:val="22"/>
          <w:highlight w:val="yellow"/>
          <w:lang w:val="en-US"/>
        </w:rPr>
        <w:t xml:space="preserve">Psychological inflexibility, stress levels and working hour shows significant </w:t>
      </w:r>
      <w:r w:rsidRPr="008076E8">
        <w:rPr>
          <w:color w:val="000000" w:themeColor="text1"/>
          <w:sz w:val="22"/>
          <w:szCs w:val="22"/>
          <w:highlight w:val="yellow"/>
          <w:lang w:val="en-US"/>
        </w:rPr>
        <w:t>predictive effect on burnout</w:t>
      </w:r>
      <w:r w:rsidR="00906D84" w:rsidRPr="008076E8">
        <w:rPr>
          <w:color w:val="000000" w:themeColor="text1"/>
          <w:sz w:val="22"/>
          <w:szCs w:val="22"/>
          <w:highlight w:val="yellow"/>
          <w:lang w:val="en-US"/>
        </w:rPr>
        <w:t>.</w:t>
      </w:r>
      <w:r w:rsidR="00906D84" w:rsidRPr="008076E8">
        <w:rPr>
          <w:color w:val="000000" w:themeColor="text1"/>
          <w:sz w:val="22"/>
          <w:szCs w:val="22"/>
          <w:lang w:val="en-US"/>
        </w:rPr>
        <w:t xml:space="preserve"> </w:t>
      </w:r>
      <w:r w:rsidRPr="008076E8">
        <w:rPr>
          <w:color w:val="000000" w:themeColor="text1"/>
          <w:sz w:val="22"/>
          <w:szCs w:val="22"/>
          <w:lang w:val="en-US"/>
        </w:rPr>
        <w:t xml:space="preserve">In subsequent studies, the effect of interventions to improve psychological flexibility in reducing burnout </w:t>
      </w:r>
      <w:r w:rsidR="008E1CBE" w:rsidRPr="008076E8">
        <w:rPr>
          <w:color w:val="000000" w:themeColor="text1"/>
          <w:sz w:val="22"/>
          <w:szCs w:val="22"/>
          <w:lang w:val="en-US"/>
        </w:rPr>
        <w:t xml:space="preserve">can </w:t>
      </w:r>
      <w:r w:rsidRPr="008076E8">
        <w:rPr>
          <w:color w:val="000000" w:themeColor="text1"/>
          <w:sz w:val="22"/>
          <w:szCs w:val="22"/>
          <w:lang w:val="en-US"/>
        </w:rPr>
        <w:t xml:space="preserve">be </w:t>
      </w:r>
      <w:r w:rsidR="008E1CBE" w:rsidRPr="008076E8">
        <w:rPr>
          <w:color w:val="000000" w:themeColor="text1"/>
          <w:sz w:val="22"/>
          <w:szCs w:val="22"/>
          <w:lang w:val="en-US"/>
        </w:rPr>
        <w:t xml:space="preserve">investigated. </w:t>
      </w:r>
    </w:p>
    <w:p w14:paraId="3BAC68D6" w14:textId="7645917A" w:rsidR="002E6D87" w:rsidRPr="008076E8" w:rsidRDefault="008A781C" w:rsidP="008076E8">
      <w:pPr>
        <w:spacing w:line="480" w:lineRule="auto"/>
        <w:jc w:val="both"/>
        <w:rPr>
          <w:color w:val="000000" w:themeColor="text1"/>
          <w:sz w:val="22"/>
          <w:szCs w:val="22"/>
          <w:lang w:val="en-US"/>
        </w:rPr>
      </w:pPr>
      <w:r w:rsidRPr="008076E8">
        <w:rPr>
          <w:b/>
          <w:bCs/>
          <w:color w:val="000000" w:themeColor="text1"/>
          <w:sz w:val="22"/>
          <w:szCs w:val="22"/>
          <w:lang w:val="en-US"/>
        </w:rPr>
        <w:t>References</w:t>
      </w:r>
    </w:p>
    <w:p w14:paraId="0A289087" w14:textId="03DC2BCA" w:rsidR="002E6D87" w:rsidRPr="008076E8" w:rsidRDefault="002E6D87" w:rsidP="008076E8">
      <w:pPr>
        <w:pStyle w:val="NormalWeb"/>
        <w:spacing w:line="480" w:lineRule="auto"/>
        <w:jc w:val="both"/>
        <w:rPr>
          <w:color w:val="000000" w:themeColor="text1"/>
          <w:sz w:val="22"/>
          <w:szCs w:val="22"/>
          <w:shd w:val="clear" w:color="auto" w:fill="FFFFFF"/>
          <w:lang w:val="en-US"/>
        </w:rPr>
      </w:pPr>
      <w:r w:rsidRPr="008076E8">
        <w:rPr>
          <w:color w:val="000000" w:themeColor="text1"/>
          <w:sz w:val="22"/>
          <w:szCs w:val="22"/>
          <w:lang w:val="en-US"/>
        </w:rPr>
        <w:t xml:space="preserve">Bach, P., &amp;Hayes, S.C. (2002). The use of acceptance and commitment therapy to prevent the rehospitalization of psychotic patients: a randomized controlled trial. </w:t>
      </w:r>
      <w:r w:rsidRPr="008076E8">
        <w:rPr>
          <w:i/>
          <w:iCs/>
          <w:color w:val="000000" w:themeColor="text1"/>
          <w:sz w:val="22"/>
          <w:szCs w:val="22"/>
          <w:lang w:val="en-US"/>
        </w:rPr>
        <w:t>J Consult Clin Psychol</w:t>
      </w:r>
      <w:r w:rsidRPr="008076E8">
        <w:rPr>
          <w:color w:val="000000" w:themeColor="text1"/>
          <w:sz w:val="22"/>
          <w:szCs w:val="22"/>
          <w:lang w:val="en-US"/>
        </w:rPr>
        <w:t xml:space="preserve">, 70(5), 1129-39.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10.1037//0022-006x.70.5.1129.</w:t>
      </w:r>
    </w:p>
    <w:p w14:paraId="328A1816" w14:textId="3EAB247D" w:rsidR="002F07AD" w:rsidRPr="008076E8" w:rsidRDefault="005943D8" w:rsidP="008076E8">
      <w:pPr>
        <w:autoSpaceDE w:val="0"/>
        <w:autoSpaceDN w:val="0"/>
        <w:adjustRightInd w:val="0"/>
        <w:spacing w:line="480" w:lineRule="auto"/>
        <w:jc w:val="both"/>
        <w:rPr>
          <w:rFonts w:eastAsiaTheme="minorHAnsi"/>
          <w:sz w:val="22"/>
          <w:szCs w:val="22"/>
          <w:lang w:eastAsia="en-US"/>
        </w:rPr>
      </w:pPr>
      <w:proofErr w:type="spellStart"/>
      <w:r w:rsidRPr="008076E8">
        <w:rPr>
          <w:rFonts w:eastAsiaTheme="minorHAnsi"/>
          <w:sz w:val="22"/>
          <w:szCs w:val="22"/>
          <w:highlight w:val="yellow"/>
          <w:lang w:eastAsia="en-US"/>
        </w:rPr>
        <w:lastRenderedPageBreak/>
        <w:t>Bai</w:t>
      </w:r>
      <w:proofErr w:type="spellEnd"/>
      <w:r w:rsidRPr="008076E8">
        <w:rPr>
          <w:rFonts w:eastAsiaTheme="minorHAnsi"/>
          <w:sz w:val="22"/>
          <w:szCs w:val="22"/>
          <w:highlight w:val="yellow"/>
          <w:lang w:eastAsia="en-US"/>
        </w:rPr>
        <w:t>, Y., Lin, C.</w:t>
      </w:r>
      <w:proofErr w:type="gramStart"/>
      <w:r w:rsidRPr="008076E8">
        <w:rPr>
          <w:rFonts w:eastAsiaTheme="minorHAnsi"/>
          <w:sz w:val="22"/>
          <w:szCs w:val="22"/>
          <w:highlight w:val="yellow"/>
          <w:lang w:eastAsia="en-US"/>
        </w:rPr>
        <w:t>-.C.</w:t>
      </w:r>
      <w:proofErr w:type="gramEnd"/>
      <w:r w:rsidRPr="008076E8">
        <w:rPr>
          <w:rFonts w:eastAsiaTheme="minorHAnsi"/>
          <w:sz w:val="22"/>
          <w:szCs w:val="22"/>
          <w:highlight w:val="yellow"/>
          <w:lang w:eastAsia="en-US"/>
        </w:rPr>
        <w:t xml:space="preserve">, Lin, C.-.Y., </w:t>
      </w:r>
      <w:proofErr w:type="spellStart"/>
      <w:r w:rsidRPr="008076E8">
        <w:rPr>
          <w:rFonts w:eastAsiaTheme="minorHAnsi"/>
          <w:sz w:val="22"/>
          <w:szCs w:val="22"/>
          <w:highlight w:val="yellow"/>
          <w:lang w:eastAsia="en-US"/>
        </w:rPr>
        <w:t>Chen</w:t>
      </w:r>
      <w:proofErr w:type="spellEnd"/>
      <w:r w:rsidRPr="008076E8">
        <w:rPr>
          <w:rFonts w:eastAsiaTheme="minorHAnsi"/>
          <w:sz w:val="22"/>
          <w:szCs w:val="22"/>
          <w:highlight w:val="yellow"/>
          <w:lang w:eastAsia="en-US"/>
        </w:rPr>
        <w:t xml:space="preserve">, J.-.Y., </w:t>
      </w:r>
      <w:proofErr w:type="spellStart"/>
      <w:r w:rsidRPr="008076E8">
        <w:rPr>
          <w:rFonts w:eastAsiaTheme="minorHAnsi"/>
          <w:sz w:val="22"/>
          <w:szCs w:val="22"/>
          <w:highlight w:val="yellow"/>
          <w:lang w:eastAsia="en-US"/>
        </w:rPr>
        <w:t>Chue</w:t>
      </w:r>
      <w:proofErr w:type="spellEnd"/>
      <w:r w:rsidRPr="008076E8">
        <w:rPr>
          <w:rFonts w:eastAsiaTheme="minorHAnsi"/>
          <w:sz w:val="22"/>
          <w:szCs w:val="22"/>
          <w:highlight w:val="yellow"/>
          <w:lang w:eastAsia="en-US"/>
        </w:rPr>
        <w:t xml:space="preserve">, C.-.M., </w:t>
      </w:r>
      <w:proofErr w:type="spellStart"/>
      <w:r w:rsidRPr="008076E8">
        <w:rPr>
          <w:rFonts w:eastAsiaTheme="minorHAnsi"/>
          <w:sz w:val="22"/>
          <w:szCs w:val="22"/>
          <w:highlight w:val="yellow"/>
          <w:lang w:eastAsia="en-US"/>
        </w:rPr>
        <w:t>Chou</w:t>
      </w:r>
      <w:proofErr w:type="spellEnd"/>
      <w:r w:rsidRPr="008076E8">
        <w:rPr>
          <w:rFonts w:eastAsiaTheme="minorHAnsi"/>
          <w:sz w:val="22"/>
          <w:szCs w:val="22"/>
          <w:highlight w:val="yellow"/>
          <w:lang w:eastAsia="en-US"/>
        </w:rPr>
        <w:t>, P</w:t>
      </w:r>
      <w:r w:rsidR="002F07AD" w:rsidRPr="008076E8">
        <w:rPr>
          <w:rFonts w:eastAsiaTheme="minorHAnsi"/>
          <w:sz w:val="22"/>
          <w:szCs w:val="22"/>
          <w:highlight w:val="yellow"/>
          <w:lang w:eastAsia="en-US"/>
        </w:rPr>
        <w:t>.</w:t>
      </w:r>
      <w:r w:rsidRPr="008076E8">
        <w:rPr>
          <w:rFonts w:eastAsiaTheme="minorHAnsi"/>
          <w:sz w:val="22"/>
          <w:szCs w:val="22"/>
          <w:highlight w:val="yellow"/>
          <w:lang w:eastAsia="en-US"/>
        </w:rPr>
        <w:t xml:space="preserve"> </w:t>
      </w:r>
      <w:r w:rsidR="002F07AD" w:rsidRPr="008076E8">
        <w:rPr>
          <w:rFonts w:eastAsiaTheme="minorHAnsi"/>
          <w:sz w:val="22"/>
          <w:szCs w:val="22"/>
          <w:highlight w:val="yellow"/>
          <w:lang w:eastAsia="en-US"/>
        </w:rPr>
        <w:t>(</w:t>
      </w:r>
      <w:r w:rsidRPr="008076E8">
        <w:rPr>
          <w:rFonts w:eastAsiaTheme="minorHAnsi"/>
          <w:sz w:val="22"/>
          <w:szCs w:val="22"/>
          <w:highlight w:val="yellow"/>
          <w:lang w:eastAsia="en-US"/>
        </w:rPr>
        <w:t>2004</w:t>
      </w:r>
      <w:r w:rsidR="002F07AD" w:rsidRPr="008076E8">
        <w:rPr>
          <w:rFonts w:eastAsiaTheme="minorHAnsi"/>
          <w:sz w:val="22"/>
          <w:szCs w:val="22"/>
          <w:highlight w:val="yellow"/>
          <w:lang w:eastAsia="en-US"/>
        </w:rPr>
        <w:t>).</w:t>
      </w:r>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Survey</w:t>
      </w:r>
      <w:proofErr w:type="spellEnd"/>
      <w:r w:rsidRPr="008076E8">
        <w:rPr>
          <w:rFonts w:eastAsiaTheme="minorHAnsi"/>
          <w:sz w:val="22"/>
          <w:szCs w:val="22"/>
          <w:highlight w:val="yellow"/>
          <w:lang w:eastAsia="en-US"/>
        </w:rPr>
        <w:t xml:space="preserve"> of </w:t>
      </w:r>
      <w:proofErr w:type="spellStart"/>
      <w:r w:rsidRPr="008076E8">
        <w:rPr>
          <w:rFonts w:eastAsiaTheme="minorHAnsi"/>
          <w:sz w:val="22"/>
          <w:szCs w:val="22"/>
          <w:highlight w:val="yellow"/>
          <w:lang w:eastAsia="en-US"/>
        </w:rPr>
        <w:t>stress</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reactions</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among</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health</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care</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workers</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involved</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with</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the</w:t>
      </w:r>
      <w:proofErr w:type="spellEnd"/>
      <w:r w:rsidRPr="008076E8">
        <w:rPr>
          <w:rFonts w:eastAsiaTheme="minorHAnsi"/>
          <w:sz w:val="22"/>
          <w:szCs w:val="22"/>
          <w:highlight w:val="yellow"/>
          <w:lang w:eastAsia="en-US"/>
        </w:rPr>
        <w:t xml:space="preserve"> SARS </w:t>
      </w:r>
      <w:proofErr w:type="spellStart"/>
      <w:r w:rsidRPr="008076E8">
        <w:rPr>
          <w:rFonts w:eastAsiaTheme="minorHAnsi"/>
          <w:sz w:val="22"/>
          <w:szCs w:val="22"/>
          <w:highlight w:val="yellow"/>
          <w:lang w:eastAsia="en-US"/>
        </w:rPr>
        <w:t>outbreak</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Psychiatr.Serv</w:t>
      </w:r>
      <w:proofErr w:type="spellEnd"/>
      <w:r w:rsidRPr="008076E8">
        <w:rPr>
          <w:rFonts w:eastAsiaTheme="minorHAnsi"/>
          <w:sz w:val="22"/>
          <w:szCs w:val="22"/>
          <w:highlight w:val="yellow"/>
          <w:lang w:eastAsia="en-US"/>
        </w:rPr>
        <w:t>. 55 (9), 1055–1057.</w:t>
      </w:r>
      <w:r w:rsidR="002F07AD" w:rsidRPr="008076E8">
        <w:rPr>
          <w:rFonts w:eastAsiaTheme="minorHAnsi"/>
          <w:sz w:val="22"/>
          <w:szCs w:val="22"/>
          <w:highlight w:val="yellow"/>
          <w:lang w:eastAsia="en-US"/>
        </w:rPr>
        <w:t xml:space="preserve"> </w:t>
      </w:r>
      <w:proofErr w:type="spellStart"/>
      <w:proofErr w:type="gramStart"/>
      <w:r w:rsidR="002F07AD" w:rsidRPr="008076E8">
        <w:rPr>
          <w:color w:val="000000" w:themeColor="text1"/>
          <w:sz w:val="22"/>
          <w:szCs w:val="22"/>
          <w:highlight w:val="yellow"/>
          <w:shd w:val="clear" w:color="auto" w:fill="FFFFFF"/>
        </w:rPr>
        <w:t>doi</w:t>
      </w:r>
      <w:proofErr w:type="spellEnd"/>
      <w:proofErr w:type="gramEnd"/>
      <w:r w:rsidR="002F07AD" w:rsidRPr="008076E8">
        <w:rPr>
          <w:color w:val="000000" w:themeColor="text1"/>
          <w:sz w:val="22"/>
          <w:szCs w:val="22"/>
          <w:highlight w:val="yellow"/>
          <w:shd w:val="clear" w:color="auto" w:fill="FFFFFF"/>
        </w:rPr>
        <w:t>: 10.1176/appi.ps.55.9.1055.</w:t>
      </w:r>
    </w:p>
    <w:p w14:paraId="513D5140" w14:textId="77777777" w:rsidR="002E6D87" w:rsidRPr="008076E8" w:rsidRDefault="002E6D87"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 xml:space="preserve">Bond, F.W., Hayes, S.C., Baer, R.A., Carpenter, K.M., </w:t>
      </w:r>
      <w:proofErr w:type="spellStart"/>
      <w:r w:rsidRPr="008076E8">
        <w:rPr>
          <w:color w:val="000000" w:themeColor="text1"/>
          <w:sz w:val="22"/>
          <w:szCs w:val="22"/>
          <w:lang w:val="en-US"/>
        </w:rPr>
        <w:t>Guenole</w:t>
      </w:r>
      <w:proofErr w:type="spellEnd"/>
      <w:r w:rsidRPr="008076E8">
        <w:rPr>
          <w:color w:val="000000" w:themeColor="text1"/>
          <w:sz w:val="22"/>
          <w:szCs w:val="22"/>
          <w:lang w:val="en-US"/>
        </w:rPr>
        <w:t>, N., Orcutt, H.K…</w:t>
      </w:r>
      <w:proofErr w:type="spellStart"/>
      <w:r w:rsidRPr="008076E8">
        <w:rPr>
          <w:color w:val="000000" w:themeColor="text1"/>
          <w:sz w:val="22"/>
          <w:szCs w:val="22"/>
          <w:lang w:val="en-US"/>
        </w:rPr>
        <w:t>Zettle</w:t>
      </w:r>
      <w:proofErr w:type="spellEnd"/>
      <w:r w:rsidRPr="008076E8">
        <w:rPr>
          <w:color w:val="000000" w:themeColor="text1"/>
          <w:sz w:val="22"/>
          <w:szCs w:val="22"/>
          <w:lang w:val="en-US"/>
        </w:rPr>
        <w:t xml:space="preserve"> RD. (2011). Preliminary psychometric properties of the acceptance and action questionnaire–II: a revised measure of psychological inflexibility and experiential avoidance. </w:t>
      </w:r>
      <w:proofErr w:type="spellStart"/>
      <w:r w:rsidRPr="008076E8">
        <w:rPr>
          <w:i/>
          <w:iCs/>
          <w:color w:val="000000" w:themeColor="text1"/>
          <w:sz w:val="22"/>
          <w:szCs w:val="22"/>
          <w:lang w:val="en-US"/>
        </w:rPr>
        <w:t>Behav</w:t>
      </w:r>
      <w:proofErr w:type="spellEnd"/>
      <w:r w:rsidRPr="008076E8">
        <w:rPr>
          <w:i/>
          <w:iCs/>
          <w:color w:val="000000" w:themeColor="text1"/>
          <w:sz w:val="22"/>
          <w:szCs w:val="22"/>
          <w:lang w:val="en-US"/>
        </w:rPr>
        <w:t xml:space="preserve"> </w:t>
      </w:r>
      <w:proofErr w:type="spellStart"/>
      <w:r w:rsidRPr="008076E8">
        <w:rPr>
          <w:i/>
          <w:iCs/>
          <w:color w:val="000000" w:themeColor="text1"/>
          <w:sz w:val="22"/>
          <w:szCs w:val="22"/>
          <w:lang w:val="en-US"/>
        </w:rPr>
        <w:t>Ther</w:t>
      </w:r>
      <w:proofErr w:type="spellEnd"/>
      <w:r w:rsidRPr="008076E8">
        <w:rPr>
          <w:i/>
          <w:iCs/>
          <w:color w:val="000000" w:themeColor="text1"/>
          <w:sz w:val="22"/>
          <w:szCs w:val="22"/>
          <w:lang w:val="en-US"/>
        </w:rPr>
        <w:t>.</w:t>
      </w:r>
      <w:r w:rsidRPr="008076E8">
        <w:rPr>
          <w:color w:val="000000" w:themeColor="text1"/>
          <w:sz w:val="22"/>
          <w:szCs w:val="22"/>
          <w:lang w:val="en-US"/>
        </w:rPr>
        <w:t xml:space="preserve"> </w:t>
      </w:r>
      <w:r w:rsidRPr="008076E8">
        <w:rPr>
          <w:i/>
          <w:iCs/>
          <w:color w:val="000000" w:themeColor="text1"/>
          <w:sz w:val="22"/>
          <w:szCs w:val="22"/>
          <w:lang w:val="en-US"/>
        </w:rPr>
        <w:t>42</w:t>
      </w:r>
      <w:r w:rsidRPr="008076E8">
        <w:rPr>
          <w:color w:val="000000" w:themeColor="text1"/>
          <w:sz w:val="22"/>
          <w:szCs w:val="22"/>
          <w:lang w:val="en-US"/>
        </w:rPr>
        <w:t xml:space="preserve">(4), 676-88. </w:t>
      </w:r>
      <w:proofErr w:type="spellStart"/>
      <w:r w:rsidRPr="008076E8">
        <w:rPr>
          <w:rStyle w:val="id-label"/>
          <w:color w:val="000000" w:themeColor="text1"/>
          <w:sz w:val="22"/>
          <w:szCs w:val="22"/>
          <w:lang w:val="en-US"/>
        </w:rPr>
        <w:t>doi</w:t>
      </w:r>
      <w:proofErr w:type="spellEnd"/>
      <w:r w:rsidRPr="008076E8">
        <w:rPr>
          <w:rStyle w:val="id-label"/>
          <w:color w:val="000000" w:themeColor="text1"/>
          <w:sz w:val="22"/>
          <w:szCs w:val="22"/>
          <w:lang w:val="en-US"/>
        </w:rPr>
        <w:t>:</w:t>
      </w:r>
      <w:r w:rsidRPr="008076E8">
        <w:rPr>
          <w:rStyle w:val="apple-converted-space"/>
          <w:color w:val="000000" w:themeColor="text1"/>
          <w:sz w:val="22"/>
          <w:szCs w:val="22"/>
          <w:lang w:val="en-US"/>
        </w:rPr>
        <w:t> </w:t>
      </w:r>
      <w:hyperlink r:id="rId6" w:tgtFrame="_blank" w:history="1">
        <w:r w:rsidRPr="008076E8">
          <w:rPr>
            <w:rStyle w:val="Kpr"/>
            <w:color w:val="000000" w:themeColor="text1"/>
            <w:sz w:val="22"/>
            <w:szCs w:val="22"/>
            <w:u w:val="none"/>
            <w:lang w:val="en-US"/>
          </w:rPr>
          <w:t>10.1016/j.beth.2011.03.007</w:t>
        </w:r>
      </w:hyperlink>
      <w:r w:rsidRPr="008076E8">
        <w:rPr>
          <w:color w:val="000000" w:themeColor="text1"/>
          <w:sz w:val="22"/>
          <w:szCs w:val="22"/>
          <w:lang w:val="en-US"/>
        </w:rPr>
        <w:t xml:space="preserve"> </w:t>
      </w:r>
    </w:p>
    <w:p w14:paraId="3862E5A8" w14:textId="77777777" w:rsidR="002E6D87" w:rsidRPr="008076E8" w:rsidRDefault="002E6D87" w:rsidP="008076E8">
      <w:pPr>
        <w:spacing w:line="480" w:lineRule="auto"/>
        <w:jc w:val="both"/>
        <w:rPr>
          <w:color w:val="000000" w:themeColor="text1"/>
          <w:sz w:val="22"/>
          <w:szCs w:val="22"/>
          <w:lang w:val="en-US"/>
        </w:rPr>
      </w:pPr>
      <w:proofErr w:type="spellStart"/>
      <w:r w:rsidRPr="008076E8">
        <w:rPr>
          <w:color w:val="000000" w:themeColor="text1"/>
          <w:sz w:val="22"/>
          <w:szCs w:val="22"/>
          <w:shd w:val="clear" w:color="auto" w:fill="FFFFFF"/>
          <w:lang w:val="en-US"/>
        </w:rPr>
        <w:t>Borkovec</w:t>
      </w:r>
      <w:proofErr w:type="spellEnd"/>
      <w:r w:rsidRPr="008076E8">
        <w:rPr>
          <w:color w:val="000000" w:themeColor="text1"/>
          <w:sz w:val="22"/>
          <w:szCs w:val="22"/>
          <w:shd w:val="clear" w:color="auto" w:fill="FFFFFF"/>
          <w:lang w:val="en-US"/>
        </w:rPr>
        <w:t xml:space="preserve">, T. D., </w:t>
      </w:r>
      <w:proofErr w:type="spellStart"/>
      <w:r w:rsidRPr="008076E8">
        <w:rPr>
          <w:color w:val="000000" w:themeColor="text1"/>
          <w:sz w:val="22"/>
          <w:szCs w:val="22"/>
          <w:shd w:val="clear" w:color="auto" w:fill="FFFFFF"/>
          <w:lang w:val="en-US"/>
        </w:rPr>
        <w:t>Alcaine</w:t>
      </w:r>
      <w:proofErr w:type="spellEnd"/>
      <w:r w:rsidRPr="008076E8">
        <w:rPr>
          <w:color w:val="000000" w:themeColor="text1"/>
          <w:sz w:val="22"/>
          <w:szCs w:val="22"/>
          <w:shd w:val="clear" w:color="auto" w:fill="FFFFFF"/>
          <w:lang w:val="en-US"/>
        </w:rPr>
        <w:t>, O., &amp; Behar, E. (2004). Avoidance theory of worry and generalized anxiety disorder. </w:t>
      </w:r>
      <w:r w:rsidRPr="008076E8">
        <w:rPr>
          <w:i/>
          <w:iCs/>
          <w:color w:val="000000" w:themeColor="text1"/>
          <w:sz w:val="22"/>
          <w:szCs w:val="22"/>
          <w:shd w:val="clear" w:color="auto" w:fill="FFFFFF"/>
          <w:lang w:val="en-US"/>
        </w:rPr>
        <w:t>Generalized anxiety disorder: Advances in research and practice</w:t>
      </w:r>
      <w:r w:rsidRPr="008076E8">
        <w:rPr>
          <w:color w:val="000000" w:themeColor="text1"/>
          <w:sz w:val="22"/>
          <w:szCs w:val="22"/>
          <w:shd w:val="clear" w:color="auto" w:fill="FFFFFF"/>
          <w:lang w:val="en-US"/>
        </w:rPr>
        <w:t xml:space="preserve">, (p. 77-108). </w:t>
      </w:r>
      <w:r w:rsidRPr="008076E8">
        <w:rPr>
          <w:i/>
          <w:iCs/>
          <w:color w:val="000000" w:themeColor="text1"/>
          <w:sz w:val="22"/>
          <w:szCs w:val="22"/>
          <w:shd w:val="clear" w:color="auto" w:fill="FFFFFF"/>
          <w:lang w:val="en-US"/>
        </w:rPr>
        <w:t xml:space="preserve">The </w:t>
      </w:r>
      <w:proofErr w:type="spellStart"/>
      <w:r w:rsidRPr="008076E8">
        <w:rPr>
          <w:i/>
          <w:iCs/>
          <w:color w:val="000000" w:themeColor="text1"/>
          <w:sz w:val="22"/>
          <w:szCs w:val="22"/>
          <w:shd w:val="clear" w:color="auto" w:fill="FFFFFF"/>
          <w:lang w:val="en-US"/>
        </w:rPr>
        <w:t>Guliford</w:t>
      </w:r>
      <w:proofErr w:type="spellEnd"/>
      <w:r w:rsidRPr="008076E8">
        <w:rPr>
          <w:i/>
          <w:iCs/>
          <w:color w:val="000000" w:themeColor="text1"/>
          <w:sz w:val="22"/>
          <w:szCs w:val="22"/>
          <w:shd w:val="clear" w:color="auto" w:fill="FFFFFF"/>
          <w:lang w:val="en-US"/>
        </w:rPr>
        <w:t xml:space="preserve"> Press.</w:t>
      </w:r>
    </w:p>
    <w:p w14:paraId="45113CF7" w14:textId="77777777" w:rsidR="002E6D87" w:rsidRPr="008076E8" w:rsidRDefault="002E6D87" w:rsidP="008076E8">
      <w:pPr>
        <w:spacing w:line="480" w:lineRule="auto"/>
        <w:jc w:val="both"/>
        <w:rPr>
          <w:rStyle w:val="citation-doi"/>
          <w:color w:val="000000" w:themeColor="text1"/>
          <w:sz w:val="22"/>
          <w:szCs w:val="22"/>
          <w:shd w:val="clear" w:color="auto" w:fill="FFFFFF"/>
          <w:lang w:val="en-US"/>
        </w:rPr>
      </w:pPr>
      <w:r w:rsidRPr="008076E8">
        <w:rPr>
          <w:color w:val="000000" w:themeColor="text1"/>
          <w:sz w:val="22"/>
          <w:szCs w:val="22"/>
          <w:lang w:val="en-US"/>
        </w:rPr>
        <w:t xml:space="preserve">Bradley, M., &amp; </w:t>
      </w:r>
      <w:proofErr w:type="spellStart"/>
      <w:r w:rsidRPr="008076E8">
        <w:rPr>
          <w:color w:val="000000" w:themeColor="text1"/>
          <w:sz w:val="22"/>
          <w:szCs w:val="22"/>
          <w:lang w:val="en-US"/>
        </w:rPr>
        <w:t>Chahar</w:t>
      </w:r>
      <w:proofErr w:type="spellEnd"/>
      <w:r w:rsidRPr="008076E8">
        <w:rPr>
          <w:color w:val="000000" w:themeColor="text1"/>
          <w:sz w:val="22"/>
          <w:szCs w:val="22"/>
          <w:lang w:val="en-US"/>
        </w:rPr>
        <w:t>, P. (2020). Burnout of healthcare providers during COVID-19. Cleve Clin J Med,</w:t>
      </w:r>
      <w:r w:rsidRPr="008076E8">
        <w:rPr>
          <w:rStyle w:val="cit"/>
          <w:color w:val="000000" w:themeColor="text1"/>
          <w:sz w:val="22"/>
          <w:szCs w:val="22"/>
          <w:lang w:val="en-US"/>
        </w:rPr>
        <w:t xml:space="preserve"> 1-3. </w:t>
      </w:r>
      <w:proofErr w:type="spellStart"/>
      <w:r w:rsidRPr="008076E8">
        <w:rPr>
          <w:rStyle w:val="citation-doi"/>
          <w:color w:val="000000" w:themeColor="text1"/>
          <w:sz w:val="22"/>
          <w:szCs w:val="22"/>
          <w:lang w:val="en-US"/>
        </w:rPr>
        <w:t>doi</w:t>
      </w:r>
      <w:proofErr w:type="spellEnd"/>
      <w:r w:rsidRPr="008076E8">
        <w:rPr>
          <w:rStyle w:val="citation-doi"/>
          <w:color w:val="000000" w:themeColor="text1"/>
          <w:sz w:val="22"/>
          <w:szCs w:val="22"/>
          <w:lang w:val="en-US"/>
        </w:rPr>
        <w:t>: 10.3949/</w:t>
      </w:r>
      <w:proofErr w:type="gramStart"/>
      <w:r w:rsidRPr="008076E8">
        <w:rPr>
          <w:rStyle w:val="citation-doi"/>
          <w:color w:val="000000" w:themeColor="text1"/>
          <w:sz w:val="22"/>
          <w:szCs w:val="22"/>
          <w:lang w:val="en-US"/>
        </w:rPr>
        <w:t>ccjm.87a.ccc</w:t>
      </w:r>
      <w:proofErr w:type="gramEnd"/>
      <w:r w:rsidRPr="008076E8">
        <w:rPr>
          <w:rStyle w:val="citation-doi"/>
          <w:color w:val="000000" w:themeColor="text1"/>
          <w:sz w:val="22"/>
          <w:szCs w:val="22"/>
          <w:lang w:val="en-US"/>
        </w:rPr>
        <w:t>051.</w:t>
      </w:r>
    </w:p>
    <w:p w14:paraId="415CAEE4" w14:textId="77777777" w:rsidR="002E6D87" w:rsidRPr="008076E8" w:rsidRDefault="002E6D87" w:rsidP="008076E8">
      <w:pPr>
        <w:spacing w:before="100" w:beforeAutospacing="1" w:after="100" w:afterAutospacing="1" w:line="480" w:lineRule="auto"/>
        <w:jc w:val="both"/>
        <w:rPr>
          <w:color w:val="000000" w:themeColor="text1"/>
          <w:sz w:val="22"/>
          <w:szCs w:val="22"/>
          <w:lang w:val="en-US"/>
        </w:rPr>
      </w:pPr>
      <w:r w:rsidRPr="008076E8">
        <w:rPr>
          <w:color w:val="000000" w:themeColor="text1"/>
          <w:sz w:val="22"/>
          <w:szCs w:val="22"/>
          <w:lang w:val="en-US"/>
        </w:rPr>
        <w:t xml:space="preserve">Chen, Q., Liang, M., Li, Y., Guo, J., Fei, D., Wang, L…Zhang, Z. (2020). Mental health care for medical staff in China during the COVID-19 outbreak. </w:t>
      </w:r>
      <w:r w:rsidRPr="008076E8">
        <w:rPr>
          <w:i/>
          <w:iCs/>
          <w:color w:val="000000" w:themeColor="text1"/>
          <w:sz w:val="22"/>
          <w:szCs w:val="22"/>
          <w:lang w:val="en-US"/>
        </w:rPr>
        <w:t xml:space="preserve">Lancet </w:t>
      </w:r>
      <w:proofErr w:type="spellStart"/>
      <w:r w:rsidRPr="008076E8">
        <w:rPr>
          <w:i/>
          <w:iCs/>
          <w:color w:val="000000" w:themeColor="text1"/>
          <w:sz w:val="22"/>
          <w:szCs w:val="22"/>
          <w:lang w:val="en-US"/>
        </w:rPr>
        <w:t>Psychiatr</w:t>
      </w:r>
      <w:proofErr w:type="spellEnd"/>
      <w:r w:rsidRPr="008076E8">
        <w:rPr>
          <w:i/>
          <w:iCs/>
          <w:color w:val="000000" w:themeColor="text1"/>
          <w:sz w:val="22"/>
          <w:szCs w:val="22"/>
          <w:lang w:val="en-US"/>
        </w:rPr>
        <w:t>, 7</w:t>
      </w:r>
      <w:r w:rsidRPr="008076E8">
        <w:rPr>
          <w:color w:val="000000" w:themeColor="text1"/>
          <w:sz w:val="22"/>
          <w:szCs w:val="22"/>
          <w:lang w:val="en-US"/>
        </w:rPr>
        <w:t xml:space="preserve">, e15-16.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10.1016/S2215-0366(20)30078-X</w:t>
      </w:r>
    </w:p>
    <w:p w14:paraId="1BAE2E88" w14:textId="77777777" w:rsidR="002E6D87" w:rsidRPr="008076E8" w:rsidRDefault="002E6D87" w:rsidP="008076E8">
      <w:pPr>
        <w:spacing w:line="480" w:lineRule="auto"/>
        <w:jc w:val="both"/>
        <w:rPr>
          <w:color w:val="000000" w:themeColor="text1"/>
          <w:sz w:val="22"/>
          <w:szCs w:val="22"/>
          <w:shd w:val="clear" w:color="auto" w:fill="FFFFFF"/>
          <w:lang w:val="en-US"/>
        </w:rPr>
      </w:pPr>
      <w:r w:rsidRPr="008076E8">
        <w:rPr>
          <w:color w:val="000000" w:themeColor="text1"/>
          <w:sz w:val="22"/>
          <w:szCs w:val="22"/>
          <w:shd w:val="clear" w:color="auto" w:fill="FFFFFF"/>
          <w:lang w:val="en-US"/>
        </w:rPr>
        <w:t>Chuang, C. H., Tseng, P. C., Lin, C. Y., Lin, K. H., &amp; Chen, Y-Y. (2016). Burnout in the intensive care unit professionals: A systematic review. </w:t>
      </w:r>
      <w:r w:rsidRPr="008076E8">
        <w:rPr>
          <w:i/>
          <w:iCs/>
          <w:color w:val="000000" w:themeColor="text1"/>
          <w:sz w:val="22"/>
          <w:szCs w:val="22"/>
          <w:shd w:val="clear" w:color="auto" w:fill="FFFFFF"/>
          <w:lang w:val="en-US"/>
        </w:rPr>
        <w:t>Medicine</w:t>
      </w:r>
      <w:r w:rsidRPr="008076E8">
        <w:rPr>
          <w:color w:val="000000" w:themeColor="text1"/>
          <w:sz w:val="22"/>
          <w:szCs w:val="22"/>
          <w:shd w:val="clear" w:color="auto" w:fill="FFFFFF"/>
          <w:lang w:val="en-US"/>
        </w:rPr>
        <w:t>, </w:t>
      </w:r>
      <w:r w:rsidRPr="008076E8">
        <w:rPr>
          <w:i/>
          <w:iCs/>
          <w:color w:val="000000" w:themeColor="text1"/>
          <w:sz w:val="22"/>
          <w:szCs w:val="22"/>
          <w:shd w:val="clear" w:color="auto" w:fill="FFFFFF"/>
          <w:lang w:val="en-US"/>
        </w:rPr>
        <w:t>95</w:t>
      </w:r>
      <w:r w:rsidRPr="008076E8">
        <w:rPr>
          <w:color w:val="000000" w:themeColor="text1"/>
          <w:sz w:val="22"/>
          <w:szCs w:val="22"/>
          <w:shd w:val="clear" w:color="auto" w:fill="FFFFFF"/>
          <w:lang w:val="en-US"/>
        </w:rPr>
        <w:t xml:space="preserve">(50), e5629.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10.1097/MD.0000000000005629.</w:t>
      </w:r>
    </w:p>
    <w:p w14:paraId="043BD8BF" w14:textId="77777777" w:rsidR="002E6D87" w:rsidRPr="008076E8" w:rsidRDefault="002E6D87" w:rsidP="008076E8">
      <w:pPr>
        <w:pStyle w:val="NormalWeb"/>
        <w:spacing w:line="480" w:lineRule="auto"/>
        <w:jc w:val="both"/>
        <w:rPr>
          <w:color w:val="000000" w:themeColor="text1"/>
          <w:sz w:val="22"/>
          <w:szCs w:val="22"/>
          <w:lang w:val="en-US"/>
        </w:rPr>
      </w:pPr>
      <w:r w:rsidRPr="008076E8">
        <w:rPr>
          <w:color w:val="000000" w:themeColor="text1"/>
          <w:sz w:val="22"/>
          <w:szCs w:val="22"/>
          <w:lang w:val="en-US"/>
        </w:rPr>
        <w:t xml:space="preserve">Coronavirus disease (COVID-19) situation reports. (2020). </w:t>
      </w:r>
      <w:hyperlink r:id="rId7" w:history="1">
        <w:r w:rsidRPr="008076E8">
          <w:rPr>
            <w:rStyle w:val="Kpr"/>
            <w:color w:val="000000" w:themeColor="text1"/>
            <w:sz w:val="22"/>
            <w:szCs w:val="22"/>
            <w:lang w:val="en-US"/>
          </w:rPr>
          <w:t>https://www.who.int/docs/default-source/coronaviruse/situation-reports/20200610-covid-19-sitrep-142.pdf?sfvrsn=180898cd _4</w:t>
        </w:r>
      </w:hyperlink>
    </w:p>
    <w:p w14:paraId="06F6D9DA" w14:textId="77777777" w:rsidR="002E6D87" w:rsidRPr="008076E8" w:rsidRDefault="002E6D87" w:rsidP="008076E8">
      <w:pPr>
        <w:spacing w:line="480" w:lineRule="auto"/>
        <w:jc w:val="both"/>
        <w:rPr>
          <w:color w:val="000000" w:themeColor="text1"/>
          <w:sz w:val="22"/>
          <w:szCs w:val="22"/>
          <w:lang w:val="en-US"/>
        </w:rPr>
      </w:pPr>
      <w:proofErr w:type="spellStart"/>
      <w:r w:rsidRPr="008076E8">
        <w:rPr>
          <w:color w:val="000000" w:themeColor="text1"/>
          <w:sz w:val="22"/>
          <w:szCs w:val="22"/>
          <w:shd w:val="clear" w:color="auto" w:fill="FFFFFF"/>
          <w:lang w:val="en-US"/>
        </w:rPr>
        <w:t>Craske</w:t>
      </w:r>
      <w:proofErr w:type="spellEnd"/>
      <w:r w:rsidRPr="008076E8">
        <w:rPr>
          <w:color w:val="000000" w:themeColor="text1"/>
          <w:sz w:val="22"/>
          <w:szCs w:val="22"/>
          <w:shd w:val="clear" w:color="auto" w:fill="FFFFFF"/>
          <w:lang w:val="en-US"/>
        </w:rPr>
        <w:t xml:space="preserve">, M. G., Treanor, M., Conway, C. C., </w:t>
      </w:r>
      <w:proofErr w:type="spellStart"/>
      <w:r w:rsidRPr="008076E8">
        <w:rPr>
          <w:color w:val="000000" w:themeColor="text1"/>
          <w:sz w:val="22"/>
          <w:szCs w:val="22"/>
          <w:shd w:val="clear" w:color="auto" w:fill="FFFFFF"/>
          <w:lang w:val="en-US"/>
        </w:rPr>
        <w:t>Zbozinek</w:t>
      </w:r>
      <w:proofErr w:type="spellEnd"/>
      <w:r w:rsidRPr="008076E8">
        <w:rPr>
          <w:color w:val="000000" w:themeColor="text1"/>
          <w:sz w:val="22"/>
          <w:szCs w:val="22"/>
          <w:shd w:val="clear" w:color="auto" w:fill="FFFFFF"/>
          <w:lang w:val="en-US"/>
        </w:rPr>
        <w:t xml:space="preserve">, T., &amp; </w:t>
      </w:r>
      <w:proofErr w:type="spellStart"/>
      <w:r w:rsidRPr="008076E8">
        <w:rPr>
          <w:color w:val="000000" w:themeColor="text1"/>
          <w:sz w:val="22"/>
          <w:szCs w:val="22"/>
          <w:shd w:val="clear" w:color="auto" w:fill="FFFFFF"/>
          <w:lang w:val="en-US"/>
        </w:rPr>
        <w:t>Vervliet</w:t>
      </w:r>
      <w:proofErr w:type="spellEnd"/>
      <w:r w:rsidRPr="008076E8">
        <w:rPr>
          <w:color w:val="000000" w:themeColor="text1"/>
          <w:sz w:val="22"/>
          <w:szCs w:val="22"/>
          <w:shd w:val="clear" w:color="auto" w:fill="FFFFFF"/>
          <w:lang w:val="en-US"/>
        </w:rPr>
        <w:t>, B. (2014). Maximizing exposure therapy: An inhibitory learning approach. </w:t>
      </w:r>
      <w:proofErr w:type="spellStart"/>
      <w:r w:rsidRPr="008076E8">
        <w:rPr>
          <w:i/>
          <w:iCs/>
          <w:color w:val="000000" w:themeColor="text1"/>
          <w:sz w:val="22"/>
          <w:szCs w:val="22"/>
          <w:shd w:val="clear" w:color="auto" w:fill="FFFFFF"/>
          <w:lang w:val="en-US"/>
        </w:rPr>
        <w:t>Behav</w:t>
      </w:r>
      <w:proofErr w:type="spellEnd"/>
      <w:r w:rsidRPr="008076E8">
        <w:rPr>
          <w:i/>
          <w:iCs/>
          <w:color w:val="000000" w:themeColor="text1"/>
          <w:sz w:val="22"/>
          <w:szCs w:val="22"/>
          <w:shd w:val="clear" w:color="auto" w:fill="FFFFFF"/>
          <w:lang w:val="en-US"/>
        </w:rPr>
        <w:t xml:space="preserve"> Res </w:t>
      </w:r>
      <w:proofErr w:type="spellStart"/>
      <w:r w:rsidRPr="008076E8">
        <w:rPr>
          <w:i/>
          <w:iCs/>
          <w:color w:val="000000" w:themeColor="text1"/>
          <w:sz w:val="22"/>
          <w:szCs w:val="22"/>
          <w:shd w:val="clear" w:color="auto" w:fill="FFFFFF"/>
          <w:lang w:val="en-US"/>
        </w:rPr>
        <w:t>Ther</w:t>
      </w:r>
      <w:proofErr w:type="spellEnd"/>
      <w:r w:rsidRPr="008076E8">
        <w:rPr>
          <w:color w:val="000000" w:themeColor="text1"/>
          <w:sz w:val="22"/>
          <w:szCs w:val="22"/>
          <w:shd w:val="clear" w:color="auto" w:fill="FFFFFF"/>
          <w:lang w:val="en-US"/>
        </w:rPr>
        <w:t>, </w:t>
      </w:r>
      <w:r w:rsidRPr="008076E8">
        <w:rPr>
          <w:i/>
          <w:iCs/>
          <w:color w:val="000000" w:themeColor="text1"/>
          <w:sz w:val="22"/>
          <w:szCs w:val="22"/>
          <w:shd w:val="clear" w:color="auto" w:fill="FFFFFF"/>
          <w:lang w:val="en-US"/>
        </w:rPr>
        <w:t>58</w:t>
      </w:r>
      <w:r w:rsidRPr="008076E8">
        <w:rPr>
          <w:color w:val="000000" w:themeColor="text1"/>
          <w:sz w:val="22"/>
          <w:szCs w:val="22"/>
          <w:shd w:val="clear" w:color="auto" w:fill="FFFFFF"/>
          <w:lang w:val="en-US"/>
        </w:rPr>
        <w:t xml:space="preserve">, 10-23. </w:t>
      </w:r>
      <w:proofErr w:type="gramStart"/>
      <w:r w:rsidRPr="008076E8">
        <w:rPr>
          <w:color w:val="000000" w:themeColor="text1"/>
          <w:sz w:val="22"/>
          <w:szCs w:val="22"/>
          <w:lang w:val="en-US"/>
        </w:rPr>
        <w:t>doi:10.1016/j.brat</w:t>
      </w:r>
      <w:proofErr w:type="gramEnd"/>
      <w:r w:rsidRPr="008076E8">
        <w:rPr>
          <w:color w:val="000000" w:themeColor="text1"/>
          <w:sz w:val="22"/>
          <w:szCs w:val="22"/>
          <w:lang w:val="en-US"/>
        </w:rPr>
        <w:t>.2014.04.006.</w:t>
      </w:r>
    </w:p>
    <w:p w14:paraId="45E4D1EB" w14:textId="77777777" w:rsidR="008076E8" w:rsidRPr="008076E8" w:rsidRDefault="002E6D87" w:rsidP="008076E8">
      <w:pPr>
        <w:pStyle w:val="NormalWeb"/>
        <w:spacing w:line="480" w:lineRule="auto"/>
        <w:jc w:val="both"/>
        <w:rPr>
          <w:color w:val="000000" w:themeColor="text1"/>
          <w:sz w:val="22"/>
          <w:szCs w:val="22"/>
          <w:shd w:val="clear" w:color="auto" w:fill="FFFFFF"/>
          <w:lang w:val="en-US"/>
        </w:rPr>
      </w:pPr>
      <w:proofErr w:type="spellStart"/>
      <w:r w:rsidRPr="008076E8">
        <w:rPr>
          <w:color w:val="000000" w:themeColor="text1"/>
          <w:sz w:val="22"/>
          <w:szCs w:val="22"/>
          <w:lang w:val="en-US"/>
        </w:rPr>
        <w:lastRenderedPageBreak/>
        <w:t>Elbay</w:t>
      </w:r>
      <w:proofErr w:type="spellEnd"/>
      <w:r w:rsidRPr="008076E8">
        <w:rPr>
          <w:color w:val="000000" w:themeColor="text1"/>
          <w:sz w:val="22"/>
          <w:szCs w:val="22"/>
          <w:lang w:val="en-US"/>
        </w:rPr>
        <w:t xml:space="preserve">, R.E., </w:t>
      </w:r>
      <w:proofErr w:type="spellStart"/>
      <w:r w:rsidRPr="008076E8">
        <w:rPr>
          <w:color w:val="000000" w:themeColor="text1"/>
          <w:sz w:val="22"/>
          <w:szCs w:val="22"/>
          <w:lang w:val="en-US"/>
        </w:rPr>
        <w:t>Kurtulmus</w:t>
      </w:r>
      <w:proofErr w:type="spellEnd"/>
      <w:r w:rsidRPr="008076E8">
        <w:rPr>
          <w:color w:val="000000" w:themeColor="text1"/>
          <w:sz w:val="22"/>
          <w:szCs w:val="22"/>
          <w:lang w:val="en-US"/>
        </w:rPr>
        <w:t xml:space="preserve"> A, </w:t>
      </w:r>
      <w:proofErr w:type="spellStart"/>
      <w:r w:rsidRPr="008076E8">
        <w:rPr>
          <w:color w:val="000000" w:themeColor="text1"/>
          <w:sz w:val="22"/>
          <w:szCs w:val="22"/>
          <w:lang w:val="en-US"/>
        </w:rPr>
        <w:t>Arpacıoglu</w:t>
      </w:r>
      <w:proofErr w:type="spellEnd"/>
      <w:r w:rsidRPr="008076E8">
        <w:rPr>
          <w:color w:val="000000" w:themeColor="text1"/>
          <w:sz w:val="22"/>
          <w:szCs w:val="22"/>
          <w:lang w:val="en-US"/>
        </w:rPr>
        <w:t xml:space="preserve">, S., </w:t>
      </w:r>
      <w:proofErr w:type="spellStart"/>
      <w:r w:rsidRPr="008076E8">
        <w:rPr>
          <w:color w:val="000000" w:themeColor="text1"/>
          <w:sz w:val="22"/>
          <w:szCs w:val="22"/>
          <w:lang w:val="en-US"/>
        </w:rPr>
        <w:t>Karadere</w:t>
      </w:r>
      <w:proofErr w:type="spellEnd"/>
      <w:r w:rsidRPr="008076E8">
        <w:rPr>
          <w:color w:val="000000" w:themeColor="text1"/>
          <w:sz w:val="22"/>
          <w:szCs w:val="22"/>
          <w:lang w:val="en-US"/>
        </w:rPr>
        <w:t xml:space="preserve">, E. (2020). Depression, anxiety, stress levels of physicians and associated factors in Covid-19 pandemics. </w:t>
      </w:r>
      <w:r w:rsidRPr="008076E8">
        <w:rPr>
          <w:i/>
          <w:iCs/>
          <w:color w:val="000000" w:themeColor="text1"/>
          <w:sz w:val="22"/>
          <w:szCs w:val="22"/>
          <w:lang w:val="en-US"/>
        </w:rPr>
        <w:t>Psychiatry Res, 290</w:t>
      </w:r>
      <w:r w:rsidRPr="008076E8">
        <w:rPr>
          <w:color w:val="000000" w:themeColor="text1"/>
          <w:sz w:val="22"/>
          <w:szCs w:val="22"/>
          <w:lang w:val="en-US"/>
        </w:rPr>
        <w:t xml:space="preserve">, 113130.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10.1016/j.psychres.2020.113130.</w:t>
      </w:r>
    </w:p>
    <w:p w14:paraId="5444B786" w14:textId="6D4D3485" w:rsidR="002E6D87" w:rsidRPr="008076E8" w:rsidRDefault="002E6D87" w:rsidP="008076E8">
      <w:pPr>
        <w:pStyle w:val="NormalWeb"/>
        <w:spacing w:line="480" w:lineRule="auto"/>
        <w:jc w:val="both"/>
        <w:rPr>
          <w:color w:val="000000" w:themeColor="text1"/>
          <w:sz w:val="22"/>
          <w:szCs w:val="22"/>
          <w:shd w:val="clear" w:color="auto" w:fill="FFFFFF"/>
          <w:lang w:val="en-US"/>
        </w:rPr>
      </w:pPr>
      <w:proofErr w:type="spellStart"/>
      <w:r w:rsidRPr="008076E8">
        <w:rPr>
          <w:color w:val="000000" w:themeColor="text1"/>
          <w:sz w:val="22"/>
          <w:szCs w:val="22"/>
          <w:shd w:val="clear" w:color="auto" w:fill="FFFFFF"/>
          <w:lang w:val="en-US"/>
        </w:rPr>
        <w:t>Ergin</w:t>
      </w:r>
      <w:proofErr w:type="spellEnd"/>
      <w:r w:rsidRPr="008076E8">
        <w:rPr>
          <w:color w:val="000000" w:themeColor="text1"/>
          <w:sz w:val="22"/>
          <w:szCs w:val="22"/>
          <w:shd w:val="clear" w:color="auto" w:fill="FFFFFF"/>
          <w:lang w:val="en-US"/>
        </w:rPr>
        <w:t xml:space="preserve">, C. (1992). </w:t>
      </w:r>
      <w:proofErr w:type="spellStart"/>
      <w:r w:rsidRPr="008076E8">
        <w:rPr>
          <w:color w:val="000000" w:themeColor="text1"/>
          <w:sz w:val="22"/>
          <w:szCs w:val="22"/>
          <w:shd w:val="clear" w:color="auto" w:fill="FFFFFF"/>
          <w:lang w:val="en-US"/>
        </w:rPr>
        <w:t>Doktor</w:t>
      </w:r>
      <w:proofErr w:type="spellEnd"/>
      <w:r w:rsidRPr="008076E8">
        <w:rPr>
          <w:color w:val="000000" w:themeColor="text1"/>
          <w:sz w:val="22"/>
          <w:szCs w:val="22"/>
          <w:shd w:val="clear" w:color="auto" w:fill="FFFFFF"/>
          <w:lang w:val="en-US"/>
        </w:rPr>
        <w:t xml:space="preserve"> </w:t>
      </w:r>
      <w:proofErr w:type="spellStart"/>
      <w:r w:rsidRPr="008076E8">
        <w:rPr>
          <w:color w:val="000000" w:themeColor="text1"/>
          <w:sz w:val="22"/>
          <w:szCs w:val="22"/>
          <w:shd w:val="clear" w:color="auto" w:fill="FFFFFF"/>
          <w:lang w:val="en-US"/>
        </w:rPr>
        <w:t>ve</w:t>
      </w:r>
      <w:proofErr w:type="spellEnd"/>
      <w:r w:rsidRPr="008076E8">
        <w:rPr>
          <w:color w:val="000000" w:themeColor="text1"/>
          <w:sz w:val="22"/>
          <w:szCs w:val="22"/>
          <w:shd w:val="clear" w:color="auto" w:fill="FFFFFF"/>
          <w:lang w:val="en-US"/>
        </w:rPr>
        <w:t xml:space="preserve"> </w:t>
      </w:r>
      <w:proofErr w:type="spellStart"/>
      <w:r w:rsidRPr="008076E8">
        <w:rPr>
          <w:color w:val="000000" w:themeColor="text1"/>
          <w:sz w:val="22"/>
          <w:szCs w:val="22"/>
          <w:shd w:val="clear" w:color="auto" w:fill="FFFFFF"/>
          <w:lang w:val="en-US"/>
        </w:rPr>
        <w:t>hemşirelerde</w:t>
      </w:r>
      <w:proofErr w:type="spellEnd"/>
      <w:r w:rsidRPr="008076E8">
        <w:rPr>
          <w:color w:val="000000" w:themeColor="text1"/>
          <w:sz w:val="22"/>
          <w:szCs w:val="22"/>
          <w:shd w:val="clear" w:color="auto" w:fill="FFFFFF"/>
          <w:lang w:val="en-US"/>
        </w:rPr>
        <w:t xml:space="preserve"> </w:t>
      </w:r>
      <w:proofErr w:type="spellStart"/>
      <w:r w:rsidRPr="008076E8">
        <w:rPr>
          <w:color w:val="000000" w:themeColor="text1"/>
          <w:sz w:val="22"/>
          <w:szCs w:val="22"/>
          <w:shd w:val="clear" w:color="auto" w:fill="FFFFFF"/>
          <w:lang w:val="en-US"/>
        </w:rPr>
        <w:t>tükenmişlik</w:t>
      </w:r>
      <w:proofErr w:type="spellEnd"/>
      <w:r w:rsidRPr="008076E8">
        <w:rPr>
          <w:color w:val="000000" w:themeColor="text1"/>
          <w:sz w:val="22"/>
          <w:szCs w:val="22"/>
          <w:shd w:val="clear" w:color="auto" w:fill="FFFFFF"/>
          <w:lang w:val="en-US"/>
        </w:rPr>
        <w:t xml:space="preserve"> </w:t>
      </w:r>
      <w:proofErr w:type="spellStart"/>
      <w:r w:rsidRPr="008076E8">
        <w:rPr>
          <w:color w:val="000000" w:themeColor="text1"/>
          <w:sz w:val="22"/>
          <w:szCs w:val="22"/>
          <w:shd w:val="clear" w:color="auto" w:fill="FFFFFF"/>
          <w:lang w:val="en-US"/>
        </w:rPr>
        <w:t>ve</w:t>
      </w:r>
      <w:proofErr w:type="spellEnd"/>
      <w:r w:rsidRPr="008076E8">
        <w:rPr>
          <w:color w:val="000000" w:themeColor="text1"/>
          <w:sz w:val="22"/>
          <w:szCs w:val="22"/>
          <w:shd w:val="clear" w:color="auto" w:fill="FFFFFF"/>
          <w:lang w:val="en-US"/>
        </w:rPr>
        <w:t xml:space="preserve"> Maslach </w:t>
      </w:r>
      <w:proofErr w:type="spellStart"/>
      <w:r w:rsidRPr="008076E8">
        <w:rPr>
          <w:color w:val="000000" w:themeColor="text1"/>
          <w:sz w:val="22"/>
          <w:szCs w:val="22"/>
          <w:shd w:val="clear" w:color="auto" w:fill="FFFFFF"/>
          <w:lang w:val="en-US"/>
        </w:rPr>
        <w:t>Tükenmişlik</w:t>
      </w:r>
      <w:proofErr w:type="spellEnd"/>
      <w:r w:rsidRPr="008076E8">
        <w:rPr>
          <w:color w:val="000000" w:themeColor="text1"/>
          <w:sz w:val="22"/>
          <w:szCs w:val="22"/>
          <w:shd w:val="clear" w:color="auto" w:fill="FFFFFF"/>
          <w:lang w:val="en-US"/>
        </w:rPr>
        <w:t xml:space="preserve"> </w:t>
      </w:r>
      <w:proofErr w:type="spellStart"/>
      <w:r w:rsidRPr="008076E8">
        <w:rPr>
          <w:color w:val="000000" w:themeColor="text1"/>
          <w:sz w:val="22"/>
          <w:szCs w:val="22"/>
          <w:shd w:val="clear" w:color="auto" w:fill="FFFFFF"/>
          <w:lang w:val="en-US"/>
        </w:rPr>
        <w:t>Ölçeğinin</w:t>
      </w:r>
      <w:proofErr w:type="spellEnd"/>
      <w:r w:rsidRPr="008076E8">
        <w:rPr>
          <w:color w:val="000000" w:themeColor="text1"/>
          <w:sz w:val="22"/>
          <w:szCs w:val="22"/>
          <w:shd w:val="clear" w:color="auto" w:fill="FFFFFF"/>
          <w:lang w:val="en-US"/>
        </w:rPr>
        <w:t xml:space="preserve"> </w:t>
      </w:r>
      <w:proofErr w:type="spellStart"/>
      <w:r w:rsidRPr="008076E8">
        <w:rPr>
          <w:color w:val="000000" w:themeColor="text1"/>
          <w:sz w:val="22"/>
          <w:szCs w:val="22"/>
          <w:shd w:val="clear" w:color="auto" w:fill="FFFFFF"/>
          <w:lang w:val="en-US"/>
        </w:rPr>
        <w:t>uyarlanması</w:t>
      </w:r>
      <w:proofErr w:type="spellEnd"/>
      <w:r w:rsidRPr="008076E8">
        <w:rPr>
          <w:color w:val="000000" w:themeColor="text1"/>
          <w:sz w:val="22"/>
          <w:szCs w:val="22"/>
          <w:shd w:val="clear" w:color="auto" w:fill="FFFFFF"/>
          <w:lang w:val="en-US"/>
        </w:rPr>
        <w:t>. </w:t>
      </w:r>
      <w:r w:rsidRPr="008076E8">
        <w:rPr>
          <w:i/>
          <w:iCs/>
          <w:color w:val="000000" w:themeColor="text1"/>
          <w:sz w:val="22"/>
          <w:szCs w:val="22"/>
          <w:lang w:val="en-US"/>
        </w:rPr>
        <w:t xml:space="preserve">Ankara: </w:t>
      </w:r>
      <w:proofErr w:type="spellStart"/>
      <w:r w:rsidRPr="008076E8">
        <w:rPr>
          <w:i/>
          <w:iCs/>
          <w:color w:val="000000" w:themeColor="text1"/>
          <w:sz w:val="22"/>
          <w:szCs w:val="22"/>
          <w:lang w:val="en-US"/>
        </w:rPr>
        <w:t>Türk</w:t>
      </w:r>
      <w:proofErr w:type="spellEnd"/>
      <w:r w:rsidRPr="008076E8">
        <w:rPr>
          <w:i/>
          <w:iCs/>
          <w:color w:val="000000" w:themeColor="text1"/>
          <w:sz w:val="22"/>
          <w:szCs w:val="22"/>
          <w:lang w:val="en-US"/>
        </w:rPr>
        <w:t xml:space="preserve"> </w:t>
      </w:r>
      <w:proofErr w:type="spellStart"/>
      <w:r w:rsidRPr="008076E8">
        <w:rPr>
          <w:i/>
          <w:iCs/>
          <w:color w:val="000000" w:themeColor="text1"/>
          <w:sz w:val="22"/>
          <w:szCs w:val="22"/>
          <w:lang w:val="en-US"/>
        </w:rPr>
        <w:t>Psikologlar</w:t>
      </w:r>
      <w:proofErr w:type="spellEnd"/>
      <w:r w:rsidRPr="008076E8">
        <w:rPr>
          <w:i/>
          <w:iCs/>
          <w:color w:val="000000" w:themeColor="text1"/>
          <w:sz w:val="22"/>
          <w:szCs w:val="22"/>
          <w:lang w:val="en-US"/>
        </w:rPr>
        <w:t xml:space="preserve"> </w:t>
      </w:r>
      <w:proofErr w:type="spellStart"/>
      <w:r w:rsidRPr="008076E8">
        <w:rPr>
          <w:i/>
          <w:iCs/>
          <w:color w:val="000000" w:themeColor="text1"/>
          <w:sz w:val="22"/>
          <w:szCs w:val="22"/>
          <w:lang w:val="en-US"/>
        </w:rPr>
        <w:t>Derneği</w:t>
      </w:r>
      <w:proofErr w:type="spellEnd"/>
      <w:r w:rsidRPr="008076E8">
        <w:rPr>
          <w:i/>
          <w:iCs/>
          <w:color w:val="000000" w:themeColor="text1"/>
          <w:sz w:val="22"/>
          <w:szCs w:val="22"/>
          <w:lang w:val="en-US"/>
        </w:rPr>
        <w:t xml:space="preserve"> </w:t>
      </w:r>
      <w:proofErr w:type="spellStart"/>
      <w:r w:rsidRPr="008076E8">
        <w:rPr>
          <w:i/>
          <w:iCs/>
          <w:color w:val="000000" w:themeColor="text1"/>
          <w:sz w:val="22"/>
          <w:szCs w:val="22"/>
          <w:lang w:val="en-US"/>
        </w:rPr>
        <w:t>Yayınları</w:t>
      </w:r>
      <w:proofErr w:type="spellEnd"/>
      <w:r w:rsidRPr="008076E8">
        <w:rPr>
          <w:color w:val="000000" w:themeColor="text1"/>
          <w:sz w:val="22"/>
          <w:szCs w:val="22"/>
          <w:shd w:val="clear" w:color="auto" w:fill="FFFFFF"/>
          <w:lang w:val="en-US"/>
        </w:rPr>
        <w:t>, 143-54.</w:t>
      </w:r>
    </w:p>
    <w:p w14:paraId="6B418278" w14:textId="77777777" w:rsidR="002E6D87" w:rsidRPr="008076E8" w:rsidRDefault="002E6D87" w:rsidP="008076E8">
      <w:pPr>
        <w:spacing w:line="480" w:lineRule="auto"/>
        <w:jc w:val="both"/>
        <w:rPr>
          <w:color w:val="000000" w:themeColor="text1"/>
          <w:sz w:val="22"/>
          <w:szCs w:val="22"/>
          <w:lang w:val="en-US"/>
        </w:rPr>
      </w:pPr>
      <w:r w:rsidRPr="008076E8">
        <w:rPr>
          <w:color w:val="000000" w:themeColor="text1"/>
          <w:sz w:val="22"/>
          <w:szCs w:val="22"/>
          <w:shd w:val="clear" w:color="auto" w:fill="FFFFFF"/>
          <w:lang w:val="en-US"/>
        </w:rPr>
        <w:t xml:space="preserve">Eysenck, M. W., &amp; </w:t>
      </w:r>
      <w:proofErr w:type="spellStart"/>
      <w:r w:rsidRPr="008076E8">
        <w:rPr>
          <w:color w:val="000000" w:themeColor="text1"/>
          <w:sz w:val="22"/>
          <w:szCs w:val="22"/>
          <w:shd w:val="clear" w:color="auto" w:fill="FFFFFF"/>
          <w:lang w:val="en-US"/>
        </w:rPr>
        <w:t>Fajkowska</w:t>
      </w:r>
      <w:proofErr w:type="spellEnd"/>
      <w:r w:rsidRPr="008076E8">
        <w:rPr>
          <w:color w:val="000000" w:themeColor="text1"/>
          <w:sz w:val="22"/>
          <w:szCs w:val="22"/>
          <w:shd w:val="clear" w:color="auto" w:fill="FFFFFF"/>
          <w:lang w:val="en-US"/>
        </w:rPr>
        <w:t xml:space="preserve">, M. (2018). Anxiety and depression: toward overlapping and distinctive features. Cong </w:t>
      </w:r>
      <w:proofErr w:type="spellStart"/>
      <w:r w:rsidRPr="008076E8">
        <w:rPr>
          <w:color w:val="000000" w:themeColor="text1"/>
          <w:sz w:val="22"/>
          <w:szCs w:val="22"/>
          <w:shd w:val="clear" w:color="auto" w:fill="FFFFFF"/>
          <w:lang w:val="en-US"/>
        </w:rPr>
        <w:t>Emot</w:t>
      </w:r>
      <w:proofErr w:type="spellEnd"/>
      <w:r w:rsidRPr="008076E8">
        <w:rPr>
          <w:color w:val="000000" w:themeColor="text1"/>
          <w:sz w:val="22"/>
          <w:szCs w:val="22"/>
          <w:shd w:val="clear" w:color="auto" w:fill="FFFFFF"/>
          <w:lang w:val="en-US"/>
        </w:rPr>
        <w:t>, 32(7), 1391-1400. doi:10.1080/02699931.2017.1330255.</w:t>
      </w:r>
    </w:p>
    <w:p w14:paraId="4B3719EC" w14:textId="77777777" w:rsidR="002E6D87" w:rsidRPr="008076E8" w:rsidRDefault="002E6D87" w:rsidP="008076E8">
      <w:pPr>
        <w:spacing w:line="480" w:lineRule="auto"/>
        <w:jc w:val="both"/>
        <w:rPr>
          <w:color w:val="000000" w:themeColor="text1"/>
          <w:sz w:val="22"/>
          <w:szCs w:val="22"/>
          <w:shd w:val="clear" w:color="auto" w:fill="FFFFFF"/>
          <w:lang w:val="en-US"/>
        </w:rPr>
      </w:pPr>
      <w:proofErr w:type="spellStart"/>
      <w:r w:rsidRPr="008076E8">
        <w:rPr>
          <w:color w:val="000000" w:themeColor="text1"/>
          <w:sz w:val="22"/>
          <w:szCs w:val="22"/>
          <w:lang w:val="en-US"/>
        </w:rPr>
        <w:t>Gómez-Gascón</w:t>
      </w:r>
      <w:proofErr w:type="spellEnd"/>
      <w:r w:rsidRPr="008076E8">
        <w:rPr>
          <w:color w:val="000000" w:themeColor="text1"/>
          <w:sz w:val="22"/>
          <w:szCs w:val="22"/>
          <w:lang w:val="en-US"/>
        </w:rPr>
        <w:t xml:space="preserve">, T., </w:t>
      </w:r>
      <w:proofErr w:type="spellStart"/>
      <w:r w:rsidRPr="008076E8">
        <w:rPr>
          <w:color w:val="000000" w:themeColor="text1"/>
          <w:sz w:val="22"/>
          <w:szCs w:val="22"/>
          <w:lang w:val="en-US"/>
        </w:rPr>
        <w:t>Martín-Fernández</w:t>
      </w:r>
      <w:proofErr w:type="spellEnd"/>
      <w:r w:rsidRPr="008076E8">
        <w:rPr>
          <w:color w:val="000000" w:themeColor="text1"/>
          <w:sz w:val="22"/>
          <w:szCs w:val="22"/>
          <w:lang w:val="en-US"/>
        </w:rPr>
        <w:t xml:space="preserve">, J., </w:t>
      </w:r>
      <w:proofErr w:type="spellStart"/>
      <w:r w:rsidRPr="008076E8">
        <w:rPr>
          <w:color w:val="000000" w:themeColor="text1"/>
          <w:sz w:val="22"/>
          <w:szCs w:val="22"/>
          <w:lang w:val="en-US"/>
        </w:rPr>
        <w:t>Gálvez-Herrer</w:t>
      </w:r>
      <w:proofErr w:type="spellEnd"/>
      <w:r w:rsidRPr="008076E8">
        <w:rPr>
          <w:color w:val="000000" w:themeColor="text1"/>
          <w:sz w:val="22"/>
          <w:szCs w:val="22"/>
          <w:lang w:val="en-US"/>
        </w:rPr>
        <w:t xml:space="preserve">, M., Tapias-Merino, E., </w:t>
      </w:r>
      <w:proofErr w:type="spellStart"/>
      <w:r w:rsidRPr="008076E8">
        <w:rPr>
          <w:color w:val="000000" w:themeColor="text1"/>
          <w:sz w:val="22"/>
          <w:szCs w:val="22"/>
          <w:lang w:val="en-US"/>
        </w:rPr>
        <w:t>Beamud</w:t>
      </w:r>
      <w:proofErr w:type="spellEnd"/>
      <w:r w:rsidRPr="008076E8">
        <w:rPr>
          <w:color w:val="000000" w:themeColor="text1"/>
          <w:sz w:val="22"/>
          <w:szCs w:val="22"/>
          <w:lang w:val="en-US"/>
        </w:rPr>
        <w:t xml:space="preserve">-Lagos, M., </w:t>
      </w:r>
      <w:r w:rsidRPr="008076E8">
        <w:rPr>
          <w:color w:val="000000" w:themeColor="text1"/>
          <w:sz w:val="22"/>
          <w:szCs w:val="22"/>
          <w:shd w:val="clear" w:color="auto" w:fill="FFFFFF"/>
          <w:lang w:val="en-US"/>
        </w:rPr>
        <w:t xml:space="preserve">&amp; </w:t>
      </w:r>
      <w:proofErr w:type="spellStart"/>
      <w:r w:rsidRPr="008076E8">
        <w:rPr>
          <w:color w:val="000000" w:themeColor="text1"/>
          <w:sz w:val="22"/>
          <w:szCs w:val="22"/>
          <w:lang w:val="en-US"/>
        </w:rPr>
        <w:t>Mingote-Adán</w:t>
      </w:r>
      <w:proofErr w:type="spellEnd"/>
      <w:r w:rsidRPr="008076E8">
        <w:rPr>
          <w:color w:val="000000" w:themeColor="text1"/>
          <w:sz w:val="22"/>
          <w:szCs w:val="22"/>
          <w:lang w:val="en-US"/>
        </w:rPr>
        <w:t xml:space="preserve">, J.C. (2013). Effectiveness of an intervention for prevention and treatment of burnout in primary health care. </w:t>
      </w:r>
      <w:r w:rsidRPr="008076E8">
        <w:rPr>
          <w:i/>
          <w:iCs/>
          <w:color w:val="000000" w:themeColor="text1"/>
          <w:sz w:val="22"/>
          <w:szCs w:val="22"/>
          <w:lang w:val="en-US"/>
        </w:rPr>
        <w:t xml:space="preserve">BMC Fam </w:t>
      </w:r>
      <w:proofErr w:type="spellStart"/>
      <w:r w:rsidRPr="008076E8">
        <w:rPr>
          <w:i/>
          <w:iCs/>
          <w:color w:val="000000" w:themeColor="text1"/>
          <w:sz w:val="22"/>
          <w:szCs w:val="22"/>
          <w:lang w:val="en-US"/>
        </w:rPr>
        <w:t>Pract</w:t>
      </w:r>
      <w:proofErr w:type="spellEnd"/>
      <w:r w:rsidRPr="008076E8">
        <w:rPr>
          <w:i/>
          <w:iCs/>
          <w:color w:val="000000" w:themeColor="text1"/>
          <w:sz w:val="22"/>
          <w:szCs w:val="22"/>
          <w:lang w:val="en-US"/>
        </w:rPr>
        <w:t>, 14</w:t>
      </w:r>
      <w:r w:rsidRPr="008076E8">
        <w:rPr>
          <w:color w:val="000000" w:themeColor="text1"/>
          <w:sz w:val="22"/>
          <w:szCs w:val="22"/>
          <w:lang w:val="en-US"/>
        </w:rPr>
        <w:t>: 173.</w:t>
      </w:r>
      <w:r w:rsidRPr="008076E8">
        <w:rPr>
          <w:color w:val="000000" w:themeColor="text1"/>
          <w:sz w:val="22"/>
          <w:szCs w:val="22"/>
          <w:shd w:val="clear" w:color="auto" w:fill="FFFFFF"/>
          <w:lang w:val="en-US"/>
        </w:rPr>
        <w:t xml:space="preserve">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10.1186/1471-2296-14-173.</w:t>
      </w:r>
    </w:p>
    <w:p w14:paraId="649A805A" w14:textId="77777777" w:rsidR="008076E8" w:rsidRPr="008076E8" w:rsidRDefault="002E6D87" w:rsidP="008076E8">
      <w:pPr>
        <w:spacing w:line="480" w:lineRule="auto"/>
        <w:jc w:val="both"/>
        <w:rPr>
          <w:color w:val="000000" w:themeColor="text1"/>
          <w:sz w:val="22"/>
          <w:szCs w:val="22"/>
          <w:shd w:val="clear" w:color="auto" w:fill="FFFFFF"/>
          <w:lang w:val="en-US"/>
        </w:rPr>
      </w:pPr>
      <w:proofErr w:type="spellStart"/>
      <w:r w:rsidRPr="008076E8">
        <w:rPr>
          <w:color w:val="000000" w:themeColor="text1"/>
          <w:sz w:val="22"/>
          <w:szCs w:val="22"/>
          <w:shd w:val="clear" w:color="auto" w:fill="FFFFFF"/>
          <w:lang w:val="en-US"/>
        </w:rPr>
        <w:t>Kashdan</w:t>
      </w:r>
      <w:proofErr w:type="spellEnd"/>
      <w:r w:rsidRPr="008076E8">
        <w:rPr>
          <w:color w:val="000000" w:themeColor="text1"/>
          <w:sz w:val="22"/>
          <w:szCs w:val="22"/>
          <w:shd w:val="clear" w:color="auto" w:fill="FFFFFF"/>
          <w:lang w:val="en-US"/>
        </w:rPr>
        <w:t xml:space="preserve">, T. B., &amp; </w:t>
      </w:r>
      <w:proofErr w:type="spellStart"/>
      <w:r w:rsidRPr="008076E8">
        <w:rPr>
          <w:color w:val="000000" w:themeColor="text1"/>
          <w:sz w:val="22"/>
          <w:szCs w:val="22"/>
          <w:shd w:val="clear" w:color="auto" w:fill="FFFFFF"/>
          <w:lang w:val="en-US"/>
        </w:rPr>
        <w:t>Rottenberg</w:t>
      </w:r>
      <w:proofErr w:type="spellEnd"/>
      <w:r w:rsidRPr="008076E8">
        <w:rPr>
          <w:color w:val="000000" w:themeColor="text1"/>
          <w:sz w:val="22"/>
          <w:szCs w:val="22"/>
          <w:shd w:val="clear" w:color="auto" w:fill="FFFFFF"/>
          <w:lang w:val="en-US"/>
        </w:rPr>
        <w:t>, J. (2010). Psychological flexibility as a fundamental aspect of health. </w:t>
      </w:r>
      <w:r w:rsidRPr="008076E8">
        <w:rPr>
          <w:i/>
          <w:iCs/>
          <w:color w:val="000000" w:themeColor="text1"/>
          <w:sz w:val="22"/>
          <w:szCs w:val="22"/>
          <w:lang w:val="en-US"/>
        </w:rPr>
        <w:t>Clin Psychol Rev</w:t>
      </w:r>
      <w:r w:rsidRPr="008076E8">
        <w:rPr>
          <w:color w:val="000000" w:themeColor="text1"/>
          <w:sz w:val="22"/>
          <w:szCs w:val="22"/>
          <w:shd w:val="clear" w:color="auto" w:fill="FFFFFF"/>
          <w:lang w:val="en-US"/>
        </w:rPr>
        <w:t> </w:t>
      </w:r>
      <w:r w:rsidRPr="008076E8">
        <w:rPr>
          <w:i/>
          <w:iCs/>
          <w:color w:val="000000" w:themeColor="text1"/>
          <w:sz w:val="22"/>
          <w:szCs w:val="22"/>
          <w:lang w:val="en-US"/>
        </w:rPr>
        <w:t>30</w:t>
      </w:r>
      <w:r w:rsidRPr="008076E8">
        <w:rPr>
          <w:color w:val="000000" w:themeColor="text1"/>
          <w:sz w:val="22"/>
          <w:szCs w:val="22"/>
          <w:shd w:val="clear" w:color="auto" w:fill="FFFFFF"/>
          <w:lang w:val="en-US"/>
        </w:rPr>
        <w:t xml:space="preserve">(7), 865-878.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10.1016/j.cpr.2010.03.001.</w:t>
      </w:r>
    </w:p>
    <w:p w14:paraId="07CA6698" w14:textId="0E8A242D" w:rsidR="002E6D87" w:rsidRPr="008076E8" w:rsidRDefault="002E6D87" w:rsidP="008076E8">
      <w:pPr>
        <w:spacing w:line="480" w:lineRule="auto"/>
        <w:jc w:val="both"/>
        <w:rPr>
          <w:color w:val="000000" w:themeColor="text1"/>
          <w:sz w:val="22"/>
          <w:szCs w:val="22"/>
          <w:shd w:val="clear" w:color="auto" w:fill="FFFFFF"/>
          <w:lang w:val="en-US"/>
        </w:rPr>
      </w:pPr>
      <w:r w:rsidRPr="008076E8">
        <w:rPr>
          <w:color w:val="000000" w:themeColor="text1"/>
          <w:sz w:val="22"/>
          <w:szCs w:val="22"/>
          <w:lang w:val="en-US"/>
        </w:rPr>
        <w:t xml:space="preserve">Koh, D. (2020). Occupational risks for COVID-19 infection. </w:t>
      </w:r>
      <w:proofErr w:type="spellStart"/>
      <w:r w:rsidRPr="008076E8">
        <w:rPr>
          <w:i/>
          <w:iCs/>
          <w:color w:val="000000" w:themeColor="text1"/>
          <w:sz w:val="22"/>
          <w:szCs w:val="22"/>
          <w:lang w:val="en-US"/>
        </w:rPr>
        <w:t>Occup</w:t>
      </w:r>
      <w:proofErr w:type="spellEnd"/>
      <w:r w:rsidRPr="008076E8">
        <w:rPr>
          <w:i/>
          <w:iCs/>
          <w:color w:val="000000" w:themeColor="text1"/>
          <w:sz w:val="22"/>
          <w:szCs w:val="22"/>
          <w:lang w:val="en-US"/>
        </w:rPr>
        <w:t xml:space="preserve"> Med, 70</w:t>
      </w:r>
      <w:r w:rsidRPr="008076E8">
        <w:rPr>
          <w:color w:val="000000" w:themeColor="text1"/>
          <w:sz w:val="22"/>
          <w:szCs w:val="22"/>
          <w:lang w:val="en-US"/>
        </w:rPr>
        <w:t xml:space="preserve">, 3-5. </w:t>
      </w:r>
      <w:proofErr w:type="spellStart"/>
      <w:r w:rsidRPr="008076E8">
        <w:rPr>
          <w:color w:val="000000" w:themeColor="text1"/>
          <w:sz w:val="22"/>
          <w:szCs w:val="22"/>
          <w:lang w:val="en-US"/>
        </w:rPr>
        <w:t>doi</w:t>
      </w:r>
      <w:proofErr w:type="spellEnd"/>
      <w:r w:rsidRPr="008076E8">
        <w:rPr>
          <w:color w:val="000000" w:themeColor="text1"/>
          <w:sz w:val="22"/>
          <w:szCs w:val="22"/>
          <w:lang w:val="en-US"/>
        </w:rPr>
        <w:t>: </w:t>
      </w:r>
      <w:hyperlink r:id="rId8" w:tgtFrame="_blank" w:history="1">
        <w:r w:rsidRPr="008076E8">
          <w:rPr>
            <w:color w:val="000000" w:themeColor="text1"/>
            <w:sz w:val="22"/>
            <w:szCs w:val="22"/>
            <w:lang w:val="en-US"/>
          </w:rPr>
          <w:t>10.1093/</w:t>
        </w:r>
        <w:proofErr w:type="spellStart"/>
        <w:r w:rsidRPr="008076E8">
          <w:rPr>
            <w:color w:val="000000" w:themeColor="text1"/>
            <w:sz w:val="22"/>
            <w:szCs w:val="22"/>
            <w:lang w:val="en-US"/>
          </w:rPr>
          <w:t>occmed</w:t>
        </w:r>
        <w:proofErr w:type="spellEnd"/>
        <w:r w:rsidRPr="008076E8">
          <w:rPr>
            <w:color w:val="000000" w:themeColor="text1"/>
            <w:sz w:val="22"/>
            <w:szCs w:val="22"/>
            <w:lang w:val="en-US"/>
          </w:rPr>
          <w:t>/kqaa036</w:t>
        </w:r>
      </w:hyperlink>
      <w:r w:rsidRPr="008076E8">
        <w:rPr>
          <w:color w:val="000000" w:themeColor="text1"/>
          <w:sz w:val="22"/>
          <w:szCs w:val="22"/>
          <w:lang w:val="en-US"/>
        </w:rPr>
        <w:t>.</w:t>
      </w:r>
    </w:p>
    <w:p w14:paraId="7ACE870B" w14:textId="77777777" w:rsidR="002E6D87" w:rsidRPr="008076E8" w:rsidRDefault="002E6D87" w:rsidP="008076E8">
      <w:pPr>
        <w:spacing w:line="480" w:lineRule="auto"/>
        <w:jc w:val="both"/>
        <w:rPr>
          <w:color w:val="000000" w:themeColor="text1"/>
          <w:sz w:val="22"/>
          <w:szCs w:val="22"/>
          <w:lang w:val="en-US"/>
        </w:rPr>
      </w:pPr>
      <w:r w:rsidRPr="008076E8">
        <w:rPr>
          <w:color w:val="000000" w:themeColor="text1"/>
          <w:sz w:val="22"/>
          <w:szCs w:val="22"/>
          <w:shd w:val="clear" w:color="auto" w:fill="FFFFFF"/>
          <w:lang w:val="en-US"/>
        </w:rPr>
        <w:t xml:space="preserve">Lai, J., </w:t>
      </w:r>
      <w:proofErr w:type="spellStart"/>
      <w:r w:rsidRPr="008076E8">
        <w:rPr>
          <w:color w:val="000000" w:themeColor="text1"/>
          <w:sz w:val="22"/>
          <w:szCs w:val="22"/>
          <w:shd w:val="clear" w:color="auto" w:fill="FFFFFF"/>
          <w:lang w:val="en-US"/>
        </w:rPr>
        <w:t>Simeng</w:t>
      </w:r>
      <w:proofErr w:type="spellEnd"/>
      <w:r w:rsidRPr="008076E8">
        <w:rPr>
          <w:color w:val="000000" w:themeColor="text1"/>
          <w:sz w:val="22"/>
          <w:szCs w:val="22"/>
          <w:shd w:val="clear" w:color="auto" w:fill="FFFFFF"/>
          <w:lang w:val="en-US"/>
        </w:rPr>
        <w:t xml:space="preserve">, M.A., Wang, Y, Cai, Z., Hu, J., Wei, N…Hu S. (2020). </w:t>
      </w:r>
      <w:r w:rsidRPr="008076E8">
        <w:rPr>
          <w:color w:val="000000" w:themeColor="text1"/>
          <w:sz w:val="22"/>
          <w:szCs w:val="22"/>
          <w:lang w:val="en-US"/>
        </w:rPr>
        <w:t xml:space="preserve">Factors Associated with Mental Health Outcomes Among Health Care Workers Exposed to Coronavirus Disease 2019. </w:t>
      </w:r>
      <w:r w:rsidRPr="008076E8">
        <w:rPr>
          <w:rStyle w:val="apple-converted-space"/>
          <w:i/>
          <w:iCs/>
          <w:color w:val="000000" w:themeColor="text1"/>
          <w:sz w:val="22"/>
          <w:szCs w:val="22"/>
          <w:lang w:val="en-US"/>
        </w:rPr>
        <w:t xml:space="preserve">JAMA </w:t>
      </w:r>
      <w:proofErr w:type="spellStart"/>
      <w:r w:rsidRPr="008076E8">
        <w:rPr>
          <w:rStyle w:val="apple-converted-space"/>
          <w:i/>
          <w:iCs/>
          <w:color w:val="000000" w:themeColor="text1"/>
          <w:sz w:val="22"/>
          <w:szCs w:val="22"/>
          <w:lang w:val="en-US"/>
        </w:rPr>
        <w:t>Netw</w:t>
      </w:r>
      <w:proofErr w:type="spellEnd"/>
      <w:r w:rsidRPr="008076E8">
        <w:rPr>
          <w:rStyle w:val="apple-converted-space"/>
          <w:i/>
          <w:iCs/>
          <w:color w:val="000000" w:themeColor="text1"/>
          <w:sz w:val="22"/>
          <w:szCs w:val="22"/>
          <w:lang w:val="en-US"/>
        </w:rPr>
        <w:t xml:space="preserve"> </w:t>
      </w:r>
      <w:r w:rsidRPr="008076E8">
        <w:rPr>
          <w:i/>
          <w:iCs/>
          <w:color w:val="000000" w:themeColor="text1"/>
          <w:sz w:val="22"/>
          <w:szCs w:val="22"/>
          <w:lang w:val="en-US"/>
        </w:rPr>
        <w:t>Open 2</w:t>
      </w:r>
      <w:r w:rsidRPr="008076E8">
        <w:rPr>
          <w:color w:val="000000" w:themeColor="text1"/>
          <w:sz w:val="22"/>
          <w:szCs w:val="22"/>
          <w:lang w:val="en-US"/>
        </w:rPr>
        <w:t>, 3(3</w:t>
      </w:r>
      <w:proofErr w:type="gramStart"/>
      <w:r w:rsidRPr="008076E8">
        <w:rPr>
          <w:color w:val="000000" w:themeColor="text1"/>
          <w:sz w:val="22"/>
          <w:szCs w:val="22"/>
          <w:lang w:val="en-US"/>
        </w:rPr>
        <w:t>):e</w:t>
      </w:r>
      <w:proofErr w:type="gramEnd"/>
      <w:r w:rsidRPr="008076E8">
        <w:rPr>
          <w:color w:val="000000" w:themeColor="text1"/>
          <w:sz w:val="22"/>
          <w:szCs w:val="22"/>
          <w:lang w:val="en-US"/>
        </w:rPr>
        <w:t xml:space="preserve">203976. </w:t>
      </w:r>
      <w:proofErr w:type="spellStart"/>
      <w:r w:rsidRPr="008076E8">
        <w:rPr>
          <w:color w:val="000000" w:themeColor="text1"/>
          <w:sz w:val="22"/>
          <w:szCs w:val="22"/>
          <w:lang w:val="en-US"/>
        </w:rPr>
        <w:t>doi</w:t>
      </w:r>
      <w:proofErr w:type="spellEnd"/>
      <w:r w:rsidRPr="008076E8">
        <w:rPr>
          <w:color w:val="000000" w:themeColor="text1"/>
          <w:sz w:val="22"/>
          <w:szCs w:val="22"/>
          <w:lang w:val="en-US"/>
        </w:rPr>
        <w:t>: 10.1001/jamanetworkopen.2020.3976.</w:t>
      </w:r>
    </w:p>
    <w:p w14:paraId="601FA92E" w14:textId="2101C59A" w:rsidR="002E6D87" w:rsidRPr="008076E8" w:rsidRDefault="002E6D87" w:rsidP="008076E8">
      <w:pPr>
        <w:spacing w:after="60" w:line="480" w:lineRule="auto"/>
        <w:jc w:val="both"/>
        <w:rPr>
          <w:color w:val="000000" w:themeColor="text1"/>
          <w:sz w:val="22"/>
          <w:szCs w:val="22"/>
          <w:lang w:val="en-US"/>
        </w:rPr>
      </w:pPr>
      <w:r w:rsidRPr="008076E8">
        <w:rPr>
          <w:color w:val="000000" w:themeColor="text1"/>
          <w:sz w:val="22"/>
          <w:szCs w:val="22"/>
          <w:shd w:val="clear" w:color="auto" w:fill="FFFFFF"/>
          <w:lang w:val="en-US"/>
        </w:rPr>
        <w:t xml:space="preserve">Lee, B., &amp; </w:t>
      </w:r>
      <w:proofErr w:type="spellStart"/>
      <w:r w:rsidRPr="008076E8">
        <w:rPr>
          <w:color w:val="000000" w:themeColor="text1"/>
          <w:sz w:val="22"/>
          <w:szCs w:val="22"/>
          <w:shd w:val="clear" w:color="auto" w:fill="FFFFFF"/>
          <w:lang w:val="en-US"/>
        </w:rPr>
        <w:t>Raszka</w:t>
      </w:r>
      <w:proofErr w:type="spellEnd"/>
      <w:r w:rsidRPr="008076E8">
        <w:rPr>
          <w:color w:val="000000" w:themeColor="text1"/>
          <w:sz w:val="22"/>
          <w:szCs w:val="22"/>
          <w:shd w:val="clear" w:color="auto" w:fill="FFFFFF"/>
          <w:lang w:val="en-US"/>
        </w:rPr>
        <w:t xml:space="preserve">, Jr. W.V. (2020). COVID-19 Transmission and Children: The Child is not to blame. </w:t>
      </w:r>
      <w:proofErr w:type="spellStart"/>
      <w:r w:rsidRPr="008076E8">
        <w:rPr>
          <w:i/>
          <w:iCs/>
          <w:color w:val="000000" w:themeColor="text1"/>
          <w:sz w:val="22"/>
          <w:szCs w:val="22"/>
          <w:shd w:val="clear" w:color="auto" w:fill="FFFFFF"/>
          <w:lang w:val="en-US"/>
        </w:rPr>
        <w:t>Pediarics</w:t>
      </w:r>
      <w:proofErr w:type="spellEnd"/>
      <w:r w:rsidRPr="008076E8">
        <w:rPr>
          <w:i/>
          <w:iCs/>
          <w:color w:val="000000" w:themeColor="text1"/>
          <w:sz w:val="22"/>
          <w:szCs w:val="22"/>
          <w:shd w:val="clear" w:color="auto" w:fill="FFFFFF"/>
          <w:lang w:val="en-US"/>
        </w:rPr>
        <w:t>, 14</w:t>
      </w:r>
      <w:r w:rsidRPr="008076E8">
        <w:rPr>
          <w:i/>
          <w:iCs/>
          <w:color w:val="000000" w:themeColor="text1"/>
          <w:sz w:val="22"/>
          <w:szCs w:val="22"/>
          <w:lang w:val="en-US"/>
        </w:rPr>
        <w:t>6</w:t>
      </w:r>
      <w:r w:rsidRPr="008076E8">
        <w:rPr>
          <w:color w:val="000000" w:themeColor="text1"/>
          <w:sz w:val="22"/>
          <w:szCs w:val="22"/>
          <w:lang w:val="en-US"/>
        </w:rPr>
        <w:t>(2</w:t>
      </w:r>
      <w:r w:rsidRPr="008076E8">
        <w:rPr>
          <w:i/>
          <w:iCs/>
          <w:color w:val="000000" w:themeColor="text1"/>
          <w:sz w:val="22"/>
          <w:szCs w:val="22"/>
          <w:lang w:val="en-US"/>
        </w:rPr>
        <w:t>)</w:t>
      </w:r>
      <w:r w:rsidRPr="008076E8">
        <w:rPr>
          <w:color w:val="000000" w:themeColor="text1"/>
          <w:sz w:val="22"/>
          <w:szCs w:val="22"/>
          <w:lang w:val="en-US"/>
        </w:rPr>
        <w:t xml:space="preserve">, e2020004879. </w:t>
      </w:r>
      <w:proofErr w:type="spellStart"/>
      <w:r w:rsidRPr="008076E8">
        <w:rPr>
          <w:color w:val="000000" w:themeColor="text1"/>
          <w:sz w:val="22"/>
          <w:szCs w:val="22"/>
          <w:lang w:val="en-US"/>
        </w:rPr>
        <w:t>doi</w:t>
      </w:r>
      <w:proofErr w:type="spellEnd"/>
      <w:r w:rsidRPr="008076E8">
        <w:rPr>
          <w:color w:val="000000" w:themeColor="text1"/>
          <w:sz w:val="22"/>
          <w:szCs w:val="22"/>
          <w:lang w:val="en-US"/>
        </w:rPr>
        <w:t>: 10.1542/peds.2020-004879.</w:t>
      </w:r>
    </w:p>
    <w:p w14:paraId="7A6DB81D" w14:textId="565CE7A5" w:rsidR="002F07AD" w:rsidRPr="008076E8" w:rsidRDefault="005943D8" w:rsidP="008076E8">
      <w:pPr>
        <w:autoSpaceDE w:val="0"/>
        <w:autoSpaceDN w:val="0"/>
        <w:adjustRightInd w:val="0"/>
        <w:spacing w:line="480" w:lineRule="auto"/>
        <w:jc w:val="both"/>
        <w:rPr>
          <w:rFonts w:eastAsiaTheme="minorHAnsi"/>
          <w:sz w:val="22"/>
          <w:szCs w:val="22"/>
          <w:lang w:eastAsia="en-US"/>
        </w:rPr>
      </w:pPr>
      <w:proofErr w:type="spellStart"/>
      <w:r w:rsidRPr="008076E8">
        <w:rPr>
          <w:rFonts w:eastAsiaTheme="minorHAnsi"/>
          <w:sz w:val="22"/>
          <w:szCs w:val="22"/>
          <w:highlight w:val="yellow"/>
          <w:lang w:eastAsia="en-US"/>
        </w:rPr>
        <w:t>Liu</w:t>
      </w:r>
      <w:proofErr w:type="spellEnd"/>
      <w:r w:rsidRPr="008076E8">
        <w:rPr>
          <w:rFonts w:eastAsiaTheme="minorHAnsi"/>
          <w:sz w:val="22"/>
          <w:szCs w:val="22"/>
          <w:highlight w:val="yellow"/>
          <w:lang w:eastAsia="en-US"/>
        </w:rPr>
        <w:t xml:space="preserve">, X., </w:t>
      </w:r>
      <w:proofErr w:type="spellStart"/>
      <w:r w:rsidRPr="008076E8">
        <w:rPr>
          <w:rFonts w:eastAsiaTheme="minorHAnsi"/>
          <w:sz w:val="22"/>
          <w:szCs w:val="22"/>
          <w:highlight w:val="yellow"/>
          <w:lang w:eastAsia="en-US"/>
        </w:rPr>
        <w:t>Kakade</w:t>
      </w:r>
      <w:proofErr w:type="spellEnd"/>
      <w:r w:rsidRPr="008076E8">
        <w:rPr>
          <w:rFonts w:eastAsiaTheme="minorHAnsi"/>
          <w:sz w:val="22"/>
          <w:szCs w:val="22"/>
          <w:highlight w:val="yellow"/>
          <w:lang w:eastAsia="en-US"/>
        </w:rPr>
        <w:t xml:space="preserve">, M., Fuller, C.J., Fan, B., </w:t>
      </w:r>
      <w:proofErr w:type="spellStart"/>
      <w:r w:rsidRPr="008076E8">
        <w:rPr>
          <w:rFonts w:eastAsiaTheme="minorHAnsi"/>
          <w:sz w:val="22"/>
          <w:szCs w:val="22"/>
          <w:highlight w:val="yellow"/>
          <w:lang w:eastAsia="en-US"/>
        </w:rPr>
        <w:t>Fang</w:t>
      </w:r>
      <w:proofErr w:type="spellEnd"/>
      <w:r w:rsidRPr="008076E8">
        <w:rPr>
          <w:rFonts w:eastAsiaTheme="minorHAnsi"/>
          <w:sz w:val="22"/>
          <w:szCs w:val="22"/>
          <w:highlight w:val="yellow"/>
          <w:lang w:eastAsia="en-US"/>
        </w:rPr>
        <w:t xml:space="preserve">, Y., Kong, J., </w:t>
      </w:r>
      <w:proofErr w:type="spellStart"/>
      <w:r w:rsidR="002F07AD" w:rsidRPr="008076E8">
        <w:rPr>
          <w:rFonts w:eastAsiaTheme="minorHAnsi"/>
          <w:sz w:val="22"/>
          <w:szCs w:val="22"/>
          <w:highlight w:val="yellow"/>
          <w:lang w:eastAsia="en-US"/>
        </w:rPr>
        <w:t>Wu</w:t>
      </w:r>
      <w:proofErr w:type="spellEnd"/>
      <w:r w:rsidR="002F07AD" w:rsidRPr="008076E8">
        <w:rPr>
          <w:rFonts w:eastAsiaTheme="minorHAnsi"/>
          <w:sz w:val="22"/>
          <w:szCs w:val="22"/>
          <w:highlight w:val="yellow"/>
          <w:lang w:eastAsia="en-US"/>
        </w:rPr>
        <w:t xml:space="preserve"> P</w:t>
      </w:r>
      <w:r w:rsidRPr="008076E8">
        <w:rPr>
          <w:rFonts w:eastAsiaTheme="minorHAnsi"/>
          <w:sz w:val="22"/>
          <w:szCs w:val="22"/>
          <w:highlight w:val="yellow"/>
          <w:lang w:eastAsia="en-US"/>
        </w:rPr>
        <w:t xml:space="preserve">. </w:t>
      </w:r>
      <w:r w:rsidR="00466712" w:rsidRPr="008076E8">
        <w:rPr>
          <w:rFonts w:eastAsiaTheme="minorHAnsi"/>
          <w:sz w:val="22"/>
          <w:szCs w:val="22"/>
          <w:highlight w:val="yellow"/>
          <w:lang w:eastAsia="en-US"/>
        </w:rPr>
        <w:t>(</w:t>
      </w:r>
      <w:r w:rsidRPr="008076E8">
        <w:rPr>
          <w:rFonts w:eastAsiaTheme="minorHAnsi"/>
          <w:sz w:val="22"/>
          <w:szCs w:val="22"/>
          <w:highlight w:val="yellow"/>
          <w:lang w:eastAsia="en-US"/>
        </w:rPr>
        <w:t>2012</w:t>
      </w:r>
      <w:r w:rsidR="00466712" w:rsidRPr="008076E8">
        <w:rPr>
          <w:rFonts w:eastAsiaTheme="minorHAnsi"/>
          <w:sz w:val="22"/>
          <w:szCs w:val="22"/>
          <w:highlight w:val="yellow"/>
          <w:lang w:eastAsia="en-US"/>
        </w:rPr>
        <w:t>)</w:t>
      </w:r>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Depression</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after</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exposure</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to</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stressful</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events</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lessons</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learned</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from</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the</w:t>
      </w:r>
      <w:proofErr w:type="spellEnd"/>
      <w:r w:rsidRPr="008076E8">
        <w:rPr>
          <w:rFonts w:eastAsiaTheme="minorHAnsi"/>
          <w:sz w:val="22"/>
          <w:szCs w:val="22"/>
          <w:highlight w:val="yellow"/>
          <w:lang w:eastAsia="en-US"/>
        </w:rPr>
        <w:t xml:space="preserve"> severe </w:t>
      </w:r>
      <w:proofErr w:type="spellStart"/>
      <w:r w:rsidRPr="008076E8">
        <w:rPr>
          <w:rFonts w:eastAsiaTheme="minorHAnsi"/>
          <w:sz w:val="22"/>
          <w:szCs w:val="22"/>
          <w:highlight w:val="yellow"/>
          <w:lang w:eastAsia="en-US"/>
        </w:rPr>
        <w:t>acute</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respiratory</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syndrome</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epidemic</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Compr</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Psychiatry</w:t>
      </w:r>
      <w:proofErr w:type="spellEnd"/>
      <w:r w:rsidRPr="008076E8">
        <w:rPr>
          <w:rFonts w:eastAsiaTheme="minorHAnsi"/>
          <w:sz w:val="22"/>
          <w:szCs w:val="22"/>
          <w:highlight w:val="yellow"/>
          <w:lang w:eastAsia="en-US"/>
        </w:rPr>
        <w:t xml:space="preserve"> 53 (1), 15–23.</w:t>
      </w:r>
      <w:r w:rsidR="002F07AD" w:rsidRPr="008076E8">
        <w:rPr>
          <w:rFonts w:eastAsiaTheme="minorHAnsi"/>
          <w:sz w:val="22"/>
          <w:szCs w:val="22"/>
          <w:highlight w:val="yellow"/>
          <w:lang w:eastAsia="en-US"/>
        </w:rPr>
        <w:t xml:space="preserve"> </w:t>
      </w:r>
      <w:proofErr w:type="spellStart"/>
      <w:r w:rsidR="002F07AD" w:rsidRPr="008076E8">
        <w:rPr>
          <w:color w:val="000000" w:themeColor="text1"/>
          <w:sz w:val="22"/>
          <w:szCs w:val="22"/>
          <w:highlight w:val="yellow"/>
          <w:shd w:val="clear" w:color="auto" w:fill="FFFFFF"/>
        </w:rPr>
        <w:t>doi</w:t>
      </w:r>
      <w:proofErr w:type="spellEnd"/>
      <w:r w:rsidR="002F07AD" w:rsidRPr="008076E8">
        <w:rPr>
          <w:color w:val="000000" w:themeColor="text1"/>
          <w:sz w:val="22"/>
          <w:szCs w:val="22"/>
          <w:highlight w:val="yellow"/>
          <w:shd w:val="clear" w:color="auto" w:fill="FFFFFF"/>
        </w:rPr>
        <w:t>: 10.1016/j.comppsych.2011.02.003.</w:t>
      </w:r>
    </w:p>
    <w:p w14:paraId="51954B40" w14:textId="61DBE0A3" w:rsidR="002F07AD" w:rsidRPr="008076E8" w:rsidRDefault="00AD42D1" w:rsidP="008076E8">
      <w:pPr>
        <w:spacing w:before="100" w:beforeAutospacing="1" w:after="100" w:afterAutospacing="1" w:line="480" w:lineRule="auto"/>
        <w:jc w:val="both"/>
        <w:rPr>
          <w:color w:val="000000" w:themeColor="text1"/>
          <w:sz w:val="22"/>
          <w:szCs w:val="22"/>
          <w:shd w:val="clear" w:color="auto" w:fill="FFFFFF"/>
        </w:rPr>
      </w:pPr>
      <w:r w:rsidRPr="008076E8">
        <w:rPr>
          <w:color w:val="000000" w:themeColor="text1"/>
          <w:sz w:val="22"/>
          <w:szCs w:val="22"/>
          <w:highlight w:val="yellow"/>
          <w:shd w:val="clear" w:color="auto" w:fill="FFFFFF"/>
        </w:rPr>
        <w:t xml:space="preserve">Lloyd, C, </w:t>
      </w:r>
      <w:proofErr w:type="spellStart"/>
      <w:r w:rsidRPr="008076E8">
        <w:rPr>
          <w:color w:val="000000" w:themeColor="text1"/>
          <w:sz w:val="22"/>
          <w:szCs w:val="22"/>
          <w:highlight w:val="yellow"/>
          <w:shd w:val="clear" w:color="auto" w:fill="FFFFFF"/>
        </w:rPr>
        <w:t>King</w:t>
      </w:r>
      <w:proofErr w:type="spellEnd"/>
      <w:r w:rsidR="00466712" w:rsidRPr="008076E8">
        <w:rPr>
          <w:color w:val="000000" w:themeColor="text1"/>
          <w:sz w:val="22"/>
          <w:szCs w:val="22"/>
          <w:highlight w:val="yellow"/>
          <w:shd w:val="clear" w:color="auto" w:fill="FFFFFF"/>
        </w:rPr>
        <w:t xml:space="preserve"> R</w:t>
      </w:r>
      <w:r w:rsidRPr="008076E8">
        <w:rPr>
          <w:color w:val="000000" w:themeColor="text1"/>
          <w:sz w:val="22"/>
          <w:szCs w:val="22"/>
          <w:highlight w:val="yellow"/>
          <w:shd w:val="clear" w:color="auto" w:fill="FFFFFF"/>
        </w:rPr>
        <w:t>,</w:t>
      </w:r>
      <w:r w:rsidR="00466712" w:rsidRPr="008076E8">
        <w:rPr>
          <w:color w:val="000000" w:themeColor="text1"/>
          <w:sz w:val="22"/>
          <w:szCs w:val="22"/>
          <w:highlight w:val="yellow"/>
          <w:shd w:val="clear" w:color="auto" w:fill="FFFFFF"/>
        </w:rPr>
        <w:t xml:space="preserve"> &amp;</w:t>
      </w:r>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Chenoweth</w:t>
      </w:r>
      <w:proofErr w:type="spellEnd"/>
      <w:r w:rsidR="00466712" w:rsidRPr="008076E8">
        <w:rPr>
          <w:color w:val="000000" w:themeColor="text1"/>
          <w:sz w:val="22"/>
          <w:szCs w:val="22"/>
          <w:highlight w:val="yellow"/>
          <w:shd w:val="clear" w:color="auto" w:fill="FFFFFF"/>
        </w:rPr>
        <w:t xml:space="preserve"> L</w:t>
      </w:r>
      <w:r w:rsidRPr="008076E8">
        <w:rPr>
          <w:color w:val="000000" w:themeColor="text1"/>
          <w:sz w:val="22"/>
          <w:szCs w:val="22"/>
          <w:highlight w:val="yellow"/>
          <w:shd w:val="clear" w:color="auto" w:fill="FFFFFF"/>
        </w:rPr>
        <w:t>.</w:t>
      </w:r>
      <w:r w:rsidR="00466712" w:rsidRPr="008076E8">
        <w:rPr>
          <w:color w:val="000000" w:themeColor="text1"/>
          <w:sz w:val="22"/>
          <w:szCs w:val="22"/>
          <w:highlight w:val="yellow"/>
          <w:shd w:val="clear" w:color="auto" w:fill="FFFFFF"/>
        </w:rPr>
        <w:t xml:space="preserve"> (2011) </w:t>
      </w:r>
      <w:proofErr w:type="spellStart"/>
      <w:r w:rsidRPr="008076E8">
        <w:rPr>
          <w:color w:val="000000" w:themeColor="text1"/>
          <w:sz w:val="22"/>
          <w:szCs w:val="22"/>
          <w:highlight w:val="yellow"/>
          <w:shd w:val="clear" w:color="auto" w:fill="FFFFFF"/>
        </w:rPr>
        <w:t>Social</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work</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stress</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and</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burnout</w:t>
      </w:r>
      <w:proofErr w:type="spellEnd"/>
      <w:r w:rsidRPr="008076E8">
        <w:rPr>
          <w:color w:val="000000" w:themeColor="text1"/>
          <w:sz w:val="22"/>
          <w:szCs w:val="22"/>
          <w:highlight w:val="yellow"/>
          <w:shd w:val="clear" w:color="auto" w:fill="FFFFFF"/>
        </w:rPr>
        <w:t xml:space="preserve">: A </w:t>
      </w:r>
      <w:proofErr w:type="spellStart"/>
      <w:r w:rsidRPr="008076E8">
        <w:rPr>
          <w:color w:val="000000" w:themeColor="text1"/>
          <w:sz w:val="22"/>
          <w:szCs w:val="22"/>
          <w:highlight w:val="yellow"/>
          <w:shd w:val="clear" w:color="auto" w:fill="FFFFFF"/>
        </w:rPr>
        <w:t>review</w:t>
      </w:r>
      <w:proofErr w:type="spellEnd"/>
      <w:r w:rsidRPr="008076E8">
        <w:rPr>
          <w:color w:val="000000" w:themeColor="text1"/>
          <w:sz w:val="22"/>
          <w:szCs w:val="22"/>
          <w:highlight w:val="yellow"/>
          <w:shd w:val="clear" w:color="auto" w:fill="FFFFFF"/>
        </w:rPr>
        <w:t>. </w:t>
      </w:r>
      <w:proofErr w:type="spellStart"/>
      <w:r w:rsidRPr="008076E8">
        <w:rPr>
          <w:i/>
          <w:iCs/>
          <w:color w:val="000000" w:themeColor="text1"/>
          <w:sz w:val="22"/>
          <w:szCs w:val="22"/>
          <w:highlight w:val="yellow"/>
        </w:rPr>
        <w:t>Journal</w:t>
      </w:r>
      <w:proofErr w:type="spellEnd"/>
      <w:r w:rsidRPr="008076E8">
        <w:rPr>
          <w:i/>
          <w:iCs/>
          <w:color w:val="000000" w:themeColor="text1"/>
          <w:sz w:val="22"/>
          <w:szCs w:val="22"/>
          <w:highlight w:val="yellow"/>
        </w:rPr>
        <w:t xml:space="preserve"> of </w:t>
      </w:r>
      <w:proofErr w:type="spellStart"/>
      <w:r w:rsidRPr="008076E8">
        <w:rPr>
          <w:i/>
          <w:iCs/>
          <w:color w:val="000000" w:themeColor="text1"/>
          <w:sz w:val="22"/>
          <w:szCs w:val="22"/>
          <w:highlight w:val="yellow"/>
        </w:rPr>
        <w:t>mental</w:t>
      </w:r>
      <w:proofErr w:type="spellEnd"/>
      <w:r w:rsidRPr="008076E8">
        <w:rPr>
          <w:i/>
          <w:iCs/>
          <w:color w:val="000000" w:themeColor="text1"/>
          <w:sz w:val="22"/>
          <w:szCs w:val="22"/>
          <w:highlight w:val="yellow"/>
        </w:rPr>
        <w:t xml:space="preserve"> </w:t>
      </w:r>
      <w:proofErr w:type="spellStart"/>
      <w:r w:rsidRPr="008076E8">
        <w:rPr>
          <w:i/>
          <w:iCs/>
          <w:color w:val="000000" w:themeColor="text1"/>
          <w:sz w:val="22"/>
          <w:szCs w:val="22"/>
          <w:highlight w:val="yellow"/>
        </w:rPr>
        <w:t>health</w:t>
      </w:r>
      <w:proofErr w:type="spellEnd"/>
      <w:r w:rsidRPr="008076E8">
        <w:rPr>
          <w:color w:val="000000" w:themeColor="text1"/>
          <w:sz w:val="22"/>
          <w:szCs w:val="22"/>
          <w:highlight w:val="yellow"/>
          <w:shd w:val="clear" w:color="auto" w:fill="FFFFFF"/>
        </w:rPr>
        <w:t> 11</w:t>
      </w:r>
      <w:r w:rsidR="00466712" w:rsidRPr="008076E8">
        <w:rPr>
          <w:color w:val="000000" w:themeColor="text1"/>
          <w:sz w:val="22"/>
          <w:szCs w:val="22"/>
          <w:highlight w:val="yellow"/>
          <w:shd w:val="clear" w:color="auto" w:fill="FFFFFF"/>
        </w:rPr>
        <w:t>(</w:t>
      </w:r>
      <w:r w:rsidRPr="008076E8">
        <w:rPr>
          <w:color w:val="000000" w:themeColor="text1"/>
          <w:sz w:val="22"/>
          <w:szCs w:val="22"/>
          <w:highlight w:val="yellow"/>
          <w:shd w:val="clear" w:color="auto" w:fill="FFFFFF"/>
        </w:rPr>
        <w:t>3</w:t>
      </w:r>
      <w:r w:rsidR="00466712" w:rsidRPr="008076E8">
        <w:rPr>
          <w:color w:val="000000" w:themeColor="text1"/>
          <w:sz w:val="22"/>
          <w:szCs w:val="22"/>
          <w:highlight w:val="yellow"/>
          <w:shd w:val="clear" w:color="auto" w:fill="FFFFFF"/>
        </w:rPr>
        <w:t>)</w:t>
      </w:r>
      <w:r w:rsidRPr="008076E8">
        <w:rPr>
          <w:color w:val="000000" w:themeColor="text1"/>
          <w:sz w:val="22"/>
          <w:szCs w:val="22"/>
          <w:highlight w:val="yellow"/>
          <w:shd w:val="clear" w:color="auto" w:fill="FFFFFF"/>
        </w:rPr>
        <w:t>: 255-265.</w:t>
      </w:r>
      <w:r w:rsidR="002F07AD" w:rsidRPr="008076E8">
        <w:rPr>
          <w:color w:val="000000" w:themeColor="text1"/>
          <w:sz w:val="22"/>
          <w:szCs w:val="22"/>
          <w:highlight w:val="yellow"/>
          <w:shd w:val="clear" w:color="auto" w:fill="FFFFFF"/>
        </w:rPr>
        <w:t xml:space="preserve"> </w:t>
      </w:r>
      <w:proofErr w:type="spellStart"/>
      <w:r w:rsidR="002F07AD" w:rsidRPr="008076E8">
        <w:rPr>
          <w:color w:val="000000" w:themeColor="text1"/>
          <w:sz w:val="22"/>
          <w:szCs w:val="22"/>
          <w:highlight w:val="yellow"/>
          <w:shd w:val="clear" w:color="auto" w:fill="FFFFFF"/>
        </w:rPr>
        <w:t>doi</w:t>
      </w:r>
      <w:proofErr w:type="spellEnd"/>
      <w:r w:rsidR="002F07AD" w:rsidRPr="008076E8">
        <w:rPr>
          <w:color w:val="000000" w:themeColor="text1"/>
          <w:sz w:val="22"/>
          <w:szCs w:val="22"/>
          <w:highlight w:val="yellow"/>
          <w:shd w:val="clear" w:color="auto" w:fill="FFFFFF"/>
        </w:rPr>
        <w:t>:</w:t>
      </w:r>
      <w:r w:rsidR="002F07AD" w:rsidRPr="008076E8">
        <w:rPr>
          <w:rStyle w:val="apple-converted-space"/>
          <w:color w:val="000000" w:themeColor="text1"/>
          <w:sz w:val="22"/>
          <w:szCs w:val="22"/>
          <w:highlight w:val="yellow"/>
          <w:shd w:val="clear" w:color="auto" w:fill="FFFFFF"/>
        </w:rPr>
        <w:t> </w:t>
      </w:r>
      <w:hyperlink r:id="rId9" w:tgtFrame="_blank" w:history="1">
        <w:r w:rsidR="002F07AD" w:rsidRPr="008076E8">
          <w:rPr>
            <w:rStyle w:val="Kpr"/>
            <w:color w:val="000000" w:themeColor="text1"/>
            <w:sz w:val="22"/>
            <w:szCs w:val="22"/>
            <w:highlight w:val="yellow"/>
            <w:u w:val="none"/>
            <w:bdr w:val="none" w:sz="0" w:space="0" w:color="auto" w:frame="1"/>
          </w:rPr>
          <w:t>10.1080/09638230020023642</w:t>
        </w:r>
      </w:hyperlink>
      <w:r w:rsidR="002F07AD" w:rsidRPr="008076E8">
        <w:rPr>
          <w:color w:val="000000" w:themeColor="text1"/>
          <w:sz w:val="22"/>
          <w:szCs w:val="22"/>
        </w:rPr>
        <w:t>.</w:t>
      </w:r>
    </w:p>
    <w:p w14:paraId="0BA0289F" w14:textId="77777777" w:rsidR="008076E8" w:rsidRPr="008076E8" w:rsidRDefault="002E6D87" w:rsidP="008076E8">
      <w:pPr>
        <w:spacing w:before="100" w:beforeAutospacing="1" w:after="100" w:afterAutospacing="1" w:line="480" w:lineRule="auto"/>
        <w:jc w:val="both"/>
        <w:rPr>
          <w:sz w:val="22"/>
          <w:szCs w:val="22"/>
          <w:lang w:val="en-US"/>
        </w:rPr>
      </w:pPr>
      <w:r w:rsidRPr="008076E8">
        <w:rPr>
          <w:sz w:val="22"/>
          <w:szCs w:val="22"/>
          <w:lang w:val="en-US"/>
        </w:rPr>
        <w:lastRenderedPageBreak/>
        <w:t xml:space="preserve">Lovibond PF, Lovibond SH. </w:t>
      </w:r>
      <w:r w:rsidR="002F07AD" w:rsidRPr="008076E8">
        <w:rPr>
          <w:sz w:val="22"/>
          <w:szCs w:val="22"/>
          <w:lang w:val="en-US"/>
        </w:rPr>
        <w:t xml:space="preserve">(1995). </w:t>
      </w:r>
      <w:r w:rsidRPr="008076E8">
        <w:rPr>
          <w:sz w:val="22"/>
          <w:szCs w:val="22"/>
          <w:lang w:val="en-US"/>
        </w:rPr>
        <w:t xml:space="preserve">The structure of negative emotional states: com-parison of the Depression Anxiety Stress Scales (DASS) with the beck depression and anxiety inventories. </w:t>
      </w:r>
      <w:proofErr w:type="spellStart"/>
      <w:r w:rsidRPr="008076E8">
        <w:rPr>
          <w:sz w:val="22"/>
          <w:szCs w:val="22"/>
          <w:lang w:val="en-US"/>
        </w:rPr>
        <w:t>Behav</w:t>
      </w:r>
      <w:proofErr w:type="spellEnd"/>
      <w:r w:rsidRPr="008076E8">
        <w:rPr>
          <w:sz w:val="22"/>
          <w:szCs w:val="22"/>
          <w:lang w:val="en-US"/>
        </w:rPr>
        <w:t xml:space="preserve"> Res </w:t>
      </w:r>
      <w:proofErr w:type="spellStart"/>
      <w:r w:rsidRPr="008076E8">
        <w:rPr>
          <w:sz w:val="22"/>
          <w:szCs w:val="22"/>
          <w:lang w:val="en-US"/>
        </w:rPr>
        <w:t>Ther</w:t>
      </w:r>
      <w:proofErr w:type="spellEnd"/>
      <w:r w:rsidR="002F07AD" w:rsidRPr="008076E8">
        <w:rPr>
          <w:sz w:val="22"/>
          <w:szCs w:val="22"/>
          <w:lang w:val="en-US"/>
        </w:rPr>
        <w:t xml:space="preserve"> </w:t>
      </w:r>
      <w:r w:rsidRPr="008076E8">
        <w:rPr>
          <w:sz w:val="22"/>
          <w:szCs w:val="22"/>
          <w:lang w:val="en-US"/>
        </w:rPr>
        <w:t>33 (3): 335–343.</w:t>
      </w:r>
    </w:p>
    <w:p w14:paraId="5128129D" w14:textId="5DF4990B" w:rsidR="002E6D87" w:rsidRPr="008076E8" w:rsidRDefault="002E6D87" w:rsidP="008076E8">
      <w:pPr>
        <w:spacing w:before="100" w:beforeAutospacing="1" w:after="100" w:afterAutospacing="1" w:line="480" w:lineRule="auto"/>
        <w:jc w:val="both"/>
        <w:rPr>
          <w:sz w:val="22"/>
          <w:szCs w:val="22"/>
          <w:lang w:val="en-US"/>
        </w:rPr>
      </w:pPr>
      <w:r w:rsidRPr="008076E8">
        <w:rPr>
          <w:color w:val="000000" w:themeColor="text1"/>
          <w:sz w:val="22"/>
          <w:szCs w:val="22"/>
          <w:lang w:val="en-US"/>
        </w:rPr>
        <w:t xml:space="preserve">Lu, Y., Li, Y., Deng, W., Liu, M., He, Y., Huang, L…Du, H. (2020) Symptomatic Infection is Associated with Prolonged Duration of Viral Shedding in Mild Coronavirus Disease 2019: A Retrospective Study of 110 Children in </w:t>
      </w:r>
      <w:proofErr w:type="spellStart"/>
      <w:r w:rsidRPr="008076E8">
        <w:rPr>
          <w:color w:val="000000" w:themeColor="text1"/>
          <w:sz w:val="22"/>
          <w:szCs w:val="22"/>
          <w:lang w:val="en-US"/>
        </w:rPr>
        <w:t>Wuhan.</w:t>
      </w:r>
      <w:r w:rsidRPr="008076E8">
        <w:rPr>
          <w:i/>
          <w:iCs/>
          <w:color w:val="000000" w:themeColor="text1"/>
          <w:sz w:val="22"/>
          <w:szCs w:val="22"/>
          <w:lang w:val="en-US"/>
        </w:rPr>
        <w:t>Pediatr</w:t>
      </w:r>
      <w:proofErr w:type="spellEnd"/>
      <w:r w:rsidRPr="008076E8">
        <w:rPr>
          <w:i/>
          <w:iCs/>
          <w:color w:val="000000" w:themeColor="text1"/>
          <w:sz w:val="22"/>
          <w:szCs w:val="22"/>
          <w:lang w:val="en-US"/>
        </w:rPr>
        <w:t xml:space="preserve"> Infect Dis J, 39</w:t>
      </w:r>
      <w:r w:rsidRPr="008076E8">
        <w:rPr>
          <w:color w:val="000000" w:themeColor="text1"/>
          <w:sz w:val="22"/>
          <w:szCs w:val="22"/>
          <w:lang w:val="en-US"/>
        </w:rPr>
        <w:t>(7</w:t>
      </w:r>
      <w:proofErr w:type="gramStart"/>
      <w:r w:rsidRPr="008076E8">
        <w:rPr>
          <w:color w:val="000000" w:themeColor="text1"/>
          <w:sz w:val="22"/>
          <w:szCs w:val="22"/>
          <w:lang w:val="en-US"/>
        </w:rPr>
        <w:t>),e</w:t>
      </w:r>
      <w:proofErr w:type="gramEnd"/>
      <w:r w:rsidRPr="008076E8">
        <w:rPr>
          <w:color w:val="000000" w:themeColor="text1"/>
          <w:sz w:val="22"/>
          <w:szCs w:val="22"/>
          <w:lang w:val="en-US"/>
        </w:rPr>
        <w:t xml:space="preserve">95-99.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10.1097/INF.0000000000002729.</w:t>
      </w:r>
    </w:p>
    <w:p w14:paraId="095F03E7" w14:textId="59EA0F81" w:rsidR="002E6D87" w:rsidRPr="008076E8" w:rsidRDefault="002E6D87" w:rsidP="008076E8">
      <w:pPr>
        <w:spacing w:line="480" w:lineRule="auto"/>
        <w:jc w:val="both"/>
        <w:rPr>
          <w:rStyle w:val="citation-doi"/>
          <w:color w:val="000000" w:themeColor="text1"/>
          <w:sz w:val="22"/>
          <w:szCs w:val="22"/>
          <w:lang w:val="en-US"/>
        </w:rPr>
      </w:pPr>
      <w:r w:rsidRPr="008076E8">
        <w:rPr>
          <w:color w:val="000000" w:themeColor="text1"/>
          <w:sz w:val="22"/>
          <w:szCs w:val="22"/>
          <w:lang w:val="en-US"/>
        </w:rPr>
        <w:t xml:space="preserve">Luo, M., Guo, L., Yu, M., Jiang, W., </w:t>
      </w:r>
      <w:r w:rsidRPr="008076E8">
        <w:rPr>
          <w:color w:val="000000" w:themeColor="text1"/>
          <w:sz w:val="22"/>
          <w:szCs w:val="22"/>
          <w:shd w:val="clear" w:color="auto" w:fill="FFFFFF"/>
          <w:lang w:val="en-US"/>
        </w:rPr>
        <w:t xml:space="preserve">&amp; </w:t>
      </w:r>
      <w:r w:rsidRPr="008076E8">
        <w:rPr>
          <w:color w:val="000000" w:themeColor="text1"/>
          <w:sz w:val="22"/>
          <w:szCs w:val="22"/>
          <w:lang w:val="en-US"/>
        </w:rPr>
        <w:t xml:space="preserve">Wang, H. (2020). The psychological and mental impact of coronavirus disease 2019 (COVID- 19) on medical staff and general public – A systematic review and meta- analysis. </w:t>
      </w:r>
      <w:r w:rsidRPr="008076E8">
        <w:rPr>
          <w:i/>
          <w:iCs/>
          <w:color w:val="000000" w:themeColor="text1"/>
          <w:sz w:val="22"/>
          <w:szCs w:val="22"/>
          <w:lang w:val="en-US"/>
        </w:rPr>
        <w:t xml:space="preserve">Psychiatry Res, </w:t>
      </w:r>
      <w:r w:rsidRPr="008076E8">
        <w:rPr>
          <w:rStyle w:val="cit"/>
          <w:i/>
          <w:iCs/>
          <w:color w:val="000000" w:themeColor="text1"/>
          <w:sz w:val="22"/>
          <w:szCs w:val="22"/>
          <w:lang w:val="en-US"/>
        </w:rPr>
        <w:t>291</w:t>
      </w:r>
      <w:r w:rsidRPr="008076E8">
        <w:rPr>
          <w:rStyle w:val="cit"/>
          <w:color w:val="000000" w:themeColor="text1"/>
          <w:sz w:val="22"/>
          <w:szCs w:val="22"/>
          <w:lang w:val="en-US"/>
        </w:rPr>
        <w:t>:113190.</w:t>
      </w:r>
      <w:r w:rsidRPr="008076E8">
        <w:rPr>
          <w:rStyle w:val="apple-converted-space"/>
          <w:color w:val="000000" w:themeColor="text1"/>
          <w:sz w:val="22"/>
          <w:szCs w:val="22"/>
          <w:shd w:val="clear" w:color="auto" w:fill="FFFFFF"/>
          <w:lang w:val="en-US"/>
        </w:rPr>
        <w:t xml:space="preserve">  </w:t>
      </w:r>
      <w:proofErr w:type="spellStart"/>
      <w:r w:rsidRPr="008076E8">
        <w:rPr>
          <w:rStyle w:val="citation-doi"/>
          <w:color w:val="000000" w:themeColor="text1"/>
          <w:sz w:val="22"/>
          <w:szCs w:val="22"/>
          <w:lang w:val="en-US"/>
        </w:rPr>
        <w:t>doi</w:t>
      </w:r>
      <w:proofErr w:type="spellEnd"/>
      <w:r w:rsidRPr="008076E8">
        <w:rPr>
          <w:rStyle w:val="citation-doi"/>
          <w:color w:val="000000" w:themeColor="text1"/>
          <w:sz w:val="22"/>
          <w:szCs w:val="22"/>
          <w:lang w:val="en-US"/>
        </w:rPr>
        <w:t>: 10.1016/j.psychres.2020.113190.</w:t>
      </w:r>
    </w:p>
    <w:p w14:paraId="65D73905" w14:textId="7FEBAE2D" w:rsidR="002F07AD" w:rsidRPr="008076E8" w:rsidRDefault="0038531E" w:rsidP="008076E8">
      <w:pPr>
        <w:autoSpaceDE w:val="0"/>
        <w:autoSpaceDN w:val="0"/>
        <w:adjustRightInd w:val="0"/>
        <w:spacing w:line="480" w:lineRule="auto"/>
        <w:jc w:val="both"/>
        <w:rPr>
          <w:rStyle w:val="citation-doi"/>
          <w:rFonts w:eastAsiaTheme="minorHAnsi"/>
          <w:sz w:val="22"/>
          <w:szCs w:val="22"/>
          <w:lang w:eastAsia="en-US"/>
        </w:rPr>
      </w:pPr>
      <w:proofErr w:type="spellStart"/>
      <w:r w:rsidRPr="008076E8">
        <w:rPr>
          <w:rFonts w:eastAsiaTheme="minorHAnsi"/>
          <w:sz w:val="22"/>
          <w:szCs w:val="22"/>
          <w:highlight w:val="yellow"/>
          <w:lang w:eastAsia="en-US"/>
        </w:rPr>
        <w:t>Mak</w:t>
      </w:r>
      <w:proofErr w:type="spellEnd"/>
      <w:r w:rsidRPr="008076E8">
        <w:rPr>
          <w:rFonts w:eastAsiaTheme="minorHAnsi"/>
          <w:sz w:val="22"/>
          <w:szCs w:val="22"/>
          <w:highlight w:val="yellow"/>
          <w:lang w:eastAsia="en-US"/>
        </w:rPr>
        <w:t xml:space="preserve">, I.W.C., </w:t>
      </w:r>
      <w:proofErr w:type="spellStart"/>
      <w:r w:rsidRPr="008076E8">
        <w:rPr>
          <w:rFonts w:eastAsiaTheme="minorHAnsi"/>
          <w:sz w:val="22"/>
          <w:szCs w:val="22"/>
          <w:highlight w:val="yellow"/>
          <w:lang w:eastAsia="en-US"/>
        </w:rPr>
        <w:t>Chu</w:t>
      </w:r>
      <w:proofErr w:type="spellEnd"/>
      <w:r w:rsidRPr="008076E8">
        <w:rPr>
          <w:rFonts w:eastAsiaTheme="minorHAnsi"/>
          <w:sz w:val="22"/>
          <w:szCs w:val="22"/>
          <w:highlight w:val="yellow"/>
          <w:lang w:eastAsia="en-US"/>
        </w:rPr>
        <w:t xml:space="preserve">, C.M., </w:t>
      </w:r>
      <w:proofErr w:type="spellStart"/>
      <w:r w:rsidRPr="008076E8">
        <w:rPr>
          <w:rFonts w:eastAsiaTheme="minorHAnsi"/>
          <w:sz w:val="22"/>
          <w:szCs w:val="22"/>
          <w:highlight w:val="yellow"/>
          <w:lang w:eastAsia="en-US"/>
        </w:rPr>
        <w:t>Pan</w:t>
      </w:r>
      <w:proofErr w:type="spellEnd"/>
      <w:r w:rsidRPr="008076E8">
        <w:rPr>
          <w:rFonts w:eastAsiaTheme="minorHAnsi"/>
          <w:sz w:val="22"/>
          <w:szCs w:val="22"/>
          <w:highlight w:val="yellow"/>
          <w:lang w:eastAsia="en-US"/>
        </w:rPr>
        <w:t xml:space="preserve">, P.C., </w:t>
      </w:r>
      <w:proofErr w:type="spellStart"/>
      <w:r w:rsidRPr="008076E8">
        <w:rPr>
          <w:rFonts w:eastAsiaTheme="minorHAnsi"/>
          <w:sz w:val="22"/>
          <w:szCs w:val="22"/>
          <w:highlight w:val="yellow"/>
          <w:lang w:eastAsia="en-US"/>
        </w:rPr>
        <w:t>Yiu</w:t>
      </w:r>
      <w:proofErr w:type="spellEnd"/>
      <w:r w:rsidRPr="008076E8">
        <w:rPr>
          <w:rFonts w:eastAsiaTheme="minorHAnsi"/>
          <w:sz w:val="22"/>
          <w:szCs w:val="22"/>
          <w:highlight w:val="yellow"/>
          <w:lang w:eastAsia="en-US"/>
        </w:rPr>
        <w:t xml:space="preserve">, M.G.C., </w:t>
      </w:r>
      <w:proofErr w:type="spellStart"/>
      <w:r w:rsidRPr="008076E8">
        <w:rPr>
          <w:rFonts w:eastAsiaTheme="minorHAnsi"/>
          <w:sz w:val="22"/>
          <w:szCs w:val="22"/>
          <w:highlight w:val="yellow"/>
          <w:lang w:eastAsia="en-US"/>
        </w:rPr>
        <w:t>Chan</w:t>
      </w:r>
      <w:proofErr w:type="spellEnd"/>
      <w:r w:rsidRPr="008076E8">
        <w:rPr>
          <w:rFonts w:eastAsiaTheme="minorHAnsi"/>
          <w:sz w:val="22"/>
          <w:szCs w:val="22"/>
          <w:highlight w:val="yellow"/>
          <w:lang w:eastAsia="en-US"/>
        </w:rPr>
        <w:t xml:space="preserve">, V.L, 2009. </w:t>
      </w:r>
      <w:proofErr w:type="spellStart"/>
      <w:r w:rsidRPr="008076E8">
        <w:rPr>
          <w:rFonts w:eastAsiaTheme="minorHAnsi"/>
          <w:sz w:val="22"/>
          <w:szCs w:val="22"/>
          <w:highlight w:val="yellow"/>
          <w:lang w:eastAsia="en-US"/>
        </w:rPr>
        <w:t>Long-term</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psychiatric</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morbidities</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among</w:t>
      </w:r>
      <w:proofErr w:type="spellEnd"/>
      <w:r w:rsidRPr="008076E8">
        <w:rPr>
          <w:rFonts w:eastAsiaTheme="minorHAnsi"/>
          <w:sz w:val="22"/>
          <w:szCs w:val="22"/>
          <w:highlight w:val="yellow"/>
          <w:lang w:eastAsia="en-US"/>
        </w:rPr>
        <w:t xml:space="preserve"> SARS </w:t>
      </w:r>
      <w:proofErr w:type="spellStart"/>
      <w:r w:rsidRPr="008076E8">
        <w:rPr>
          <w:rFonts w:eastAsiaTheme="minorHAnsi"/>
          <w:sz w:val="22"/>
          <w:szCs w:val="22"/>
          <w:highlight w:val="yellow"/>
          <w:lang w:eastAsia="en-US"/>
        </w:rPr>
        <w:t>survivors</w:t>
      </w:r>
      <w:proofErr w:type="spellEnd"/>
      <w:r w:rsidRPr="008076E8">
        <w:rPr>
          <w:rFonts w:eastAsiaTheme="minorHAnsi"/>
          <w:sz w:val="22"/>
          <w:szCs w:val="22"/>
          <w:highlight w:val="yellow"/>
          <w:lang w:eastAsia="en-US"/>
        </w:rPr>
        <w:t xml:space="preserve">. Gen. </w:t>
      </w:r>
      <w:proofErr w:type="spellStart"/>
      <w:r w:rsidRPr="008076E8">
        <w:rPr>
          <w:rFonts w:eastAsiaTheme="minorHAnsi"/>
          <w:sz w:val="22"/>
          <w:szCs w:val="22"/>
          <w:highlight w:val="yellow"/>
          <w:lang w:eastAsia="en-US"/>
        </w:rPr>
        <w:t>Hosp</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Psychiatry</w:t>
      </w:r>
      <w:proofErr w:type="spellEnd"/>
      <w:r w:rsidRPr="008076E8">
        <w:rPr>
          <w:rFonts w:eastAsiaTheme="minorHAnsi"/>
          <w:sz w:val="22"/>
          <w:szCs w:val="22"/>
          <w:highlight w:val="yellow"/>
          <w:lang w:eastAsia="en-US"/>
        </w:rPr>
        <w:t xml:space="preserve"> 31 (4), 318–326.</w:t>
      </w:r>
      <w:r w:rsidR="002F07AD" w:rsidRPr="008076E8">
        <w:rPr>
          <w:rFonts w:eastAsiaTheme="minorHAnsi"/>
          <w:sz w:val="22"/>
          <w:szCs w:val="22"/>
          <w:lang w:eastAsia="en-US"/>
        </w:rPr>
        <w:t xml:space="preserve"> </w:t>
      </w:r>
      <w:proofErr w:type="spellStart"/>
      <w:r w:rsidR="002F07AD" w:rsidRPr="008076E8">
        <w:rPr>
          <w:color w:val="000000" w:themeColor="text1"/>
          <w:sz w:val="22"/>
          <w:szCs w:val="22"/>
          <w:highlight w:val="yellow"/>
          <w:shd w:val="clear" w:color="auto" w:fill="FFFFFF"/>
        </w:rPr>
        <w:t>doi</w:t>
      </w:r>
      <w:proofErr w:type="spellEnd"/>
      <w:r w:rsidR="002F07AD" w:rsidRPr="008076E8">
        <w:rPr>
          <w:color w:val="000000" w:themeColor="text1"/>
          <w:sz w:val="22"/>
          <w:szCs w:val="22"/>
          <w:highlight w:val="yellow"/>
          <w:shd w:val="clear" w:color="auto" w:fill="FFFFFF"/>
        </w:rPr>
        <w:t>: 10.1016/j.genhosppsych.2009.03.001.</w:t>
      </w:r>
    </w:p>
    <w:p w14:paraId="1D2579DB" w14:textId="0F85DFCC" w:rsidR="002E6D87" w:rsidRPr="008076E8" w:rsidRDefault="002E6D87" w:rsidP="008076E8">
      <w:pPr>
        <w:spacing w:line="480" w:lineRule="auto"/>
        <w:jc w:val="both"/>
        <w:rPr>
          <w:color w:val="000000" w:themeColor="text1"/>
          <w:sz w:val="22"/>
          <w:szCs w:val="22"/>
          <w:shd w:val="clear" w:color="auto" w:fill="FFFFFF"/>
          <w:lang w:val="en-US"/>
        </w:rPr>
      </w:pPr>
      <w:r w:rsidRPr="008076E8">
        <w:rPr>
          <w:color w:val="000000" w:themeColor="text1"/>
          <w:sz w:val="22"/>
          <w:szCs w:val="22"/>
          <w:shd w:val="clear" w:color="auto" w:fill="FFFFFF"/>
          <w:lang w:val="en-US"/>
        </w:rPr>
        <w:t>Maslach, C., &amp; Jackson, S.E. (1981). The measurement of experienced burnout. </w:t>
      </w:r>
      <w:r w:rsidRPr="008076E8">
        <w:rPr>
          <w:i/>
          <w:iCs/>
          <w:color w:val="000000" w:themeColor="text1"/>
          <w:sz w:val="22"/>
          <w:szCs w:val="22"/>
          <w:lang w:val="en-US"/>
        </w:rPr>
        <w:t>journal of occupational behavior</w:t>
      </w:r>
      <w:r w:rsidRPr="008076E8">
        <w:rPr>
          <w:color w:val="000000" w:themeColor="text1"/>
          <w:sz w:val="22"/>
          <w:szCs w:val="22"/>
          <w:shd w:val="clear" w:color="auto" w:fill="FFFFFF"/>
          <w:lang w:val="en-US"/>
        </w:rPr>
        <w:t>, </w:t>
      </w:r>
      <w:r w:rsidRPr="008076E8">
        <w:rPr>
          <w:i/>
          <w:iCs/>
          <w:color w:val="000000" w:themeColor="text1"/>
          <w:sz w:val="22"/>
          <w:szCs w:val="22"/>
          <w:lang w:val="en-US"/>
        </w:rPr>
        <w:t>2</w:t>
      </w:r>
      <w:r w:rsidRPr="008076E8">
        <w:rPr>
          <w:color w:val="000000" w:themeColor="text1"/>
          <w:sz w:val="22"/>
          <w:szCs w:val="22"/>
          <w:shd w:val="clear" w:color="auto" w:fill="FFFFFF"/>
          <w:lang w:val="en-US"/>
        </w:rPr>
        <w:t>(2), 99-113. doi:10.1002/job.4030020205</w:t>
      </w:r>
      <w:r w:rsidR="002F07AD" w:rsidRPr="008076E8">
        <w:rPr>
          <w:color w:val="000000" w:themeColor="text1"/>
          <w:sz w:val="22"/>
          <w:szCs w:val="22"/>
          <w:shd w:val="clear" w:color="auto" w:fill="FFFFFF"/>
          <w:lang w:val="en-US"/>
        </w:rPr>
        <w:t>.</w:t>
      </w:r>
    </w:p>
    <w:p w14:paraId="41C07E3B" w14:textId="1DE75ADF" w:rsidR="002E6D87" w:rsidRPr="008076E8" w:rsidRDefault="002E6D87" w:rsidP="008076E8">
      <w:pPr>
        <w:spacing w:line="480" w:lineRule="auto"/>
        <w:jc w:val="both"/>
        <w:rPr>
          <w:color w:val="000000" w:themeColor="text1"/>
          <w:sz w:val="22"/>
          <w:szCs w:val="22"/>
          <w:shd w:val="clear" w:color="auto" w:fill="FFFFFF"/>
          <w:lang w:val="en-US"/>
        </w:rPr>
      </w:pPr>
      <w:r w:rsidRPr="008076E8">
        <w:rPr>
          <w:color w:val="000000" w:themeColor="text1"/>
          <w:sz w:val="22"/>
          <w:szCs w:val="22"/>
          <w:lang w:val="en-US"/>
        </w:rPr>
        <w:t xml:space="preserve">McCracken, L.M., </w:t>
      </w:r>
      <w:proofErr w:type="spellStart"/>
      <w:proofErr w:type="gramStart"/>
      <w:r w:rsidRPr="008076E8">
        <w:rPr>
          <w:color w:val="000000" w:themeColor="text1"/>
          <w:sz w:val="22"/>
          <w:szCs w:val="22"/>
          <w:lang w:val="en-US"/>
        </w:rPr>
        <w:t>Vowles</w:t>
      </w:r>
      <w:proofErr w:type="spellEnd"/>
      <w:r w:rsidRPr="008076E8">
        <w:rPr>
          <w:color w:val="000000" w:themeColor="text1"/>
          <w:sz w:val="22"/>
          <w:szCs w:val="22"/>
          <w:lang w:val="en-US"/>
        </w:rPr>
        <w:t xml:space="preserve"> .</w:t>
      </w:r>
      <w:proofErr w:type="gramEnd"/>
      <w:r w:rsidRPr="008076E8">
        <w:rPr>
          <w:color w:val="000000" w:themeColor="text1"/>
          <w:sz w:val="22"/>
          <w:szCs w:val="22"/>
          <w:lang w:val="en-US"/>
        </w:rPr>
        <w:t xml:space="preserve">K.E., &amp; Eccleston C. (2005). Acceptance-based treatment for persons with complex, long standing chronic pain: a preliminary analysis of treatment outcome in comparison to a waiting phase. </w:t>
      </w:r>
      <w:proofErr w:type="spellStart"/>
      <w:r w:rsidRPr="008076E8">
        <w:rPr>
          <w:i/>
          <w:iCs/>
          <w:color w:val="000000" w:themeColor="text1"/>
          <w:sz w:val="22"/>
          <w:szCs w:val="22"/>
          <w:lang w:val="en-US"/>
        </w:rPr>
        <w:t>Behav</w:t>
      </w:r>
      <w:proofErr w:type="spellEnd"/>
      <w:r w:rsidRPr="008076E8">
        <w:rPr>
          <w:i/>
          <w:iCs/>
          <w:color w:val="000000" w:themeColor="text1"/>
          <w:sz w:val="22"/>
          <w:szCs w:val="22"/>
          <w:lang w:val="en-US"/>
        </w:rPr>
        <w:t xml:space="preserve"> Res </w:t>
      </w:r>
      <w:proofErr w:type="spellStart"/>
      <w:r w:rsidRPr="008076E8">
        <w:rPr>
          <w:i/>
          <w:iCs/>
          <w:color w:val="000000" w:themeColor="text1"/>
          <w:sz w:val="22"/>
          <w:szCs w:val="22"/>
          <w:lang w:val="en-US"/>
        </w:rPr>
        <w:t>Ther</w:t>
      </w:r>
      <w:proofErr w:type="spellEnd"/>
      <w:r w:rsidRPr="008076E8">
        <w:rPr>
          <w:color w:val="000000" w:themeColor="text1"/>
          <w:sz w:val="22"/>
          <w:szCs w:val="22"/>
          <w:lang w:val="en-US"/>
        </w:rPr>
        <w:t xml:space="preserve">, 43(10), 1335-46. </w:t>
      </w:r>
      <w:proofErr w:type="spellStart"/>
      <w:r w:rsidRPr="008076E8">
        <w:rPr>
          <w:rStyle w:val="id-label"/>
          <w:color w:val="000000" w:themeColor="text1"/>
          <w:sz w:val="22"/>
          <w:szCs w:val="22"/>
          <w:lang w:val="en-US"/>
        </w:rPr>
        <w:t>doi</w:t>
      </w:r>
      <w:proofErr w:type="spellEnd"/>
      <w:r w:rsidRPr="008076E8">
        <w:rPr>
          <w:rStyle w:val="id-label"/>
          <w:color w:val="000000" w:themeColor="text1"/>
          <w:sz w:val="22"/>
          <w:szCs w:val="22"/>
          <w:lang w:val="en-US"/>
        </w:rPr>
        <w:t>:</w:t>
      </w:r>
      <w:r w:rsidRPr="008076E8">
        <w:rPr>
          <w:rStyle w:val="apple-converted-space"/>
          <w:color w:val="000000" w:themeColor="text1"/>
          <w:sz w:val="22"/>
          <w:szCs w:val="22"/>
          <w:lang w:val="en-US"/>
        </w:rPr>
        <w:t> </w:t>
      </w:r>
      <w:hyperlink r:id="rId10" w:tgtFrame="_blank" w:history="1">
        <w:r w:rsidRPr="008076E8">
          <w:rPr>
            <w:rStyle w:val="Kpr"/>
            <w:color w:val="000000" w:themeColor="text1"/>
            <w:sz w:val="22"/>
            <w:szCs w:val="22"/>
            <w:u w:val="none"/>
            <w:lang w:val="en-US"/>
          </w:rPr>
          <w:t>10.1016/j.brat.2004.10.003</w:t>
        </w:r>
      </w:hyperlink>
      <w:r w:rsidR="002F07AD" w:rsidRPr="008076E8">
        <w:rPr>
          <w:rStyle w:val="Kpr"/>
          <w:color w:val="000000" w:themeColor="text1"/>
          <w:sz w:val="22"/>
          <w:szCs w:val="22"/>
          <w:u w:val="none"/>
          <w:lang w:val="en-US"/>
        </w:rPr>
        <w:t>.</w:t>
      </w:r>
    </w:p>
    <w:p w14:paraId="10B775B4" w14:textId="77777777" w:rsidR="002E6D87" w:rsidRPr="008076E8" w:rsidRDefault="002E6D87" w:rsidP="008076E8">
      <w:pPr>
        <w:pStyle w:val="NormalWeb"/>
        <w:spacing w:line="480" w:lineRule="auto"/>
        <w:jc w:val="both"/>
        <w:rPr>
          <w:color w:val="000000" w:themeColor="text1"/>
          <w:sz w:val="22"/>
          <w:szCs w:val="22"/>
          <w:shd w:val="clear" w:color="auto" w:fill="FFFFFF"/>
          <w:lang w:val="en-US"/>
        </w:rPr>
      </w:pPr>
      <w:r w:rsidRPr="008076E8">
        <w:rPr>
          <w:color w:val="000000" w:themeColor="text1"/>
          <w:sz w:val="22"/>
          <w:szCs w:val="22"/>
          <w:lang w:val="en-US"/>
        </w:rPr>
        <w:t xml:space="preserve">Mehta, N.S., </w:t>
      </w:r>
      <w:proofErr w:type="spellStart"/>
      <w:r w:rsidRPr="008076E8">
        <w:rPr>
          <w:color w:val="000000" w:themeColor="text1"/>
          <w:sz w:val="22"/>
          <w:szCs w:val="22"/>
          <w:lang w:val="en-US"/>
        </w:rPr>
        <w:t>Mytton</w:t>
      </w:r>
      <w:proofErr w:type="spellEnd"/>
      <w:r w:rsidRPr="008076E8">
        <w:rPr>
          <w:color w:val="000000" w:themeColor="text1"/>
          <w:sz w:val="22"/>
          <w:szCs w:val="22"/>
          <w:lang w:val="en-US"/>
        </w:rPr>
        <w:t xml:space="preserve">, O.T., Mullins, E.W.S., Fowler, T.A., Falconer, C.L., Murphy, O.B…Nguyen-Van-Tam, J.S. (2020). SARS-CoV-2 (COVID-19): What do we know about children? A systematic review. </w:t>
      </w:r>
      <w:r w:rsidRPr="008076E8">
        <w:rPr>
          <w:i/>
          <w:iCs/>
          <w:color w:val="000000" w:themeColor="text1"/>
          <w:sz w:val="22"/>
          <w:szCs w:val="22"/>
          <w:lang w:val="en-US"/>
        </w:rPr>
        <w:t>Clin Infect Dis, 11</w:t>
      </w:r>
      <w:r w:rsidRPr="008076E8">
        <w:rPr>
          <w:color w:val="000000" w:themeColor="text1"/>
          <w:sz w:val="22"/>
          <w:szCs w:val="22"/>
          <w:lang w:val="en-US"/>
        </w:rPr>
        <w:t xml:space="preserve">, ciaa556.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10.1093/</w:t>
      </w:r>
      <w:proofErr w:type="spellStart"/>
      <w:r w:rsidRPr="008076E8">
        <w:rPr>
          <w:color w:val="000000" w:themeColor="text1"/>
          <w:sz w:val="22"/>
          <w:szCs w:val="22"/>
          <w:shd w:val="clear" w:color="auto" w:fill="FFFFFF"/>
          <w:lang w:val="en-US"/>
        </w:rPr>
        <w:t>cid</w:t>
      </w:r>
      <w:proofErr w:type="spellEnd"/>
      <w:r w:rsidRPr="008076E8">
        <w:rPr>
          <w:color w:val="000000" w:themeColor="text1"/>
          <w:sz w:val="22"/>
          <w:szCs w:val="22"/>
          <w:shd w:val="clear" w:color="auto" w:fill="FFFFFF"/>
          <w:lang w:val="en-US"/>
        </w:rPr>
        <w:t>/ciaa556.</w:t>
      </w:r>
    </w:p>
    <w:p w14:paraId="692B2CD1" w14:textId="77777777" w:rsidR="002E6D87" w:rsidRPr="008076E8" w:rsidRDefault="002E6D87" w:rsidP="008076E8">
      <w:pPr>
        <w:spacing w:line="480" w:lineRule="auto"/>
        <w:jc w:val="both"/>
        <w:rPr>
          <w:color w:val="000000" w:themeColor="text1"/>
          <w:sz w:val="22"/>
          <w:szCs w:val="22"/>
          <w:lang w:val="en-US"/>
        </w:rPr>
      </w:pPr>
      <w:proofErr w:type="spellStart"/>
      <w:r w:rsidRPr="008076E8">
        <w:rPr>
          <w:color w:val="000000" w:themeColor="text1"/>
          <w:sz w:val="22"/>
          <w:szCs w:val="22"/>
          <w:shd w:val="clear" w:color="auto" w:fill="FFFFFF"/>
          <w:lang w:val="en-US"/>
        </w:rPr>
        <w:t>Noone</w:t>
      </w:r>
      <w:proofErr w:type="spellEnd"/>
      <w:r w:rsidRPr="008076E8">
        <w:rPr>
          <w:color w:val="000000" w:themeColor="text1"/>
          <w:sz w:val="22"/>
          <w:szCs w:val="22"/>
          <w:shd w:val="clear" w:color="auto" w:fill="FFFFFF"/>
          <w:lang w:val="en-US"/>
        </w:rPr>
        <w:t>, S. J., &amp; Hastings, R. P. (2011). Values and psychological acceptance as correlates of burnout in support staff working with adults with intellectual disabilities. </w:t>
      </w:r>
      <w:r w:rsidRPr="008076E8">
        <w:rPr>
          <w:i/>
          <w:iCs/>
          <w:color w:val="000000" w:themeColor="text1"/>
          <w:sz w:val="22"/>
          <w:szCs w:val="22"/>
          <w:shd w:val="clear" w:color="auto" w:fill="FFFFFF"/>
          <w:lang w:val="en-US"/>
        </w:rPr>
        <w:t>Journal of Mental Health Research in Intellectual Disabilities</w:t>
      </w:r>
      <w:r w:rsidRPr="008076E8">
        <w:rPr>
          <w:color w:val="000000" w:themeColor="text1"/>
          <w:sz w:val="22"/>
          <w:szCs w:val="22"/>
          <w:shd w:val="clear" w:color="auto" w:fill="FFFFFF"/>
          <w:lang w:val="en-US"/>
        </w:rPr>
        <w:t>, </w:t>
      </w:r>
      <w:r w:rsidRPr="008076E8">
        <w:rPr>
          <w:i/>
          <w:iCs/>
          <w:color w:val="000000" w:themeColor="text1"/>
          <w:sz w:val="22"/>
          <w:szCs w:val="22"/>
          <w:shd w:val="clear" w:color="auto" w:fill="FFFFFF"/>
          <w:lang w:val="en-US"/>
        </w:rPr>
        <w:t>4</w:t>
      </w:r>
      <w:r w:rsidRPr="008076E8">
        <w:rPr>
          <w:color w:val="000000" w:themeColor="text1"/>
          <w:sz w:val="22"/>
          <w:szCs w:val="22"/>
          <w:shd w:val="clear" w:color="auto" w:fill="FFFFFF"/>
          <w:lang w:val="en-US"/>
        </w:rPr>
        <w:t xml:space="preserve">(2), 79-89. </w:t>
      </w:r>
      <w:proofErr w:type="spellStart"/>
      <w:r w:rsidRPr="008076E8">
        <w:rPr>
          <w:color w:val="000000" w:themeColor="text1"/>
          <w:sz w:val="22"/>
          <w:szCs w:val="22"/>
          <w:lang w:val="en-US"/>
        </w:rPr>
        <w:t>doi</w:t>
      </w:r>
      <w:proofErr w:type="spellEnd"/>
      <w:r w:rsidRPr="008076E8">
        <w:rPr>
          <w:color w:val="000000" w:themeColor="text1"/>
          <w:sz w:val="22"/>
          <w:szCs w:val="22"/>
          <w:lang w:val="en-US"/>
        </w:rPr>
        <w:t>: </w:t>
      </w:r>
      <w:hyperlink r:id="rId11" w:history="1">
        <w:r w:rsidRPr="008076E8">
          <w:rPr>
            <w:color w:val="000000" w:themeColor="text1"/>
            <w:sz w:val="22"/>
            <w:szCs w:val="22"/>
            <w:bdr w:val="none" w:sz="0" w:space="0" w:color="auto" w:frame="1"/>
            <w:lang w:val="en-US"/>
          </w:rPr>
          <w:t>10.1080/19315864.2011.582230</w:t>
        </w:r>
      </w:hyperlink>
      <w:r w:rsidRPr="008076E8">
        <w:rPr>
          <w:color w:val="000000" w:themeColor="text1"/>
          <w:sz w:val="22"/>
          <w:szCs w:val="22"/>
          <w:bdr w:val="none" w:sz="0" w:space="0" w:color="auto" w:frame="1"/>
          <w:lang w:val="en-US"/>
        </w:rPr>
        <w:t>.</w:t>
      </w:r>
    </w:p>
    <w:p w14:paraId="38633122" w14:textId="77777777" w:rsidR="002E6D87" w:rsidRPr="008076E8" w:rsidRDefault="002E6D87" w:rsidP="008076E8">
      <w:pPr>
        <w:spacing w:line="480" w:lineRule="auto"/>
        <w:jc w:val="both"/>
        <w:rPr>
          <w:color w:val="000000" w:themeColor="text1"/>
          <w:sz w:val="22"/>
          <w:szCs w:val="22"/>
          <w:shd w:val="clear" w:color="auto" w:fill="FFFFFF"/>
          <w:lang w:val="en-US"/>
        </w:rPr>
      </w:pPr>
      <w:proofErr w:type="spellStart"/>
      <w:r w:rsidRPr="008076E8">
        <w:rPr>
          <w:color w:val="000000" w:themeColor="text1"/>
          <w:sz w:val="22"/>
          <w:szCs w:val="22"/>
          <w:shd w:val="clear" w:color="auto" w:fill="FFFFFF"/>
          <w:lang w:val="en-US"/>
        </w:rPr>
        <w:lastRenderedPageBreak/>
        <w:t>Panagioti</w:t>
      </w:r>
      <w:proofErr w:type="spellEnd"/>
      <w:r w:rsidRPr="008076E8">
        <w:rPr>
          <w:color w:val="000000" w:themeColor="text1"/>
          <w:sz w:val="22"/>
          <w:szCs w:val="22"/>
          <w:shd w:val="clear" w:color="auto" w:fill="FFFFFF"/>
          <w:lang w:val="en-US"/>
        </w:rPr>
        <w:t xml:space="preserve">, M., Geraghty, K., Johnson, J., Zhou, A., </w:t>
      </w:r>
      <w:proofErr w:type="spellStart"/>
      <w:r w:rsidRPr="008076E8">
        <w:rPr>
          <w:color w:val="000000" w:themeColor="text1"/>
          <w:sz w:val="22"/>
          <w:szCs w:val="22"/>
          <w:shd w:val="clear" w:color="auto" w:fill="FFFFFF"/>
          <w:lang w:val="en-US"/>
        </w:rPr>
        <w:t>Panagopoulou</w:t>
      </w:r>
      <w:proofErr w:type="spellEnd"/>
      <w:r w:rsidRPr="008076E8">
        <w:rPr>
          <w:color w:val="000000" w:themeColor="text1"/>
          <w:sz w:val="22"/>
          <w:szCs w:val="22"/>
          <w:shd w:val="clear" w:color="auto" w:fill="FFFFFF"/>
          <w:lang w:val="en-US"/>
        </w:rPr>
        <w:t xml:space="preserve">, E., Chew-Graham, C., ... &amp; </w:t>
      </w:r>
      <w:proofErr w:type="spellStart"/>
      <w:r w:rsidRPr="008076E8">
        <w:rPr>
          <w:color w:val="000000" w:themeColor="text1"/>
          <w:sz w:val="22"/>
          <w:szCs w:val="22"/>
          <w:shd w:val="clear" w:color="auto" w:fill="FFFFFF"/>
          <w:lang w:val="en-US"/>
        </w:rPr>
        <w:t>Esmail</w:t>
      </w:r>
      <w:proofErr w:type="spellEnd"/>
      <w:r w:rsidRPr="008076E8">
        <w:rPr>
          <w:color w:val="000000" w:themeColor="text1"/>
          <w:sz w:val="22"/>
          <w:szCs w:val="22"/>
          <w:shd w:val="clear" w:color="auto" w:fill="FFFFFF"/>
          <w:lang w:val="en-US"/>
        </w:rPr>
        <w:t>, A. (2018). Association between physician burnout and patient safety, professionalism, and patient satisfaction: a systematic review and meta-analysis. </w:t>
      </w:r>
      <w:r w:rsidRPr="008076E8">
        <w:rPr>
          <w:i/>
          <w:iCs/>
          <w:color w:val="000000" w:themeColor="text1"/>
          <w:sz w:val="22"/>
          <w:szCs w:val="22"/>
          <w:lang w:val="en-US"/>
        </w:rPr>
        <w:t>JAMA Intern Med</w:t>
      </w:r>
      <w:r w:rsidRPr="008076E8">
        <w:rPr>
          <w:color w:val="000000" w:themeColor="text1"/>
          <w:sz w:val="22"/>
          <w:szCs w:val="22"/>
          <w:shd w:val="clear" w:color="auto" w:fill="FFFFFF"/>
          <w:lang w:val="en-US"/>
        </w:rPr>
        <w:t>, </w:t>
      </w:r>
      <w:r w:rsidRPr="008076E8">
        <w:rPr>
          <w:i/>
          <w:iCs/>
          <w:color w:val="000000" w:themeColor="text1"/>
          <w:sz w:val="22"/>
          <w:szCs w:val="22"/>
          <w:lang w:val="en-US"/>
        </w:rPr>
        <w:t>178</w:t>
      </w:r>
      <w:r w:rsidRPr="008076E8">
        <w:rPr>
          <w:color w:val="000000" w:themeColor="text1"/>
          <w:sz w:val="22"/>
          <w:szCs w:val="22"/>
          <w:shd w:val="clear" w:color="auto" w:fill="FFFFFF"/>
          <w:lang w:val="en-US"/>
        </w:rPr>
        <w:t xml:space="preserve">(10), 1317-1330.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10.1001/jamainternmed.2018.3713.</w:t>
      </w:r>
    </w:p>
    <w:p w14:paraId="5060ABB5" w14:textId="036E606F" w:rsidR="002E6D87" w:rsidRPr="008076E8" w:rsidRDefault="002E6D87" w:rsidP="008076E8">
      <w:pPr>
        <w:spacing w:line="480" w:lineRule="auto"/>
        <w:jc w:val="both"/>
        <w:rPr>
          <w:color w:val="000000" w:themeColor="text1"/>
          <w:sz w:val="22"/>
          <w:szCs w:val="22"/>
          <w:lang w:val="en-US"/>
        </w:rPr>
      </w:pPr>
      <w:proofErr w:type="spellStart"/>
      <w:r w:rsidRPr="008076E8">
        <w:rPr>
          <w:color w:val="000000" w:themeColor="text1"/>
          <w:sz w:val="22"/>
          <w:szCs w:val="22"/>
          <w:lang w:val="en-US"/>
        </w:rPr>
        <w:t>Preti</w:t>
      </w:r>
      <w:proofErr w:type="spellEnd"/>
      <w:r w:rsidRPr="008076E8">
        <w:rPr>
          <w:color w:val="000000" w:themeColor="text1"/>
          <w:sz w:val="22"/>
          <w:szCs w:val="22"/>
          <w:lang w:val="en-US"/>
        </w:rPr>
        <w:t xml:space="preserve">, E., </w:t>
      </w:r>
      <w:proofErr w:type="spellStart"/>
      <w:r w:rsidRPr="008076E8">
        <w:rPr>
          <w:color w:val="000000" w:themeColor="text1"/>
          <w:sz w:val="22"/>
          <w:szCs w:val="22"/>
          <w:lang w:val="en-US"/>
        </w:rPr>
        <w:t>Mattei</w:t>
      </w:r>
      <w:proofErr w:type="spellEnd"/>
      <w:r w:rsidRPr="008076E8">
        <w:rPr>
          <w:color w:val="000000" w:themeColor="text1"/>
          <w:sz w:val="22"/>
          <w:szCs w:val="22"/>
          <w:lang w:val="en-US"/>
        </w:rPr>
        <w:t xml:space="preserve">, V.D., </w:t>
      </w:r>
      <w:proofErr w:type="spellStart"/>
      <w:r w:rsidRPr="008076E8">
        <w:rPr>
          <w:color w:val="000000" w:themeColor="text1"/>
          <w:sz w:val="22"/>
          <w:szCs w:val="22"/>
          <w:lang w:val="en-US"/>
        </w:rPr>
        <w:t>Perego</w:t>
      </w:r>
      <w:proofErr w:type="spellEnd"/>
      <w:r w:rsidRPr="008076E8">
        <w:rPr>
          <w:color w:val="000000" w:themeColor="text1"/>
          <w:sz w:val="22"/>
          <w:szCs w:val="22"/>
          <w:lang w:val="en-US"/>
        </w:rPr>
        <w:t xml:space="preserve">, G., Ferrari, F., </w:t>
      </w:r>
      <w:proofErr w:type="spellStart"/>
      <w:r w:rsidRPr="008076E8">
        <w:rPr>
          <w:color w:val="000000" w:themeColor="text1"/>
          <w:sz w:val="22"/>
          <w:szCs w:val="22"/>
          <w:lang w:val="en-US"/>
        </w:rPr>
        <w:t>Mazzetti</w:t>
      </w:r>
      <w:proofErr w:type="spellEnd"/>
      <w:r w:rsidRPr="008076E8">
        <w:rPr>
          <w:color w:val="000000" w:themeColor="text1"/>
          <w:sz w:val="22"/>
          <w:szCs w:val="22"/>
          <w:lang w:val="en-US"/>
        </w:rPr>
        <w:t>, M., Taranto, P…</w:t>
      </w:r>
      <w:proofErr w:type="spellStart"/>
      <w:r w:rsidRPr="008076E8">
        <w:rPr>
          <w:color w:val="000000" w:themeColor="text1"/>
          <w:sz w:val="22"/>
          <w:szCs w:val="22"/>
          <w:lang w:val="en-US"/>
        </w:rPr>
        <w:t>Calati</w:t>
      </w:r>
      <w:proofErr w:type="spellEnd"/>
      <w:r w:rsidRPr="008076E8">
        <w:rPr>
          <w:color w:val="000000" w:themeColor="text1"/>
          <w:sz w:val="22"/>
          <w:szCs w:val="22"/>
          <w:lang w:val="en-US"/>
        </w:rPr>
        <w:t>, R. (2020)</w:t>
      </w:r>
      <w:r w:rsidRPr="008076E8">
        <w:rPr>
          <w:color w:val="000000" w:themeColor="text1"/>
          <w:position w:val="8"/>
          <w:sz w:val="22"/>
          <w:szCs w:val="22"/>
          <w:lang w:val="en-US"/>
        </w:rPr>
        <w:t xml:space="preserve"> </w:t>
      </w:r>
      <w:r w:rsidRPr="008076E8">
        <w:rPr>
          <w:color w:val="000000" w:themeColor="text1"/>
          <w:sz w:val="22"/>
          <w:szCs w:val="22"/>
          <w:lang w:val="en-US"/>
        </w:rPr>
        <w:t xml:space="preserve">The Psychological Impact of Epidemic and Pandemic Outbreaks on Healthcare Workers: Rapid Review of the Evidence. </w:t>
      </w:r>
      <w:proofErr w:type="spellStart"/>
      <w:r w:rsidRPr="008076E8">
        <w:rPr>
          <w:i/>
          <w:iCs/>
          <w:color w:val="000000" w:themeColor="text1"/>
          <w:sz w:val="22"/>
          <w:szCs w:val="22"/>
          <w:lang w:val="en-US"/>
        </w:rPr>
        <w:t>Curr</w:t>
      </w:r>
      <w:proofErr w:type="spellEnd"/>
      <w:r w:rsidRPr="008076E8">
        <w:rPr>
          <w:i/>
          <w:iCs/>
          <w:color w:val="000000" w:themeColor="text1"/>
          <w:sz w:val="22"/>
          <w:szCs w:val="22"/>
          <w:lang w:val="en-US"/>
        </w:rPr>
        <w:t xml:space="preserve"> Psychiatry Rep, 22,</w:t>
      </w:r>
      <w:r w:rsidRPr="008076E8">
        <w:rPr>
          <w:color w:val="000000" w:themeColor="text1"/>
          <w:sz w:val="22"/>
          <w:szCs w:val="22"/>
          <w:lang w:val="en-US"/>
        </w:rPr>
        <w:t xml:space="preserve"> 43. doi.org/10.1007/s11920-020-01166-z.</w:t>
      </w:r>
    </w:p>
    <w:p w14:paraId="4086A920" w14:textId="775D87A9" w:rsidR="00AE06F1" w:rsidRPr="008076E8" w:rsidRDefault="00AE06F1" w:rsidP="008076E8">
      <w:pPr>
        <w:spacing w:before="100" w:beforeAutospacing="1" w:after="100" w:afterAutospacing="1" w:line="480" w:lineRule="auto"/>
        <w:jc w:val="both"/>
        <w:rPr>
          <w:color w:val="000000" w:themeColor="text1"/>
          <w:sz w:val="22"/>
          <w:szCs w:val="22"/>
          <w:shd w:val="clear" w:color="auto" w:fill="FFFFFF"/>
        </w:rPr>
      </w:pPr>
      <w:proofErr w:type="spellStart"/>
      <w:r w:rsidRPr="008076E8">
        <w:rPr>
          <w:color w:val="000000" w:themeColor="text1"/>
          <w:sz w:val="22"/>
          <w:szCs w:val="22"/>
          <w:highlight w:val="yellow"/>
          <w:shd w:val="clear" w:color="auto" w:fill="FFFFFF"/>
        </w:rPr>
        <w:t>Puolakanaho</w:t>
      </w:r>
      <w:proofErr w:type="spellEnd"/>
      <w:r w:rsidRPr="008076E8">
        <w:rPr>
          <w:color w:val="000000" w:themeColor="text1"/>
          <w:sz w:val="22"/>
          <w:szCs w:val="22"/>
          <w:highlight w:val="yellow"/>
          <w:shd w:val="clear" w:color="auto" w:fill="FFFFFF"/>
        </w:rPr>
        <w:t xml:space="preserve">, A., </w:t>
      </w:r>
      <w:proofErr w:type="spellStart"/>
      <w:r w:rsidRPr="008076E8">
        <w:rPr>
          <w:color w:val="000000" w:themeColor="text1"/>
          <w:sz w:val="22"/>
          <w:szCs w:val="22"/>
          <w:highlight w:val="yellow"/>
          <w:shd w:val="clear" w:color="auto" w:fill="FFFFFF"/>
        </w:rPr>
        <w:t>Tolvanen</w:t>
      </w:r>
      <w:proofErr w:type="spellEnd"/>
      <w:r w:rsidRPr="008076E8">
        <w:rPr>
          <w:color w:val="000000" w:themeColor="text1"/>
          <w:sz w:val="22"/>
          <w:szCs w:val="22"/>
          <w:highlight w:val="yellow"/>
          <w:shd w:val="clear" w:color="auto" w:fill="FFFFFF"/>
        </w:rPr>
        <w:t xml:space="preserve">, A., </w:t>
      </w:r>
      <w:proofErr w:type="spellStart"/>
      <w:r w:rsidRPr="008076E8">
        <w:rPr>
          <w:color w:val="000000" w:themeColor="text1"/>
          <w:sz w:val="22"/>
          <w:szCs w:val="22"/>
          <w:highlight w:val="yellow"/>
          <w:shd w:val="clear" w:color="auto" w:fill="FFFFFF"/>
        </w:rPr>
        <w:t>Kinnunen</w:t>
      </w:r>
      <w:proofErr w:type="spellEnd"/>
      <w:r w:rsidRPr="008076E8">
        <w:rPr>
          <w:color w:val="000000" w:themeColor="text1"/>
          <w:sz w:val="22"/>
          <w:szCs w:val="22"/>
          <w:highlight w:val="yellow"/>
          <w:shd w:val="clear" w:color="auto" w:fill="FFFFFF"/>
        </w:rPr>
        <w:t xml:space="preserve">, S. M., &amp; </w:t>
      </w:r>
      <w:proofErr w:type="spellStart"/>
      <w:r w:rsidRPr="008076E8">
        <w:rPr>
          <w:color w:val="000000" w:themeColor="text1"/>
          <w:sz w:val="22"/>
          <w:szCs w:val="22"/>
          <w:highlight w:val="yellow"/>
          <w:shd w:val="clear" w:color="auto" w:fill="FFFFFF"/>
        </w:rPr>
        <w:t>Lappalainen</w:t>
      </w:r>
      <w:proofErr w:type="spellEnd"/>
      <w:r w:rsidRPr="008076E8">
        <w:rPr>
          <w:color w:val="000000" w:themeColor="text1"/>
          <w:sz w:val="22"/>
          <w:szCs w:val="22"/>
          <w:highlight w:val="yellow"/>
          <w:shd w:val="clear" w:color="auto" w:fill="FFFFFF"/>
        </w:rPr>
        <w:t xml:space="preserve">, R. (2020). A </w:t>
      </w:r>
      <w:proofErr w:type="spellStart"/>
      <w:r w:rsidRPr="008076E8">
        <w:rPr>
          <w:color w:val="000000" w:themeColor="text1"/>
          <w:sz w:val="22"/>
          <w:szCs w:val="22"/>
          <w:highlight w:val="yellow"/>
          <w:shd w:val="clear" w:color="auto" w:fill="FFFFFF"/>
        </w:rPr>
        <w:t>psychological</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flexibility-based</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intervention</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for</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Burnout</w:t>
      </w:r>
      <w:proofErr w:type="spellEnd"/>
      <w:r w:rsidRPr="008076E8">
        <w:rPr>
          <w:color w:val="000000" w:themeColor="text1"/>
          <w:sz w:val="22"/>
          <w:szCs w:val="22"/>
          <w:highlight w:val="yellow"/>
          <w:shd w:val="clear" w:color="auto" w:fill="FFFFFF"/>
        </w:rPr>
        <w:t xml:space="preserve">: A </w:t>
      </w:r>
      <w:proofErr w:type="spellStart"/>
      <w:r w:rsidRPr="008076E8">
        <w:rPr>
          <w:color w:val="000000" w:themeColor="text1"/>
          <w:sz w:val="22"/>
          <w:szCs w:val="22"/>
          <w:highlight w:val="yellow"/>
          <w:shd w:val="clear" w:color="auto" w:fill="FFFFFF"/>
        </w:rPr>
        <w:t>randomized</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controlled</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trial</w:t>
      </w:r>
      <w:proofErr w:type="spellEnd"/>
      <w:r w:rsidRPr="008076E8">
        <w:rPr>
          <w:color w:val="000000" w:themeColor="text1"/>
          <w:sz w:val="22"/>
          <w:szCs w:val="22"/>
          <w:highlight w:val="yellow"/>
          <w:shd w:val="clear" w:color="auto" w:fill="FFFFFF"/>
        </w:rPr>
        <w:t>.</w:t>
      </w:r>
      <w:r w:rsidRPr="008076E8">
        <w:rPr>
          <w:rStyle w:val="apple-converted-space"/>
          <w:color w:val="000000" w:themeColor="text1"/>
          <w:sz w:val="22"/>
          <w:szCs w:val="22"/>
          <w:highlight w:val="yellow"/>
          <w:shd w:val="clear" w:color="auto" w:fill="FFFFFF"/>
        </w:rPr>
        <w:t> </w:t>
      </w:r>
      <w:proofErr w:type="spellStart"/>
      <w:r w:rsidRPr="008076E8">
        <w:rPr>
          <w:i/>
          <w:iCs/>
          <w:color w:val="000000" w:themeColor="text1"/>
          <w:sz w:val="22"/>
          <w:szCs w:val="22"/>
          <w:highlight w:val="yellow"/>
        </w:rPr>
        <w:t>Journal</w:t>
      </w:r>
      <w:proofErr w:type="spellEnd"/>
      <w:r w:rsidRPr="008076E8">
        <w:rPr>
          <w:i/>
          <w:iCs/>
          <w:color w:val="000000" w:themeColor="text1"/>
          <w:sz w:val="22"/>
          <w:szCs w:val="22"/>
          <w:highlight w:val="yellow"/>
        </w:rPr>
        <w:t xml:space="preserve"> of </w:t>
      </w:r>
      <w:proofErr w:type="spellStart"/>
      <w:r w:rsidRPr="008076E8">
        <w:rPr>
          <w:i/>
          <w:iCs/>
          <w:color w:val="000000" w:themeColor="text1"/>
          <w:sz w:val="22"/>
          <w:szCs w:val="22"/>
          <w:highlight w:val="yellow"/>
        </w:rPr>
        <w:t>Contextual</w:t>
      </w:r>
      <w:proofErr w:type="spellEnd"/>
      <w:r w:rsidRPr="008076E8">
        <w:rPr>
          <w:i/>
          <w:iCs/>
          <w:color w:val="000000" w:themeColor="text1"/>
          <w:sz w:val="22"/>
          <w:szCs w:val="22"/>
          <w:highlight w:val="yellow"/>
        </w:rPr>
        <w:t xml:space="preserve"> </w:t>
      </w:r>
      <w:proofErr w:type="spellStart"/>
      <w:r w:rsidRPr="008076E8">
        <w:rPr>
          <w:i/>
          <w:iCs/>
          <w:color w:val="000000" w:themeColor="text1"/>
          <w:sz w:val="22"/>
          <w:szCs w:val="22"/>
          <w:highlight w:val="yellow"/>
        </w:rPr>
        <w:t>Behavioral</w:t>
      </w:r>
      <w:proofErr w:type="spellEnd"/>
      <w:r w:rsidRPr="008076E8">
        <w:rPr>
          <w:i/>
          <w:iCs/>
          <w:color w:val="000000" w:themeColor="text1"/>
          <w:sz w:val="22"/>
          <w:szCs w:val="22"/>
          <w:highlight w:val="yellow"/>
        </w:rPr>
        <w:t xml:space="preserve"> </w:t>
      </w:r>
      <w:proofErr w:type="spellStart"/>
      <w:r w:rsidRPr="008076E8">
        <w:rPr>
          <w:i/>
          <w:iCs/>
          <w:color w:val="000000" w:themeColor="text1"/>
          <w:sz w:val="22"/>
          <w:szCs w:val="22"/>
          <w:highlight w:val="yellow"/>
        </w:rPr>
        <w:t>Science</w:t>
      </w:r>
      <w:proofErr w:type="spellEnd"/>
      <w:r w:rsidRPr="008076E8">
        <w:rPr>
          <w:color w:val="000000" w:themeColor="text1"/>
          <w:sz w:val="22"/>
          <w:szCs w:val="22"/>
          <w:highlight w:val="yellow"/>
          <w:shd w:val="clear" w:color="auto" w:fill="FFFFFF"/>
        </w:rPr>
        <w:t>,</w:t>
      </w:r>
      <w:r w:rsidRPr="008076E8">
        <w:rPr>
          <w:rStyle w:val="apple-converted-space"/>
          <w:color w:val="000000" w:themeColor="text1"/>
          <w:sz w:val="22"/>
          <w:szCs w:val="22"/>
          <w:highlight w:val="yellow"/>
          <w:shd w:val="clear" w:color="auto" w:fill="FFFFFF"/>
        </w:rPr>
        <w:t> </w:t>
      </w:r>
      <w:r w:rsidRPr="008076E8">
        <w:rPr>
          <w:i/>
          <w:iCs/>
          <w:color w:val="000000" w:themeColor="text1"/>
          <w:sz w:val="22"/>
          <w:szCs w:val="22"/>
          <w:highlight w:val="yellow"/>
        </w:rPr>
        <w:t>15</w:t>
      </w:r>
      <w:r w:rsidRPr="008076E8">
        <w:rPr>
          <w:color w:val="000000" w:themeColor="text1"/>
          <w:sz w:val="22"/>
          <w:szCs w:val="22"/>
          <w:highlight w:val="yellow"/>
          <w:shd w:val="clear" w:color="auto" w:fill="FFFFFF"/>
        </w:rPr>
        <w:t xml:space="preserve">, 52-67. </w:t>
      </w:r>
      <w:hyperlink r:id="rId12" w:tgtFrame="_blank" w:tooltip="Persistent link using digital object identifier" w:history="1">
        <w:r w:rsidRPr="008076E8">
          <w:rPr>
            <w:rStyle w:val="Kpr"/>
            <w:color w:val="000000" w:themeColor="text1"/>
            <w:sz w:val="22"/>
            <w:szCs w:val="22"/>
            <w:highlight w:val="yellow"/>
            <w:u w:val="none"/>
          </w:rPr>
          <w:t>doi.org/10.1016/j.jcbs.2019.11.007</w:t>
        </w:r>
      </w:hyperlink>
      <w:r w:rsidRPr="008076E8">
        <w:rPr>
          <w:color w:val="000000" w:themeColor="text1"/>
          <w:sz w:val="22"/>
          <w:szCs w:val="22"/>
          <w:highlight w:val="yellow"/>
        </w:rPr>
        <w:t>.</w:t>
      </w:r>
    </w:p>
    <w:p w14:paraId="0C7B34BF" w14:textId="2A8FAE8A" w:rsidR="00AE06F1" w:rsidRPr="008076E8" w:rsidRDefault="00AD42D1" w:rsidP="008076E8">
      <w:pPr>
        <w:spacing w:before="100" w:beforeAutospacing="1" w:after="100" w:afterAutospacing="1" w:line="480" w:lineRule="auto"/>
        <w:jc w:val="both"/>
        <w:rPr>
          <w:color w:val="000000" w:themeColor="text1"/>
          <w:sz w:val="22"/>
          <w:szCs w:val="22"/>
          <w:shd w:val="clear" w:color="auto" w:fill="FFFFFF"/>
        </w:rPr>
      </w:pPr>
      <w:proofErr w:type="spellStart"/>
      <w:r w:rsidRPr="008076E8">
        <w:rPr>
          <w:color w:val="000000" w:themeColor="text1"/>
          <w:sz w:val="22"/>
          <w:szCs w:val="22"/>
          <w:highlight w:val="yellow"/>
          <w:shd w:val="clear" w:color="auto" w:fill="FFFFFF"/>
        </w:rPr>
        <w:t>Ramaci</w:t>
      </w:r>
      <w:proofErr w:type="spellEnd"/>
      <w:r w:rsidRPr="008076E8">
        <w:rPr>
          <w:color w:val="000000" w:themeColor="text1"/>
          <w:sz w:val="22"/>
          <w:szCs w:val="22"/>
          <w:highlight w:val="yellow"/>
          <w:shd w:val="clear" w:color="auto" w:fill="FFFFFF"/>
        </w:rPr>
        <w:t xml:space="preserve">, T., Bellini, D., Presti, G., &amp; </w:t>
      </w:r>
      <w:proofErr w:type="spellStart"/>
      <w:r w:rsidRPr="008076E8">
        <w:rPr>
          <w:color w:val="000000" w:themeColor="text1"/>
          <w:sz w:val="22"/>
          <w:szCs w:val="22"/>
          <w:highlight w:val="yellow"/>
          <w:shd w:val="clear" w:color="auto" w:fill="FFFFFF"/>
        </w:rPr>
        <w:t>Santisi</w:t>
      </w:r>
      <w:proofErr w:type="spellEnd"/>
      <w:r w:rsidRPr="008076E8">
        <w:rPr>
          <w:color w:val="000000" w:themeColor="text1"/>
          <w:sz w:val="22"/>
          <w:szCs w:val="22"/>
          <w:highlight w:val="yellow"/>
          <w:shd w:val="clear" w:color="auto" w:fill="FFFFFF"/>
        </w:rPr>
        <w:t xml:space="preserve">, G. (2019). </w:t>
      </w:r>
      <w:proofErr w:type="spellStart"/>
      <w:r w:rsidRPr="008076E8">
        <w:rPr>
          <w:color w:val="000000" w:themeColor="text1"/>
          <w:sz w:val="22"/>
          <w:szCs w:val="22"/>
          <w:highlight w:val="yellow"/>
          <w:shd w:val="clear" w:color="auto" w:fill="FFFFFF"/>
        </w:rPr>
        <w:t>Psychological</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Flexibility</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and</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Mindfulness</w:t>
      </w:r>
      <w:proofErr w:type="spellEnd"/>
      <w:r w:rsidRPr="008076E8">
        <w:rPr>
          <w:color w:val="000000" w:themeColor="text1"/>
          <w:sz w:val="22"/>
          <w:szCs w:val="22"/>
          <w:highlight w:val="yellow"/>
          <w:shd w:val="clear" w:color="auto" w:fill="FFFFFF"/>
        </w:rPr>
        <w:t xml:space="preserve"> as </w:t>
      </w:r>
      <w:proofErr w:type="spellStart"/>
      <w:r w:rsidRPr="008076E8">
        <w:rPr>
          <w:color w:val="000000" w:themeColor="text1"/>
          <w:sz w:val="22"/>
          <w:szCs w:val="22"/>
          <w:highlight w:val="yellow"/>
          <w:shd w:val="clear" w:color="auto" w:fill="FFFFFF"/>
        </w:rPr>
        <w:t>predictors</w:t>
      </w:r>
      <w:proofErr w:type="spellEnd"/>
      <w:r w:rsidRPr="008076E8">
        <w:rPr>
          <w:color w:val="000000" w:themeColor="text1"/>
          <w:sz w:val="22"/>
          <w:szCs w:val="22"/>
          <w:highlight w:val="yellow"/>
          <w:shd w:val="clear" w:color="auto" w:fill="FFFFFF"/>
        </w:rPr>
        <w:t xml:space="preserve"> of </w:t>
      </w:r>
      <w:proofErr w:type="spellStart"/>
      <w:r w:rsidRPr="008076E8">
        <w:rPr>
          <w:color w:val="000000" w:themeColor="text1"/>
          <w:sz w:val="22"/>
          <w:szCs w:val="22"/>
          <w:highlight w:val="yellow"/>
          <w:shd w:val="clear" w:color="auto" w:fill="FFFFFF"/>
        </w:rPr>
        <w:t>individual</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outcomes</w:t>
      </w:r>
      <w:proofErr w:type="spellEnd"/>
      <w:r w:rsidRPr="008076E8">
        <w:rPr>
          <w:color w:val="000000" w:themeColor="text1"/>
          <w:sz w:val="22"/>
          <w:szCs w:val="22"/>
          <w:highlight w:val="yellow"/>
          <w:shd w:val="clear" w:color="auto" w:fill="FFFFFF"/>
        </w:rPr>
        <w:t xml:space="preserve"> in </w:t>
      </w:r>
      <w:proofErr w:type="spellStart"/>
      <w:r w:rsidRPr="008076E8">
        <w:rPr>
          <w:color w:val="000000" w:themeColor="text1"/>
          <w:sz w:val="22"/>
          <w:szCs w:val="22"/>
          <w:highlight w:val="yellow"/>
          <w:shd w:val="clear" w:color="auto" w:fill="FFFFFF"/>
        </w:rPr>
        <w:t>hospital</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health</w:t>
      </w:r>
      <w:proofErr w:type="spellEnd"/>
      <w:r w:rsidRPr="008076E8">
        <w:rPr>
          <w:color w:val="000000" w:themeColor="text1"/>
          <w:sz w:val="22"/>
          <w:szCs w:val="22"/>
          <w:highlight w:val="yellow"/>
          <w:shd w:val="clear" w:color="auto" w:fill="FFFFFF"/>
        </w:rPr>
        <w:t xml:space="preserve"> </w:t>
      </w:r>
      <w:proofErr w:type="spellStart"/>
      <w:r w:rsidRPr="008076E8">
        <w:rPr>
          <w:color w:val="000000" w:themeColor="text1"/>
          <w:sz w:val="22"/>
          <w:szCs w:val="22"/>
          <w:highlight w:val="yellow"/>
          <w:shd w:val="clear" w:color="auto" w:fill="FFFFFF"/>
        </w:rPr>
        <w:t>workers</w:t>
      </w:r>
      <w:proofErr w:type="spellEnd"/>
      <w:r w:rsidRPr="008076E8">
        <w:rPr>
          <w:color w:val="000000" w:themeColor="text1"/>
          <w:sz w:val="22"/>
          <w:szCs w:val="22"/>
          <w:highlight w:val="yellow"/>
          <w:shd w:val="clear" w:color="auto" w:fill="FFFFFF"/>
        </w:rPr>
        <w:t>.</w:t>
      </w:r>
      <w:r w:rsidRPr="008076E8">
        <w:rPr>
          <w:rStyle w:val="apple-converted-space"/>
          <w:color w:val="000000" w:themeColor="text1"/>
          <w:sz w:val="22"/>
          <w:szCs w:val="22"/>
          <w:highlight w:val="yellow"/>
          <w:shd w:val="clear" w:color="auto" w:fill="FFFFFF"/>
        </w:rPr>
        <w:t> </w:t>
      </w:r>
      <w:r w:rsidRPr="008076E8">
        <w:rPr>
          <w:i/>
          <w:iCs/>
          <w:color w:val="000000" w:themeColor="text1"/>
          <w:sz w:val="22"/>
          <w:szCs w:val="22"/>
          <w:highlight w:val="yellow"/>
        </w:rPr>
        <w:t xml:space="preserve">Front </w:t>
      </w:r>
      <w:proofErr w:type="spellStart"/>
      <w:r w:rsidRPr="008076E8">
        <w:rPr>
          <w:i/>
          <w:iCs/>
          <w:color w:val="000000" w:themeColor="text1"/>
          <w:sz w:val="22"/>
          <w:szCs w:val="22"/>
          <w:highlight w:val="yellow"/>
        </w:rPr>
        <w:t>Psychol</w:t>
      </w:r>
      <w:proofErr w:type="spellEnd"/>
      <w:r w:rsidRPr="008076E8">
        <w:rPr>
          <w:rStyle w:val="apple-converted-space"/>
          <w:color w:val="000000" w:themeColor="text1"/>
          <w:sz w:val="22"/>
          <w:szCs w:val="22"/>
          <w:highlight w:val="yellow"/>
          <w:shd w:val="clear" w:color="auto" w:fill="FFFFFF"/>
        </w:rPr>
        <w:t> </w:t>
      </w:r>
      <w:r w:rsidRPr="008076E8">
        <w:rPr>
          <w:i/>
          <w:iCs/>
          <w:color w:val="000000" w:themeColor="text1"/>
          <w:sz w:val="22"/>
          <w:szCs w:val="22"/>
          <w:highlight w:val="yellow"/>
        </w:rPr>
        <w:t>10</w:t>
      </w:r>
      <w:r w:rsidR="00AE06F1" w:rsidRPr="008076E8">
        <w:rPr>
          <w:color w:val="000000" w:themeColor="text1"/>
          <w:sz w:val="22"/>
          <w:szCs w:val="22"/>
          <w:highlight w:val="yellow"/>
          <w:shd w:val="clear" w:color="auto" w:fill="FFFFFF"/>
        </w:rPr>
        <w:t xml:space="preserve">: </w:t>
      </w:r>
      <w:r w:rsidRPr="008076E8">
        <w:rPr>
          <w:color w:val="000000" w:themeColor="text1"/>
          <w:sz w:val="22"/>
          <w:szCs w:val="22"/>
          <w:highlight w:val="yellow"/>
          <w:shd w:val="clear" w:color="auto" w:fill="FFFFFF"/>
        </w:rPr>
        <w:t>1302</w:t>
      </w:r>
      <w:r w:rsidR="00AE06F1" w:rsidRPr="008076E8">
        <w:rPr>
          <w:color w:val="000000" w:themeColor="text1"/>
          <w:sz w:val="22"/>
          <w:szCs w:val="22"/>
          <w:highlight w:val="yellow"/>
          <w:shd w:val="clear" w:color="auto" w:fill="FFFFFF"/>
        </w:rPr>
        <w:t xml:space="preserve">. </w:t>
      </w:r>
      <w:proofErr w:type="spellStart"/>
      <w:proofErr w:type="gramStart"/>
      <w:r w:rsidR="00AE06F1" w:rsidRPr="008076E8">
        <w:rPr>
          <w:color w:val="000000" w:themeColor="text1"/>
          <w:sz w:val="22"/>
          <w:szCs w:val="22"/>
          <w:highlight w:val="yellow"/>
          <w:shd w:val="clear" w:color="auto" w:fill="FFFFFF"/>
        </w:rPr>
        <w:t>doi</w:t>
      </w:r>
      <w:proofErr w:type="spellEnd"/>
      <w:proofErr w:type="gramEnd"/>
      <w:r w:rsidR="00AE06F1" w:rsidRPr="008076E8">
        <w:rPr>
          <w:color w:val="000000" w:themeColor="text1"/>
          <w:sz w:val="22"/>
          <w:szCs w:val="22"/>
          <w:highlight w:val="yellow"/>
          <w:shd w:val="clear" w:color="auto" w:fill="FFFFFF"/>
        </w:rPr>
        <w:t>: 10.3389/fpsyg.2019.01302.</w:t>
      </w:r>
    </w:p>
    <w:p w14:paraId="27A82E19" w14:textId="5334150B" w:rsidR="002E6D87" w:rsidRPr="008076E8" w:rsidRDefault="002E6D87" w:rsidP="008076E8">
      <w:pPr>
        <w:spacing w:line="480" w:lineRule="auto"/>
        <w:jc w:val="both"/>
        <w:rPr>
          <w:color w:val="000000" w:themeColor="text1"/>
          <w:sz w:val="22"/>
          <w:szCs w:val="22"/>
          <w:lang w:val="en-US"/>
        </w:rPr>
      </w:pPr>
      <w:proofErr w:type="spellStart"/>
      <w:r w:rsidRPr="008076E8">
        <w:rPr>
          <w:color w:val="000000" w:themeColor="text1"/>
          <w:sz w:val="22"/>
          <w:szCs w:val="22"/>
          <w:shd w:val="clear" w:color="auto" w:fill="FFFFFF"/>
          <w:lang w:val="en-US"/>
        </w:rPr>
        <w:t>Rotenstein</w:t>
      </w:r>
      <w:proofErr w:type="spellEnd"/>
      <w:r w:rsidRPr="008076E8">
        <w:rPr>
          <w:color w:val="000000" w:themeColor="text1"/>
          <w:sz w:val="22"/>
          <w:szCs w:val="22"/>
          <w:shd w:val="clear" w:color="auto" w:fill="FFFFFF"/>
          <w:lang w:val="en-US"/>
        </w:rPr>
        <w:t xml:space="preserve">, L. S., Torre, M., Ramos, M. A., Rosales, R. C., </w:t>
      </w:r>
      <w:proofErr w:type="spellStart"/>
      <w:r w:rsidRPr="008076E8">
        <w:rPr>
          <w:color w:val="000000" w:themeColor="text1"/>
          <w:sz w:val="22"/>
          <w:szCs w:val="22"/>
          <w:shd w:val="clear" w:color="auto" w:fill="FFFFFF"/>
          <w:lang w:val="en-US"/>
        </w:rPr>
        <w:t>Guille</w:t>
      </w:r>
      <w:proofErr w:type="spellEnd"/>
      <w:r w:rsidRPr="008076E8">
        <w:rPr>
          <w:color w:val="000000" w:themeColor="text1"/>
          <w:sz w:val="22"/>
          <w:szCs w:val="22"/>
          <w:shd w:val="clear" w:color="auto" w:fill="FFFFFF"/>
          <w:lang w:val="en-US"/>
        </w:rPr>
        <w:t>, C., Sen, S… Mata, D. A. (2018). Prevalence of burnout among physicians: a systematic review. </w:t>
      </w:r>
      <w:r w:rsidRPr="008076E8">
        <w:rPr>
          <w:i/>
          <w:iCs/>
          <w:color w:val="000000" w:themeColor="text1"/>
          <w:sz w:val="22"/>
          <w:szCs w:val="22"/>
          <w:lang w:val="en-US"/>
        </w:rPr>
        <w:t>Jama</w:t>
      </w:r>
      <w:r w:rsidRPr="008076E8">
        <w:rPr>
          <w:color w:val="000000" w:themeColor="text1"/>
          <w:sz w:val="22"/>
          <w:szCs w:val="22"/>
          <w:shd w:val="clear" w:color="auto" w:fill="FFFFFF"/>
          <w:lang w:val="en-US"/>
        </w:rPr>
        <w:t>, </w:t>
      </w:r>
      <w:r w:rsidRPr="008076E8">
        <w:rPr>
          <w:i/>
          <w:iCs/>
          <w:color w:val="000000" w:themeColor="text1"/>
          <w:sz w:val="22"/>
          <w:szCs w:val="22"/>
          <w:lang w:val="en-US"/>
        </w:rPr>
        <w:t>320</w:t>
      </w:r>
      <w:r w:rsidRPr="008076E8">
        <w:rPr>
          <w:color w:val="000000" w:themeColor="text1"/>
          <w:sz w:val="22"/>
          <w:szCs w:val="22"/>
          <w:shd w:val="clear" w:color="auto" w:fill="FFFFFF"/>
          <w:lang w:val="en-US"/>
        </w:rPr>
        <w:t>(11), 1131-1150</w:t>
      </w:r>
      <w:r w:rsidR="002F07AD" w:rsidRPr="008076E8">
        <w:rPr>
          <w:color w:val="000000" w:themeColor="text1"/>
          <w:sz w:val="22"/>
          <w:szCs w:val="22"/>
          <w:shd w:val="clear" w:color="auto" w:fill="FFFFFF"/>
          <w:lang w:val="en-US"/>
        </w:rPr>
        <w:t xml:space="preserve">.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10.1001/jama.2018.12777.</w:t>
      </w:r>
    </w:p>
    <w:p w14:paraId="79FD4BC5" w14:textId="77777777" w:rsidR="002E6D87" w:rsidRPr="008076E8" w:rsidRDefault="002E6D87" w:rsidP="008076E8">
      <w:pPr>
        <w:spacing w:line="480" w:lineRule="auto"/>
        <w:jc w:val="both"/>
        <w:rPr>
          <w:color w:val="000000" w:themeColor="text1"/>
          <w:sz w:val="22"/>
          <w:szCs w:val="22"/>
          <w:shd w:val="clear" w:color="auto" w:fill="FFFFFF"/>
          <w:lang w:val="en-US"/>
        </w:rPr>
      </w:pPr>
      <w:r w:rsidRPr="008076E8">
        <w:rPr>
          <w:color w:val="000000" w:themeColor="text1"/>
          <w:sz w:val="22"/>
          <w:szCs w:val="22"/>
          <w:shd w:val="clear" w:color="auto" w:fill="FFFFFF"/>
          <w:lang w:val="en-US"/>
        </w:rPr>
        <w:t xml:space="preserve">Ruiz, F. J., &amp; </w:t>
      </w:r>
      <w:proofErr w:type="spellStart"/>
      <w:r w:rsidRPr="008076E8">
        <w:rPr>
          <w:color w:val="000000" w:themeColor="text1"/>
          <w:sz w:val="22"/>
          <w:szCs w:val="22"/>
          <w:shd w:val="clear" w:color="auto" w:fill="FFFFFF"/>
          <w:lang w:val="en-US"/>
        </w:rPr>
        <w:t>Odriozola</w:t>
      </w:r>
      <w:proofErr w:type="spellEnd"/>
      <w:r w:rsidRPr="008076E8">
        <w:rPr>
          <w:color w:val="000000" w:themeColor="text1"/>
          <w:sz w:val="22"/>
          <w:szCs w:val="22"/>
          <w:shd w:val="clear" w:color="auto" w:fill="FFFFFF"/>
          <w:lang w:val="en-US"/>
        </w:rPr>
        <w:t>-González, P. (2017). The Predictive and moderating role of psychological flexibility in the development of job burnout. </w:t>
      </w:r>
      <w:r w:rsidRPr="008076E8">
        <w:rPr>
          <w:i/>
          <w:iCs/>
          <w:color w:val="000000" w:themeColor="text1"/>
          <w:sz w:val="22"/>
          <w:szCs w:val="22"/>
          <w:shd w:val="clear" w:color="auto" w:fill="FFFFFF"/>
          <w:lang w:val="en-US"/>
        </w:rPr>
        <w:t>Univ Psychol</w:t>
      </w:r>
      <w:r w:rsidRPr="008076E8">
        <w:rPr>
          <w:color w:val="000000" w:themeColor="text1"/>
          <w:sz w:val="22"/>
          <w:szCs w:val="22"/>
          <w:shd w:val="clear" w:color="auto" w:fill="FFFFFF"/>
          <w:lang w:val="en-US"/>
        </w:rPr>
        <w:t>, </w:t>
      </w:r>
      <w:r w:rsidRPr="008076E8">
        <w:rPr>
          <w:i/>
          <w:iCs/>
          <w:color w:val="000000" w:themeColor="text1"/>
          <w:sz w:val="22"/>
          <w:szCs w:val="22"/>
          <w:shd w:val="clear" w:color="auto" w:fill="FFFFFF"/>
          <w:lang w:val="en-US"/>
        </w:rPr>
        <w:t>16</w:t>
      </w:r>
      <w:r w:rsidRPr="008076E8">
        <w:rPr>
          <w:color w:val="000000" w:themeColor="text1"/>
          <w:sz w:val="22"/>
          <w:szCs w:val="22"/>
          <w:shd w:val="clear" w:color="auto" w:fill="FFFFFF"/>
          <w:lang w:val="en-US"/>
        </w:rPr>
        <w:t>(4), 282-289.doi.org/10.11144/javeriana.upsy16-4.pmrp.</w:t>
      </w:r>
    </w:p>
    <w:p w14:paraId="0550CAD8" w14:textId="77777777" w:rsidR="002E6D87" w:rsidRPr="008076E8" w:rsidRDefault="002E6D87" w:rsidP="008076E8">
      <w:pPr>
        <w:spacing w:line="480" w:lineRule="auto"/>
        <w:jc w:val="both"/>
        <w:rPr>
          <w:color w:val="000000" w:themeColor="text1"/>
          <w:sz w:val="22"/>
          <w:szCs w:val="22"/>
          <w:lang w:val="en-US"/>
        </w:rPr>
      </w:pPr>
      <w:r w:rsidRPr="008076E8">
        <w:rPr>
          <w:color w:val="000000" w:themeColor="text1"/>
          <w:sz w:val="22"/>
          <w:szCs w:val="22"/>
          <w:shd w:val="clear" w:color="auto" w:fill="FFFFFF"/>
          <w:lang w:val="en-US"/>
        </w:rPr>
        <w:t>Sadock, B. J., &amp; Sadock, V. A. (2011). </w:t>
      </w:r>
      <w:r w:rsidRPr="008076E8">
        <w:rPr>
          <w:i/>
          <w:iCs/>
          <w:color w:val="000000" w:themeColor="text1"/>
          <w:sz w:val="22"/>
          <w:szCs w:val="22"/>
          <w:shd w:val="clear" w:color="auto" w:fill="FFFFFF"/>
          <w:lang w:val="en-US"/>
        </w:rPr>
        <w:t>Kaplan and Sadock's synopsis of psychiatry: Behavioral sciences/clinical psychiatry</w:t>
      </w:r>
      <w:r w:rsidRPr="008076E8">
        <w:rPr>
          <w:color w:val="000000" w:themeColor="text1"/>
          <w:sz w:val="22"/>
          <w:szCs w:val="22"/>
          <w:shd w:val="clear" w:color="auto" w:fill="FFFFFF"/>
          <w:lang w:val="en-US"/>
        </w:rPr>
        <w:t>. Lippincott Williams &amp; Wilkins.</w:t>
      </w:r>
    </w:p>
    <w:p w14:paraId="078260C4" w14:textId="77777777" w:rsidR="002E6D87" w:rsidRPr="008076E8" w:rsidRDefault="002E6D87" w:rsidP="008076E8">
      <w:pPr>
        <w:spacing w:after="60" w:line="480" w:lineRule="auto"/>
        <w:jc w:val="both"/>
        <w:rPr>
          <w:color w:val="000000" w:themeColor="text1"/>
          <w:sz w:val="22"/>
          <w:szCs w:val="22"/>
          <w:lang w:val="en-US"/>
        </w:rPr>
      </w:pPr>
      <w:proofErr w:type="spellStart"/>
      <w:r w:rsidRPr="008076E8">
        <w:rPr>
          <w:color w:val="000000" w:themeColor="text1"/>
          <w:sz w:val="22"/>
          <w:szCs w:val="22"/>
          <w:lang w:val="en-US"/>
        </w:rPr>
        <w:t>Sariçam</w:t>
      </w:r>
      <w:proofErr w:type="spellEnd"/>
      <w:r w:rsidRPr="008076E8">
        <w:rPr>
          <w:color w:val="000000" w:themeColor="text1"/>
          <w:sz w:val="22"/>
          <w:szCs w:val="22"/>
          <w:lang w:val="en-US"/>
        </w:rPr>
        <w:t xml:space="preserve">, H. (2018). The psychometric properties of Turkish version of Depression Anxiety Stress Scale-21 (DASS-21) in health control and clinical samples. </w:t>
      </w:r>
      <w:r w:rsidRPr="008076E8">
        <w:rPr>
          <w:i/>
          <w:iCs/>
          <w:color w:val="000000" w:themeColor="text1"/>
          <w:sz w:val="22"/>
          <w:szCs w:val="22"/>
          <w:lang w:val="en-US"/>
        </w:rPr>
        <w:t xml:space="preserve">J Cognit. </w:t>
      </w:r>
      <w:proofErr w:type="spellStart"/>
      <w:r w:rsidRPr="008076E8">
        <w:rPr>
          <w:i/>
          <w:iCs/>
          <w:color w:val="000000" w:themeColor="text1"/>
          <w:sz w:val="22"/>
          <w:szCs w:val="22"/>
          <w:lang w:val="en-US"/>
        </w:rPr>
        <w:t>Behav</w:t>
      </w:r>
      <w:proofErr w:type="spellEnd"/>
      <w:r w:rsidRPr="008076E8">
        <w:rPr>
          <w:i/>
          <w:iCs/>
          <w:color w:val="000000" w:themeColor="text1"/>
          <w:sz w:val="22"/>
          <w:szCs w:val="22"/>
          <w:lang w:val="en-US"/>
        </w:rPr>
        <w:t xml:space="preserve">. </w:t>
      </w:r>
      <w:proofErr w:type="spellStart"/>
      <w:r w:rsidRPr="008076E8">
        <w:rPr>
          <w:i/>
          <w:iCs/>
          <w:color w:val="000000" w:themeColor="text1"/>
          <w:sz w:val="22"/>
          <w:szCs w:val="22"/>
          <w:lang w:val="en-US"/>
        </w:rPr>
        <w:t>Psychother</w:t>
      </w:r>
      <w:proofErr w:type="spellEnd"/>
      <w:r w:rsidRPr="008076E8">
        <w:rPr>
          <w:i/>
          <w:iCs/>
          <w:color w:val="000000" w:themeColor="text1"/>
          <w:sz w:val="22"/>
          <w:szCs w:val="22"/>
          <w:lang w:val="en-US"/>
        </w:rPr>
        <w:t>. Res. 7</w:t>
      </w:r>
      <w:r w:rsidRPr="008076E8">
        <w:rPr>
          <w:color w:val="000000" w:themeColor="text1"/>
          <w:sz w:val="22"/>
          <w:szCs w:val="22"/>
          <w:lang w:val="en-US"/>
        </w:rPr>
        <w:t xml:space="preserve">, 19–30. </w:t>
      </w:r>
      <w:proofErr w:type="spellStart"/>
      <w:r w:rsidRPr="008076E8">
        <w:rPr>
          <w:color w:val="000000" w:themeColor="text1"/>
          <w:sz w:val="22"/>
          <w:szCs w:val="22"/>
          <w:lang w:val="en-US"/>
        </w:rPr>
        <w:t>doi</w:t>
      </w:r>
      <w:proofErr w:type="spellEnd"/>
      <w:r w:rsidRPr="008076E8">
        <w:rPr>
          <w:color w:val="000000" w:themeColor="text1"/>
          <w:sz w:val="22"/>
          <w:szCs w:val="22"/>
          <w:lang w:val="en-US"/>
        </w:rPr>
        <w:t>:</w:t>
      </w:r>
      <w:r w:rsidRPr="008076E8">
        <w:rPr>
          <w:rStyle w:val="apple-converted-space"/>
          <w:color w:val="000000" w:themeColor="text1"/>
          <w:sz w:val="22"/>
          <w:szCs w:val="22"/>
          <w:lang w:val="en-US"/>
        </w:rPr>
        <w:t> </w:t>
      </w:r>
      <w:hyperlink r:id="rId13" w:history="1">
        <w:r w:rsidRPr="008076E8">
          <w:rPr>
            <w:rStyle w:val="Kpr"/>
            <w:color w:val="000000" w:themeColor="text1"/>
            <w:sz w:val="22"/>
            <w:szCs w:val="22"/>
            <w:u w:val="none"/>
            <w:bdr w:val="none" w:sz="0" w:space="0" w:color="auto" w:frame="1"/>
            <w:lang w:val="en-US"/>
          </w:rPr>
          <w:t>10.5455/JCBPR.274847</w:t>
        </w:r>
      </w:hyperlink>
      <w:r w:rsidRPr="008076E8">
        <w:rPr>
          <w:color w:val="000000" w:themeColor="text1"/>
          <w:sz w:val="22"/>
          <w:szCs w:val="22"/>
          <w:lang w:val="en-US"/>
        </w:rPr>
        <w:t>.</w:t>
      </w:r>
    </w:p>
    <w:p w14:paraId="2FC6FDB2" w14:textId="77777777" w:rsidR="002E6D87" w:rsidRPr="008076E8" w:rsidRDefault="002E6D87" w:rsidP="008076E8">
      <w:pPr>
        <w:spacing w:line="480" w:lineRule="auto"/>
        <w:jc w:val="both"/>
        <w:rPr>
          <w:color w:val="000000" w:themeColor="text1"/>
          <w:sz w:val="22"/>
          <w:szCs w:val="22"/>
          <w:shd w:val="clear" w:color="auto" w:fill="FFFFFF"/>
          <w:lang w:val="en-US"/>
        </w:rPr>
      </w:pPr>
      <w:proofErr w:type="spellStart"/>
      <w:r w:rsidRPr="008076E8">
        <w:rPr>
          <w:color w:val="000000" w:themeColor="text1"/>
          <w:sz w:val="22"/>
          <w:szCs w:val="22"/>
          <w:shd w:val="clear" w:color="auto" w:fill="FFFFFF"/>
          <w:lang w:val="en-US"/>
        </w:rPr>
        <w:lastRenderedPageBreak/>
        <w:t>Simionato</w:t>
      </w:r>
      <w:proofErr w:type="spellEnd"/>
      <w:r w:rsidRPr="008076E8">
        <w:rPr>
          <w:color w:val="000000" w:themeColor="text1"/>
          <w:sz w:val="22"/>
          <w:szCs w:val="22"/>
          <w:shd w:val="clear" w:color="auto" w:fill="FFFFFF"/>
          <w:lang w:val="en-US"/>
        </w:rPr>
        <w:t>, G. K., &amp; Simpson, S. (2018). Personal risk factors associated with burnout among psychotherapists: A systematic review of the literature. </w:t>
      </w:r>
      <w:r w:rsidRPr="008076E8">
        <w:rPr>
          <w:i/>
          <w:iCs/>
          <w:color w:val="000000" w:themeColor="text1"/>
          <w:sz w:val="22"/>
          <w:szCs w:val="22"/>
          <w:shd w:val="clear" w:color="auto" w:fill="FFFFFF"/>
          <w:lang w:val="en-US"/>
        </w:rPr>
        <w:t>J Clin Psychol</w:t>
      </w:r>
      <w:r w:rsidRPr="008076E8">
        <w:rPr>
          <w:color w:val="000000" w:themeColor="text1"/>
          <w:sz w:val="22"/>
          <w:szCs w:val="22"/>
          <w:shd w:val="clear" w:color="auto" w:fill="FFFFFF"/>
          <w:lang w:val="en-US"/>
        </w:rPr>
        <w:t>, </w:t>
      </w:r>
      <w:r w:rsidRPr="008076E8">
        <w:rPr>
          <w:i/>
          <w:iCs/>
          <w:color w:val="000000" w:themeColor="text1"/>
          <w:sz w:val="22"/>
          <w:szCs w:val="22"/>
          <w:shd w:val="clear" w:color="auto" w:fill="FFFFFF"/>
          <w:lang w:val="en-US"/>
        </w:rPr>
        <w:t>74</w:t>
      </w:r>
      <w:r w:rsidRPr="008076E8">
        <w:rPr>
          <w:color w:val="000000" w:themeColor="text1"/>
          <w:sz w:val="22"/>
          <w:szCs w:val="22"/>
          <w:shd w:val="clear" w:color="auto" w:fill="FFFFFF"/>
          <w:lang w:val="en-US"/>
        </w:rPr>
        <w:t xml:space="preserve">(9), 1431-1456. </w:t>
      </w:r>
      <w:proofErr w:type="spellStart"/>
      <w:r w:rsidRPr="008076E8">
        <w:rPr>
          <w:rStyle w:val="citation-doi"/>
          <w:color w:val="000000" w:themeColor="text1"/>
          <w:sz w:val="22"/>
          <w:szCs w:val="22"/>
          <w:lang w:val="en-US"/>
        </w:rPr>
        <w:t>doi</w:t>
      </w:r>
      <w:proofErr w:type="spellEnd"/>
      <w:r w:rsidRPr="008076E8">
        <w:rPr>
          <w:rStyle w:val="citation-doi"/>
          <w:color w:val="000000" w:themeColor="text1"/>
          <w:sz w:val="22"/>
          <w:szCs w:val="22"/>
          <w:lang w:val="en-US"/>
        </w:rPr>
        <w:t>: 10.1002/jclp.22615.</w:t>
      </w:r>
    </w:p>
    <w:p w14:paraId="7FFF5BDE" w14:textId="4A7579E2" w:rsidR="002E6D87" w:rsidRPr="008076E8" w:rsidRDefault="002E6D87" w:rsidP="008076E8">
      <w:pPr>
        <w:spacing w:line="480" w:lineRule="auto"/>
        <w:jc w:val="both"/>
        <w:rPr>
          <w:color w:val="000000" w:themeColor="text1"/>
          <w:sz w:val="22"/>
          <w:szCs w:val="22"/>
          <w:lang w:val="en-US"/>
        </w:rPr>
      </w:pPr>
      <w:r w:rsidRPr="008076E8">
        <w:rPr>
          <w:color w:val="000000" w:themeColor="text1"/>
          <w:sz w:val="22"/>
          <w:szCs w:val="22"/>
          <w:shd w:val="clear" w:color="auto" w:fill="FFFFFF"/>
          <w:lang w:val="en-US"/>
        </w:rPr>
        <w:t>Solomon, R. L., &amp; Wynne, L. C. (1954). Traumatic avoidance learning: the principles of anxiety conservation and partial irreversibility. </w:t>
      </w:r>
      <w:r w:rsidRPr="008076E8">
        <w:rPr>
          <w:i/>
          <w:iCs/>
          <w:color w:val="000000" w:themeColor="text1"/>
          <w:sz w:val="22"/>
          <w:szCs w:val="22"/>
          <w:shd w:val="clear" w:color="auto" w:fill="FFFFFF"/>
          <w:lang w:val="en-US"/>
        </w:rPr>
        <w:t>Psychological review</w:t>
      </w:r>
      <w:r w:rsidRPr="008076E8">
        <w:rPr>
          <w:color w:val="000000" w:themeColor="text1"/>
          <w:sz w:val="22"/>
          <w:szCs w:val="22"/>
          <w:shd w:val="clear" w:color="auto" w:fill="FFFFFF"/>
          <w:lang w:val="en-US"/>
        </w:rPr>
        <w:t>, </w:t>
      </w:r>
      <w:r w:rsidRPr="008076E8">
        <w:rPr>
          <w:i/>
          <w:iCs/>
          <w:color w:val="000000" w:themeColor="text1"/>
          <w:sz w:val="22"/>
          <w:szCs w:val="22"/>
          <w:shd w:val="clear" w:color="auto" w:fill="FFFFFF"/>
          <w:lang w:val="en-US"/>
        </w:rPr>
        <w:t>61</w:t>
      </w:r>
      <w:r w:rsidRPr="008076E8">
        <w:rPr>
          <w:color w:val="000000" w:themeColor="text1"/>
          <w:sz w:val="22"/>
          <w:szCs w:val="22"/>
          <w:shd w:val="clear" w:color="auto" w:fill="FFFFFF"/>
          <w:lang w:val="en-US"/>
        </w:rPr>
        <w:t>(6), 353-385.</w:t>
      </w:r>
      <w:hyperlink r:id="rId14" w:history="1">
        <w:r w:rsidR="006F3D96" w:rsidRPr="008076E8">
          <w:rPr>
            <w:rStyle w:val="Kpr"/>
            <w:sz w:val="22"/>
            <w:szCs w:val="22"/>
            <w:u w:val="none"/>
            <w:lang w:val="en-US"/>
          </w:rPr>
          <w:t xml:space="preserve"> </w:t>
        </w:r>
        <w:r w:rsidRPr="008076E8">
          <w:rPr>
            <w:rStyle w:val="Kpr"/>
            <w:color w:val="000000" w:themeColor="text1"/>
            <w:sz w:val="22"/>
            <w:szCs w:val="22"/>
            <w:u w:val="none"/>
            <w:lang w:val="en-US"/>
          </w:rPr>
          <w:t>doi.org/10.1037/h0054540</w:t>
        </w:r>
      </w:hyperlink>
      <w:r w:rsidR="006F3D96" w:rsidRPr="008076E8">
        <w:rPr>
          <w:rStyle w:val="Kpr"/>
          <w:sz w:val="22"/>
          <w:szCs w:val="22"/>
          <w:u w:val="none"/>
          <w:lang w:val="en-US"/>
        </w:rPr>
        <w:t>.</w:t>
      </w:r>
    </w:p>
    <w:p w14:paraId="02745B6C" w14:textId="77777777" w:rsidR="002E6D87" w:rsidRPr="008076E8" w:rsidRDefault="002E6D87" w:rsidP="008076E8">
      <w:pPr>
        <w:spacing w:line="480" w:lineRule="auto"/>
        <w:jc w:val="both"/>
        <w:rPr>
          <w:color w:val="000000" w:themeColor="text1"/>
          <w:sz w:val="22"/>
          <w:szCs w:val="22"/>
          <w:lang w:val="en-US"/>
        </w:rPr>
      </w:pPr>
      <w:r w:rsidRPr="008076E8">
        <w:rPr>
          <w:color w:val="000000" w:themeColor="text1"/>
          <w:sz w:val="22"/>
          <w:szCs w:val="22"/>
          <w:shd w:val="clear" w:color="auto" w:fill="FFFFFF"/>
          <w:lang w:val="en-US"/>
        </w:rPr>
        <w:t xml:space="preserve">Taylor, S., Landry, C. A., </w:t>
      </w:r>
      <w:proofErr w:type="spellStart"/>
      <w:r w:rsidRPr="008076E8">
        <w:rPr>
          <w:color w:val="000000" w:themeColor="text1"/>
          <w:sz w:val="22"/>
          <w:szCs w:val="22"/>
          <w:shd w:val="clear" w:color="auto" w:fill="FFFFFF"/>
          <w:lang w:val="en-US"/>
        </w:rPr>
        <w:t>Rachor</w:t>
      </w:r>
      <w:proofErr w:type="spellEnd"/>
      <w:r w:rsidRPr="008076E8">
        <w:rPr>
          <w:color w:val="000000" w:themeColor="text1"/>
          <w:sz w:val="22"/>
          <w:szCs w:val="22"/>
          <w:shd w:val="clear" w:color="auto" w:fill="FFFFFF"/>
          <w:lang w:val="en-US"/>
        </w:rPr>
        <w:t xml:space="preserve">, G. S., </w:t>
      </w:r>
      <w:proofErr w:type="spellStart"/>
      <w:r w:rsidRPr="008076E8">
        <w:rPr>
          <w:color w:val="000000" w:themeColor="text1"/>
          <w:sz w:val="22"/>
          <w:szCs w:val="22"/>
          <w:shd w:val="clear" w:color="auto" w:fill="FFFFFF"/>
          <w:lang w:val="en-US"/>
        </w:rPr>
        <w:t>Paluszek</w:t>
      </w:r>
      <w:proofErr w:type="spellEnd"/>
      <w:r w:rsidRPr="008076E8">
        <w:rPr>
          <w:color w:val="000000" w:themeColor="text1"/>
          <w:sz w:val="22"/>
          <w:szCs w:val="22"/>
          <w:shd w:val="clear" w:color="auto" w:fill="FFFFFF"/>
          <w:lang w:val="en-US"/>
        </w:rPr>
        <w:t>, M. M., &amp; Asmundson, G. J. (2020). Fear and avoidance of healthcare workers: An important, under-recognized form of stigmatization during the COVID-19 pandemic. </w:t>
      </w:r>
      <w:r w:rsidRPr="008076E8">
        <w:rPr>
          <w:i/>
          <w:iCs/>
          <w:color w:val="000000" w:themeColor="text1"/>
          <w:sz w:val="22"/>
          <w:szCs w:val="22"/>
          <w:shd w:val="clear" w:color="auto" w:fill="FFFFFF"/>
          <w:lang w:val="en-US"/>
        </w:rPr>
        <w:t xml:space="preserve">J Anxiety </w:t>
      </w:r>
      <w:proofErr w:type="spellStart"/>
      <w:r w:rsidRPr="008076E8">
        <w:rPr>
          <w:i/>
          <w:iCs/>
          <w:color w:val="000000" w:themeColor="text1"/>
          <w:sz w:val="22"/>
          <w:szCs w:val="22"/>
          <w:shd w:val="clear" w:color="auto" w:fill="FFFFFF"/>
          <w:lang w:val="en-US"/>
        </w:rPr>
        <w:t>Disord</w:t>
      </w:r>
      <w:proofErr w:type="spellEnd"/>
      <w:r w:rsidRPr="008076E8">
        <w:rPr>
          <w:color w:val="000000" w:themeColor="text1"/>
          <w:sz w:val="22"/>
          <w:szCs w:val="22"/>
          <w:shd w:val="clear" w:color="auto" w:fill="FFFFFF"/>
          <w:lang w:val="en-US"/>
        </w:rPr>
        <w:t xml:space="preserve">, 19, 75,102289.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10.1016/j.janxdis.2020.102289.</w:t>
      </w:r>
    </w:p>
    <w:p w14:paraId="44E3F6CE" w14:textId="77777777" w:rsidR="002E6D87" w:rsidRPr="008076E8" w:rsidRDefault="002E6D87" w:rsidP="008076E8">
      <w:pPr>
        <w:spacing w:line="480" w:lineRule="auto"/>
        <w:jc w:val="both"/>
        <w:rPr>
          <w:color w:val="000000" w:themeColor="text1"/>
          <w:sz w:val="22"/>
          <w:szCs w:val="22"/>
          <w:lang w:val="en-US"/>
        </w:rPr>
      </w:pPr>
      <w:r w:rsidRPr="008076E8">
        <w:rPr>
          <w:color w:val="000000" w:themeColor="text1"/>
          <w:sz w:val="22"/>
          <w:szCs w:val="22"/>
          <w:shd w:val="clear" w:color="auto" w:fill="FFFFFF"/>
          <w:lang w:val="en-US"/>
        </w:rPr>
        <w:t xml:space="preserve">Taylor, S., Landry, C., </w:t>
      </w:r>
      <w:proofErr w:type="spellStart"/>
      <w:r w:rsidRPr="008076E8">
        <w:rPr>
          <w:color w:val="000000" w:themeColor="text1"/>
          <w:sz w:val="22"/>
          <w:szCs w:val="22"/>
          <w:shd w:val="clear" w:color="auto" w:fill="FFFFFF"/>
          <w:lang w:val="en-US"/>
        </w:rPr>
        <w:t>Paluszek</w:t>
      </w:r>
      <w:proofErr w:type="spellEnd"/>
      <w:r w:rsidRPr="008076E8">
        <w:rPr>
          <w:color w:val="000000" w:themeColor="text1"/>
          <w:sz w:val="22"/>
          <w:szCs w:val="22"/>
          <w:shd w:val="clear" w:color="auto" w:fill="FFFFFF"/>
          <w:lang w:val="en-US"/>
        </w:rPr>
        <w:t>, M., Fergus, T. A., McKay, D., &amp; Asmundson, G. J. (2020). Development and initial validation of the COVID Stress Scales. </w:t>
      </w:r>
      <w:r w:rsidRPr="008076E8">
        <w:rPr>
          <w:i/>
          <w:iCs/>
          <w:color w:val="000000" w:themeColor="text1"/>
          <w:sz w:val="22"/>
          <w:szCs w:val="22"/>
          <w:shd w:val="clear" w:color="auto" w:fill="FFFFFF"/>
          <w:lang w:val="en-US"/>
        </w:rPr>
        <w:t xml:space="preserve">J Anxiety </w:t>
      </w:r>
      <w:proofErr w:type="spellStart"/>
      <w:r w:rsidRPr="008076E8">
        <w:rPr>
          <w:i/>
          <w:iCs/>
          <w:color w:val="000000" w:themeColor="text1"/>
          <w:sz w:val="22"/>
          <w:szCs w:val="22"/>
          <w:shd w:val="clear" w:color="auto" w:fill="FFFFFF"/>
          <w:lang w:val="en-US"/>
        </w:rPr>
        <w:t>Disord</w:t>
      </w:r>
      <w:proofErr w:type="spellEnd"/>
      <w:r w:rsidRPr="008076E8">
        <w:rPr>
          <w:color w:val="000000" w:themeColor="text1"/>
          <w:sz w:val="22"/>
          <w:szCs w:val="22"/>
          <w:shd w:val="clear" w:color="auto" w:fill="FFFFFF"/>
          <w:lang w:val="en-US"/>
        </w:rPr>
        <w:t>,</w:t>
      </w:r>
      <w:r w:rsidRPr="008076E8">
        <w:rPr>
          <w:i/>
          <w:iCs/>
          <w:color w:val="000000" w:themeColor="text1"/>
          <w:sz w:val="22"/>
          <w:szCs w:val="22"/>
          <w:shd w:val="clear" w:color="auto" w:fill="FFFFFF"/>
          <w:lang w:val="en-US"/>
        </w:rPr>
        <w:t xml:space="preserve"> 72, 102232.</w:t>
      </w:r>
      <w:r w:rsidRPr="008076E8">
        <w:rPr>
          <w:color w:val="000000" w:themeColor="text1"/>
          <w:sz w:val="22"/>
          <w:szCs w:val="22"/>
          <w:shd w:val="clear" w:color="auto" w:fill="FFFFFF"/>
          <w:lang w:val="en-US"/>
        </w:rPr>
        <w:t xml:space="preserve">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10.1016/j.janxdis.2020.102232.</w:t>
      </w:r>
    </w:p>
    <w:p w14:paraId="78801BFE" w14:textId="77777777" w:rsidR="002E6D87" w:rsidRPr="008076E8" w:rsidRDefault="002E6D87" w:rsidP="008076E8">
      <w:pPr>
        <w:spacing w:line="480" w:lineRule="auto"/>
        <w:jc w:val="both"/>
        <w:rPr>
          <w:color w:val="000000" w:themeColor="text1"/>
          <w:sz w:val="22"/>
          <w:szCs w:val="22"/>
          <w:shd w:val="clear" w:color="auto" w:fill="FFFFFF"/>
          <w:lang w:val="en-US"/>
        </w:rPr>
      </w:pPr>
      <w:r w:rsidRPr="008076E8">
        <w:rPr>
          <w:color w:val="000000" w:themeColor="text1"/>
          <w:sz w:val="22"/>
          <w:szCs w:val="22"/>
          <w:shd w:val="clear" w:color="auto" w:fill="FFFFFF"/>
          <w:lang w:val="en-US"/>
        </w:rPr>
        <w:t xml:space="preserve">West, C. P., </w:t>
      </w:r>
      <w:proofErr w:type="spellStart"/>
      <w:r w:rsidRPr="008076E8">
        <w:rPr>
          <w:color w:val="000000" w:themeColor="text1"/>
          <w:sz w:val="22"/>
          <w:szCs w:val="22"/>
          <w:shd w:val="clear" w:color="auto" w:fill="FFFFFF"/>
          <w:lang w:val="en-US"/>
        </w:rPr>
        <w:t>Dyrbye</w:t>
      </w:r>
      <w:proofErr w:type="spellEnd"/>
      <w:r w:rsidRPr="008076E8">
        <w:rPr>
          <w:color w:val="000000" w:themeColor="text1"/>
          <w:sz w:val="22"/>
          <w:szCs w:val="22"/>
          <w:shd w:val="clear" w:color="auto" w:fill="FFFFFF"/>
          <w:lang w:val="en-US"/>
        </w:rPr>
        <w:t xml:space="preserve">, L. N., &amp; </w:t>
      </w:r>
      <w:proofErr w:type="spellStart"/>
      <w:r w:rsidRPr="008076E8">
        <w:rPr>
          <w:color w:val="000000" w:themeColor="text1"/>
          <w:sz w:val="22"/>
          <w:szCs w:val="22"/>
          <w:shd w:val="clear" w:color="auto" w:fill="FFFFFF"/>
          <w:lang w:val="en-US"/>
        </w:rPr>
        <w:t>Shanafelt</w:t>
      </w:r>
      <w:proofErr w:type="spellEnd"/>
      <w:r w:rsidRPr="008076E8">
        <w:rPr>
          <w:color w:val="000000" w:themeColor="text1"/>
          <w:sz w:val="22"/>
          <w:szCs w:val="22"/>
          <w:shd w:val="clear" w:color="auto" w:fill="FFFFFF"/>
          <w:lang w:val="en-US"/>
        </w:rPr>
        <w:t>, T. D. (2018). Physician burnout: contributors, consequences and solutions. </w:t>
      </w:r>
      <w:r w:rsidRPr="008076E8">
        <w:rPr>
          <w:i/>
          <w:iCs/>
          <w:color w:val="000000" w:themeColor="text1"/>
          <w:sz w:val="22"/>
          <w:szCs w:val="22"/>
          <w:lang w:val="en-US"/>
        </w:rPr>
        <w:t>J Intern Med</w:t>
      </w:r>
      <w:r w:rsidRPr="008076E8">
        <w:rPr>
          <w:color w:val="000000" w:themeColor="text1"/>
          <w:sz w:val="22"/>
          <w:szCs w:val="22"/>
          <w:shd w:val="clear" w:color="auto" w:fill="FFFFFF"/>
          <w:lang w:val="en-US"/>
        </w:rPr>
        <w:t>, </w:t>
      </w:r>
      <w:r w:rsidRPr="008076E8">
        <w:rPr>
          <w:i/>
          <w:iCs/>
          <w:color w:val="000000" w:themeColor="text1"/>
          <w:sz w:val="22"/>
          <w:szCs w:val="22"/>
          <w:lang w:val="en-US"/>
        </w:rPr>
        <w:t>283</w:t>
      </w:r>
      <w:r w:rsidRPr="008076E8">
        <w:rPr>
          <w:color w:val="000000" w:themeColor="text1"/>
          <w:sz w:val="22"/>
          <w:szCs w:val="22"/>
          <w:shd w:val="clear" w:color="auto" w:fill="FFFFFF"/>
          <w:lang w:val="en-US"/>
        </w:rPr>
        <w:t>(6), 516-529.</w:t>
      </w:r>
      <w:r w:rsidRPr="008076E8">
        <w:rPr>
          <w:color w:val="000000" w:themeColor="text1"/>
          <w:sz w:val="22"/>
          <w:szCs w:val="22"/>
          <w:lang w:val="en-US"/>
        </w:rPr>
        <w:t xml:space="preserve">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10.1111/joim.12752.</w:t>
      </w:r>
    </w:p>
    <w:p w14:paraId="65BEEA57" w14:textId="77777777" w:rsidR="002E6D87" w:rsidRPr="008076E8" w:rsidRDefault="002E6D87" w:rsidP="008076E8">
      <w:pPr>
        <w:spacing w:line="480" w:lineRule="auto"/>
        <w:jc w:val="both"/>
        <w:rPr>
          <w:color w:val="000000" w:themeColor="text1"/>
          <w:sz w:val="22"/>
          <w:szCs w:val="22"/>
          <w:shd w:val="clear" w:color="auto" w:fill="FFFFFF"/>
          <w:lang w:val="en-US"/>
        </w:rPr>
      </w:pPr>
      <w:r w:rsidRPr="008076E8">
        <w:rPr>
          <w:color w:val="000000" w:themeColor="text1"/>
          <w:sz w:val="22"/>
          <w:szCs w:val="22"/>
          <w:shd w:val="clear" w:color="auto" w:fill="FFFFFF"/>
          <w:lang w:val="en-US"/>
        </w:rPr>
        <w:t xml:space="preserve">West, C. P., </w:t>
      </w:r>
      <w:proofErr w:type="spellStart"/>
      <w:r w:rsidRPr="008076E8">
        <w:rPr>
          <w:color w:val="000000" w:themeColor="text1"/>
          <w:sz w:val="22"/>
          <w:szCs w:val="22"/>
          <w:shd w:val="clear" w:color="auto" w:fill="FFFFFF"/>
          <w:lang w:val="en-US"/>
        </w:rPr>
        <w:t>Dyrbye</w:t>
      </w:r>
      <w:proofErr w:type="spellEnd"/>
      <w:r w:rsidRPr="008076E8">
        <w:rPr>
          <w:color w:val="000000" w:themeColor="text1"/>
          <w:sz w:val="22"/>
          <w:szCs w:val="22"/>
          <w:shd w:val="clear" w:color="auto" w:fill="FFFFFF"/>
          <w:lang w:val="en-US"/>
        </w:rPr>
        <w:t xml:space="preserve">, L. N., Erwin, P. J., &amp; </w:t>
      </w:r>
      <w:proofErr w:type="spellStart"/>
      <w:r w:rsidRPr="008076E8">
        <w:rPr>
          <w:color w:val="000000" w:themeColor="text1"/>
          <w:sz w:val="22"/>
          <w:szCs w:val="22"/>
          <w:shd w:val="clear" w:color="auto" w:fill="FFFFFF"/>
          <w:lang w:val="en-US"/>
        </w:rPr>
        <w:t>Shanafelt</w:t>
      </w:r>
      <w:proofErr w:type="spellEnd"/>
      <w:r w:rsidRPr="008076E8">
        <w:rPr>
          <w:color w:val="000000" w:themeColor="text1"/>
          <w:sz w:val="22"/>
          <w:szCs w:val="22"/>
          <w:shd w:val="clear" w:color="auto" w:fill="FFFFFF"/>
          <w:lang w:val="en-US"/>
        </w:rPr>
        <w:t xml:space="preserve">, T. D. (2016). Interventions to prevent and reduce physician burnout: a systematic review and meta-analysis. </w:t>
      </w:r>
      <w:r w:rsidRPr="008076E8">
        <w:rPr>
          <w:i/>
          <w:iCs/>
          <w:color w:val="000000" w:themeColor="text1"/>
          <w:sz w:val="22"/>
          <w:szCs w:val="22"/>
          <w:lang w:val="en-US"/>
        </w:rPr>
        <w:t>Lancet</w:t>
      </w:r>
      <w:r w:rsidRPr="008076E8">
        <w:rPr>
          <w:color w:val="000000" w:themeColor="text1"/>
          <w:sz w:val="22"/>
          <w:szCs w:val="22"/>
          <w:shd w:val="clear" w:color="auto" w:fill="FFFFFF"/>
          <w:lang w:val="en-US"/>
        </w:rPr>
        <w:t>, </w:t>
      </w:r>
      <w:r w:rsidRPr="008076E8">
        <w:rPr>
          <w:i/>
          <w:iCs/>
          <w:color w:val="000000" w:themeColor="text1"/>
          <w:sz w:val="22"/>
          <w:szCs w:val="22"/>
          <w:lang w:val="en-US"/>
        </w:rPr>
        <w:t>388</w:t>
      </w:r>
      <w:r w:rsidRPr="008076E8">
        <w:rPr>
          <w:color w:val="000000" w:themeColor="text1"/>
          <w:sz w:val="22"/>
          <w:szCs w:val="22"/>
          <w:shd w:val="clear" w:color="auto" w:fill="FFFFFF"/>
          <w:lang w:val="en-US"/>
        </w:rPr>
        <w:t xml:space="preserve">(10057), 2272-2281. </w:t>
      </w:r>
      <w:proofErr w:type="spellStart"/>
      <w:r w:rsidRPr="008076E8">
        <w:rPr>
          <w:color w:val="000000" w:themeColor="text1"/>
          <w:sz w:val="22"/>
          <w:szCs w:val="22"/>
          <w:shd w:val="clear" w:color="auto" w:fill="FFFFFF"/>
          <w:lang w:val="en-US"/>
        </w:rPr>
        <w:t>doi</w:t>
      </w:r>
      <w:proofErr w:type="spellEnd"/>
      <w:r w:rsidRPr="008076E8">
        <w:rPr>
          <w:color w:val="000000" w:themeColor="text1"/>
          <w:sz w:val="22"/>
          <w:szCs w:val="22"/>
          <w:shd w:val="clear" w:color="auto" w:fill="FFFFFF"/>
          <w:lang w:val="en-US"/>
        </w:rPr>
        <w:t>: 10.1016/S0140-6736(16)31279-X.</w:t>
      </w:r>
    </w:p>
    <w:p w14:paraId="6830EA3D" w14:textId="7D8A01F6" w:rsidR="002E6D87" w:rsidRPr="008076E8" w:rsidRDefault="002E6D87" w:rsidP="008076E8">
      <w:pPr>
        <w:spacing w:line="480" w:lineRule="auto"/>
        <w:jc w:val="both"/>
        <w:rPr>
          <w:color w:val="000000" w:themeColor="text1"/>
          <w:sz w:val="22"/>
          <w:szCs w:val="22"/>
          <w:lang w:val="en-US"/>
        </w:rPr>
      </w:pPr>
      <w:r w:rsidRPr="008076E8">
        <w:rPr>
          <w:color w:val="000000" w:themeColor="text1"/>
          <w:sz w:val="22"/>
          <w:szCs w:val="22"/>
          <w:lang w:val="en-US"/>
        </w:rPr>
        <w:t>Wu, Y., Wang, J., Luo, C., Hu, S., Lin, X., Anderson, A.E… Qian, Y. (2020). A Comparison of Burnout Frequency Among Oncology Physicians and Nurses Working on the Frontline and Usual Wards During the COVID-19 Epidemic in Wuhan, China.</w:t>
      </w:r>
      <w:r w:rsidRPr="008076E8">
        <w:rPr>
          <w:i/>
          <w:iCs/>
          <w:color w:val="000000" w:themeColor="text1"/>
          <w:sz w:val="22"/>
          <w:szCs w:val="22"/>
          <w:lang w:val="en-US"/>
        </w:rPr>
        <w:t xml:space="preserve"> </w:t>
      </w:r>
      <w:r w:rsidRPr="008076E8">
        <w:rPr>
          <w:rStyle w:val="apple-converted-space"/>
          <w:i/>
          <w:iCs/>
          <w:color w:val="000000" w:themeColor="text1"/>
          <w:sz w:val="22"/>
          <w:szCs w:val="22"/>
          <w:lang w:val="en-US"/>
        </w:rPr>
        <w:t>J </w:t>
      </w:r>
      <w:r w:rsidRPr="008076E8">
        <w:rPr>
          <w:i/>
          <w:iCs/>
          <w:color w:val="000000" w:themeColor="text1"/>
          <w:sz w:val="22"/>
          <w:szCs w:val="22"/>
          <w:lang w:val="en-US"/>
        </w:rPr>
        <w:t xml:space="preserve">Pain Symptom Manage, </w:t>
      </w:r>
      <w:r w:rsidRPr="008076E8">
        <w:rPr>
          <w:rStyle w:val="cit"/>
          <w:i/>
          <w:iCs/>
          <w:color w:val="000000" w:themeColor="text1"/>
          <w:sz w:val="22"/>
          <w:szCs w:val="22"/>
          <w:lang w:val="en-US"/>
        </w:rPr>
        <w:t>60</w:t>
      </w:r>
      <w:r w:rsidRPr="008076E8">
        <w:rPr>
          <w:rStyle w:val="cit"/>
          <w:color w:val="000000" w:themeColor="text1"/>
          <w:sz w:val="22"/>
          <w:szCs w:val="22"/>
          <w:lang w:val="en-US"/>
        </w:rPr>
        <w:t>(1</w:t>
      </w:r>
      <w:proofErr w:type="gramStart"/>
      <w:r w:rsidRPr="008076E8">
        <w:rPr>
          <w:rStyle w:val="cit"/>
          <w:color w:val="000000" w:themeColor="text1"/>
          <w:sz w:val="22"/>
          <w:szCs w:val="22"/>
          <w:lang w:val="en-US"/>
        </w:rPr>
        <w:t>):e</w:t>
      </w:r>
      <w:proofErr w:type="gramEnd"/>
      <w:r w:rsidRPr="008076E8">
        <w:rPr>
          <w:rStyle w:val="cit"/>
          <w:color w:val="000000" w:themeColor="text1"/>
          <w:sz w:val="22"/>
          <w:szCs w:val="22"/>
          <w:lang w:val="en-US"/>
        </w:rPr>
        <w:t>60-e65.</w:t>
      </w:r>
      <w:r w:rsidRPr="008076E8">
        <w:rPr>
          <w:color w:val="000000" w:themeColor="text1"/>
          <w:sz w:val="22"/>
          <w:szCs w:val="22"/>
          <w:lang w:val="en-US"/>
        </w:rPr>
        <w:t xml:space="preserve"> </w:t>
      </w:r>
      <w:proofErr w:type="spellStart"/>
      <w:r w:rsidR="006F3D96" w:rsidRPr="008076E8">
        <w:rPr>
          <w:rStyle w:val="citation-doi"/>
          <w:color w:val="000000" w:themeColor="text1"/>
          <w:sz w:val="22"/>
          <w:szCs w:val="22"/>
          <w:lang w:val="en-US"/>
        </w:rPr>
        <w:t>doi</w:t>
      </w:r>
      <w:proofErr w:type="spellEnd"/>
      <w:r w:rsidR="006F3D96" w:rsidRPr="008076E8">
        <w:rPr>
          <w:rStyle w:val="citation-doi"/>
          <w:color w:val="000000" w:themeColor="text1"/>
          <w:sz w:val="22"/>
          <w:szCs w:val="22"/>
          <w:lang w:val="en-US"/>
        </w:rPr>
        <w:t>: 10.1016/j.jpainsymman</w:t>
      </w:r>
      <w:r w:rsidRPr="008076E8">
        <w:rPr>
          <w:rStyle w:val="citation-doi"/>
          <w:color w:val="000000" w:themeColor="text1"/>
          <w:sz w:val="22"/>
          <w:szCs w:val="22"/>
          <w:lang w:val="en-US"/>
        </w:rPr>
        <w:t>.2020.04.008.</w:t>
      </w:r>
    </w:p>
    <w:p w14:paraId="3BA98950" w14:textId="77777777" w:rsidR="008076E8" w:rsidRPr="008076E8" w:rsidRDefault="002E6D87" w:rsidP="008076E8">
      <w:pPr>
        <w:spacing w:line="480" w:lineRule="auto"/>
        <w:jc w:val="both"/>
        <w:rPr>
          <w:rStyle w:val="id-label"/>
          <w:color w:val="000000" w:themeColor="text1"/>
          <w:sz w:val="22"/>
          <w:szCs w:val="22"/>
          <w:lang w:val="en-US"/>
        </w:rPr>
      </w:pPr>
      <w:r w:rsidRPr="008076E8">
        <w:rPr>
          <w:color w:val="000000" w:themeColor="text1"/>
          <w:sz w:val="22"/>
          <w:szCs w:val="22"/>
          <w:shd w:val="clear" w:color="auto" w:fill="FFFFFF"/>
          <w:lang w:val="en-US"/>
        </w:rPr>
        <w:t>Yao, Y., Yao, W., Wang, W., Li, H., &amp; Lan, Y. (2013). Investigation of risk factors of psychological acceptance and burnout syndrome among nurses in China. </w:t>
      </w:r>
      <w:r w:rsidRPr="008076E8">
        <w:rPr>
          <w:i/>
          <w:iCs/>
          <w:color w:val="000000" w:themeColor="text1"/>
          <w:sz w:val="22"/>
          <w:szCs w:val="22"/>
          <w:shd w:val="clear" w:color="auto" w:fill="FFFFFF"/>
          <w:lang w:val="en-US"/>
        </w:rPr>
        <w:t xml:space="preserve">Int J </w:t>
      </w:r>
      <w:proofErr w:type="spellStart"/>
      <w:r w:rsidRPr="008076E8">
        <w:rPr>
          <w:i/>
          <w:iCs/>
          <w:color w:val="000000" w:themeColor="text1"/>
          <w:sz w:val="22"/>
          <w:szCs w:val="22"/>
          <w:shd w:val="clear" w:color="auto" w:fill="FFFFFF"/>
          <w:lang w:val="en-US"/>
        </w:rPr>
        <w:t>Nurs</w:t>
      </w:r>
      <w:proofErr w:type="spellEnd"/>
      <w:r w:rsidRPr="008076E8">
        <w:rPr>
          <w:i/>
          <w:iCs/>
          <w:color w:val="000000" w:themeColor="text1"/>
          <w:sz w:val="22"/>
          <w:szCs w:val="22"/>
          <w:shd w:val="clear" w:color="auto" w:fill="FFFFFF"/>
          <w:lang w:val="en-US"/>
        </w:rPr>
        <w:t xml:space="preserve"> </w:t>
      </w:r>
      <w:proofErr w:type="spellStart"/>
      <w:r w:rsidRPr="008076E8">
        <w:rPr>
          <w:i/>
          <w:iCs/>
          <w:color w:val="000000" w:themeColor="text1"/>
          <w:sz w:val="22"/>
          <w:szCs w:val="22"/>
          <w:shd w:val="clear" w:color="auto" w:fill="FFFFFF"/>
          <w:lang w:val="en-US"/>
        </w:rPr>
        <w:t>Pract</w:t>
      </w:r>
      <w:proofErr w:type="spellEnd"/>
      <w:r w:rsidRPr="008076E8">
        <w:rPr>
          <w:color w:val="000000" w:themeColor="text1"/>
          <w:sz w:val="22"/>
          <w:szCs w:val="22"/>
          <w:shd w:val="clear" w:color="auto" w:fill="FFFFFF"/>
          <w:lang w:val="en-US"/>
        </w:rPr>
        <w:t>, </w:t>
      </w:r>
      <w:r w:rsidRPr="008076E8">
        <w:rPr>
          <w:i/>
          <w:iCs/>
          <w:color w:val="000000" w:themeColor="text1"/>
          <w:sz w:val="22"/>
          <w:szCs w:val="22"/>
          <w:shd w:val="clear" w:color="auto" w:fill="FFFFFF"/>
          <w:lang w:val="en-US"/>
        </w:rPr>
        <w:t>19</w:t>
      </w:r>
      <w:r w:rsidRPr="008076E8">
        <w:rPr>
          <w:color w:val="000000" w:themeColor="text1"/>
          <w:sz w:val="22"/>
          <w:szCs w:val="22"/>
          <w:shd w:val="clear" w:color="auto" w:fill="FFFFFF"/>
          <w:lang w:val="en-US"/>
        </w:rPr>
        <w:t xml:space="preserve">(5), 530-538. </w:t>
      </w:r>
      <w:proofErr w:type="spellStart"/>
      <w:r w:rsidRPr="008076E8">
        <w:rPr>
          <w:rStyle w:val="id-label"/>
          <w:color w:val="000000" w:themeColor="text1"/>
          <w:sz w:val="22"/>
          <w:szCs w:val="22"/>
          <w:lang w:val="en-US"/>
        </w:rPr>
        <w:t>doi</w:t>
      </w:r>
      <w:proofErr w:type="spellEnd"/>
      <w:r w:rsidRPr="008076E8">
        <w:rPr>
          <w:rStyle w:val="id-label"/>
          <w:color w:val="000000" w:themeColor="text1"/>
          <w:sz w:val="22"/>
          <w:szCs w:val="22"/>
          <w:lang w:val="en-US"/>
        </w:rPr>
        <w:t>: 10.1111/ijn.12113.</w:t>
      </w:r>
    </w:p>
    <w:p w14:paraId="39465663" w14:textId="182E1A09" w:rsidR="002E6D87" w:rsidRPr="008076E8" w:rsidRDefault="002E6D87" w:rsidP="008076E8">
      <w:pPr>
        <w:spacing w:line="480" w:lineRule="auto"/>
        <w:jc w:val="both"/>
        <w:rPr>
          <w:color w:val="000000" w:themeColor="text1"/>
          <w:sz w:val="22"/>
          <w:szCs w:val="22"/>
          <w:lang w:val="en-US"/>
        </w:rPr>
      </w:pPr>
      <w:r w:rsidRPr="008076E8">
        <w:rPr>
          <w:color w:val="000000" w:themeColor="text1"/>
          <w:sz w:val="22"/>
          <w:szCs w:val="22"/>
          <w:lang w:val="en-US"/>
        </w:rPr>
        <w:t xml:space="preserve">Yavuz, F., </w:t>
      </w:r>
      <w:proofErr w:type="spellStart"/>
      <w:r w:rsidRPr="008076E8">
        <w:rPr>
          <w:color w:val="000000" w:themeColor="text1"/>
          <w:sz w:val="22"/>
          <w:szCs w:val="22"/>
          <w:lang w:val="en-US"/>
        </w:rPr>
        <w:t>Ulusoy</w:t>
      </w:r>
      <w:proofErr w:type="spellEnd"/>
      <w:r w:rsidRPr="008076E8">
        <w:rPr>
          <w:color w:val="000000" w:themeColor="text1"/>
          <w:sz w:val="22"/>
          <w:szCs w:val="22"/>
          <w:lang w:val="en-US"/>
        </w:rPr>
        <w:t xml:space="preserve">, S., </w:t>
      </w:r>
      <w:proofErr w:type="spellStart"/>
      <w:r w:rsidRPr="008076E8">
        <w:rPr>
          <w:color w:val="000000" w:themeColor="text1"/>
          <w:sz w:val="22"/>
          <w:szCs w:val="22"/>
          <w:lang w:val="en-US"/>
        </w:rPr>
        <w:t>Iskin</w:t>
      </w:r>
      <w:proofErr w:type="spellEnd"/>
      <w:r w:rsidRPr="008076E8">
        <w:rPr>
          <w:color w:val="000000" w:themeColor="text1"/>
          <w:sz w:val="22"/>
          <w:szCs w:val="22"/>
          <w:lang w:val="en-US"/>
        </w:rPr>
        <w:t xml:space="preserve">, M., </w:t>
      </w:r>
      <w:proofErr w:type="spellStart"/>
      <w:r w:rsidRPr="008076E8">
        <w:rPr>
          <w:color w:val="000000" w:themeColor="text1"/>
          <w:sz w:val="22"/>
          <w:szCs w:val="22"/>
          <w:lang w:val="en-US"/>
        </w:rPr>
        <w:t>Esen</w:t>
      </w:r>
      <w:proofErr w:type="spellEnd"/>
      <w:r w:rsidRPr="008076E8">
        <w:rPr>
          <w:color w:val="000000" w:themeColor="text1"/>
          <w:sz w:val="22"/>
          <w:szCs w:val="22"/>
          <w:lang w:val="en-US"/>
        </w:rPr>
        <w:t xml:space="preserve">, F.B., Burhan, H.S., </w:t>
      </w:r>
      <w:r w:rsidRPr="008076E8">
        <w:rPr>
          <w:color w:val="000000" w:themeColor="text1"/>
          <w:sz w:val="22"/>
          <w:szCs w:val="22"/>
          <w:shd w:val="clear" w:color="auto" w:fill="FFFFFF"/>
          <w:lang w:val="en-US"/>
        </w:rPr>
        <w:t xml:space="preserve">&amp; </w:t>
      </w:r>
      <w:proofErr w:type="spellStart"/>
      <w:r w:rsidRPr="008076E8">
        <w:rPr>
          <w:color w:val="000000" w:themeColor="text1"/>
          <w:sz w:val="22"/>
          <w:szCs w:val="22"/>
          <w:lang w:val="en-US"/>
        </w:rPr>
        <w:t>Karadere</w:t>
      </w:r>
      <w:proofErr w:type="spellEnd"/>
      <w:r w:rsidRPr="008076E8">
        <w:rPr>
          <w:color w:val="000000" w:themeColor="text1"/>
          <w:sz w:val="22"/>
          <w:szCs w:val="22"/>
          <w:lang w:val="en-US"/>
        </w:rPr>
        <w:t xml:space="preserve">, M.E. (2016) Turkish version of Acceptance and Action Questionnaire-II (AAQ-II): A reliability and validity analysis in clinical and non-clinical samples. </w:t>
      </w:r>
      <w:r w:rsidRPr="008076E8">
        <w:rPr>
          <w:i/>
          <w:iCs/>
          <w:color w:val="000000" w:themeColor="text1"/>
          <w:sz w:val="22"/>
          <w:szCs w:val="22"/>
          <w:lang w:val="en-US"/>
        </w:rPr>
        <w:t xml:space="preserve">Bull Clin </w:t>
      </w:r>
      <w:proofErr w:type="spellStart"/>
      <w:r w:rsidRPr="008076E8">
        <w:rPr>
          <w:i/>
          <w:iCs/>
          <w:color w:val="000000" w:themeColor="text1"/>
          <w:sz w:val="22"/>
          <w:szCs w:val="22"/>
          <w:lang w:val="en-US"/>
        </w:rPr>
        <w:t>Psychopharmacol</w:t>
      </w:r>
      <w:proofErr w:type="spellEnd"/>
      <w:r w:rsidRPr="008076E8">
        <w:rPr>
          <w:i/>
          <w:iCs/>
          <w:color w:val="000000" w:themeColor="text1"/>
          <w:sz w:val="22"/>
          <w:szCs w:val="22"/>
          <w:lang w:val="en-US"/>
        </w:rPr>
        <w:t>, 26</w:t>
      </w:r>
      <w:r w:rsidRPr="008076E8">
        <w:rPr>
          <w:color w:val="000000" w:themeColor="text1"/>
          <w:sz w:val="22"/>
          <w:szCs w:val="22"/>
          <w:lang w:val="en-US"/>
        </w:rPr>
        <w:t xml:space="preserve">(4), 397-408. </w:t>
      </w:r>
      <w:proofErr w:type="spellStart"/>
      <w:r w:rsidRPr="008076E8">
        <w:rPr>
          <w:color w:val="000000" w:themeColor="text1"/>
          <w:sz w:val="22"/>
          <w:szCs w:val="22"/>
          <w:lang w:val="en-US"/>
        </w:rPr>
        <w:t>doi</w:t>
      </w:r>
      <w:proofErr w:type="spellEnd"/>
      <w:r w:rsidRPr="008076E8">
        <w:rPr>
          <w:color w:val="000000" w:themeColor="text1"/>
          <w:sz w:val="22"/>
          <w:szCs w:val="22"/>
          <w:lang w:val="en-US"/>
        </w:rPr>
        <w:t>: </w:t>
      </w:r>
      <w:hyperlink r:id="rId15" w:history="1">
        <w:r w:rsidRPr="008076E8">
          <w:rPr>
            <w:color w:val="000000" w:themeColor="text1"/>
            <w:sz w:val="22"/>
            <w:szCs w:val="22"/>
            <w:bdr w:val="none" w:sz="0" w:space="0" w:color="auto" w:frame="1"/>
            <w:lang w:val="en-US"/>
          </w:rPr>
          <w:t>10.5455/bcp.20160223124107</w:t>
        </w:r>
      </w:hyperlink>
    </w:p>
    <w:p w14:paraId="5A6CD3CD" w14:textId="7DE38B26" w:rsidR="002E6D87" w:rsidRPr="008076E8" w:rsidRDefault="002E6D87" w:rsidP="008076E8">
      <w:pPr>
        <w:spacing w:after="60" w:line="480" w:lineRule="auto"/>
        <w:jc w:val="both"/>
        <w:rPr>
          <w:color w:val="000000" w:themeColor="text1"/>
          <w:sz w:val="22"/>
          <w:szCs w:val="22"/>
          <w:shd w:val="clear" w:color="auto" w:fill="FFFFFF"/>
          <w:lang w:val="en-US"/>
        </w:rPr>
      </w:pPr>
      <w:r w:rsidRPr="008076E8">
        <w:rPr>
          <w:color w:val="000000" w:themeColor="text1"/>
          <w:sz w:val="22"/>
          <w:szCs w:val="22"/>
          <w:lang w:val="en-US"/>
        </w:rPr>
        <w:lastRenderedPageBreak/>
        <w:t xml:space="preserve">Yung, C.F., Kam, K.Q., </w:t>
      </w:r>
      <w:proofErr w:type="spellStart"/>
      <w:r w:rsidRPr="008076E8">
        <w:rPr>
          <w:color w:val="000000" w:themeColor="text1"/>
          <w:sz w:val="22"/>
          <w:szCs w:val="22"/>
          <w:lang w:val="en-US"/>
        </w:rPr>
        <w:t>Nadua</w:t>
      </w:r>
      <w:proofErr w:type="spellEnd"/>
      <w:r w:rsidRPr="008076E8">
        <w:rPr>
          <w:color w:val="000000" w:themeColor="text1"/>
          <w:sz w:val="22"/>
          <w:szCs w:val="22"/>
          <w:lang w:val="en-US"/>
        </w:rPr>
        <w:t>, K.D., Chong, C.Y., Tan, N.W.H., Li, J</w:t>
      </w:r>
      <w:r w:rsidR="007D5ADA" w:rsidRPr="008076E8">
        <w:rPr>
          <w:color w:val="000000" w:themeColor="text1"/>
          <w:sz w:val="22"/>
          <w:szCs w:val="22"/>
          <w:lang w:val="en-US"/>
        </w:rPr>
        <w:t>.</w:t>
      </w:r>
      <w:r w:rsidRPr="008076E8">
        <w:rPr>
          <w:color w:val="000000" w:themeColor="text1"/>
          <w:sz w:val="22"/>
          <w:szCs w:val="22"/>
          <w:lang w:val="en-US"/>
        </w:rPr>
        <w:t xml:space="preserve"> (2020) Novel coronavirus 2019 transmission risk in educational settings. </w:t>
      </w:r>
      <w:r w:rsidRPr="008076E8">
        <w:rPr>
          <w:i/>
          <w:iCs/>
          <w:color w:val="000000" w:themeColor="text1"/>
          <w:sz w:val="22"/>
          <w:szCs w:val="22"/>
          <w:lang w:val="en-US"/>
        </w:rPr>
        <w:t>Clin Infect Dis</w:t>
      </w:r>
      <w:r w:rsidRPr="008076E8">
        <w:rPr>
          <w:color w:val="000000" w:themeColor="text1"/>
          <w:sz w:val="22"/>
          <w:szCs w:val="22"/>
          <w:lang w:val="en-US"/>
        </w:rPr>
        <w:t>.</w:t>
      </w:r>
      <w:r w:rsidRPr="008076E8">
        <w:rPr>
          <w:i/>
          <w:iCs/>
          <w:color w:val="000000" w:themeColor="text1"/>
          <w:sz w:val="22"/>
          <w:szCs w:val="22"/>
          <w:lang w:val="en-US"/>
        </w:rPr>
        <w:t> 25</w:t>
      </w:r>
      <w:r w:rsidRPr="008076E8">
        <w:rPr>
          <w:color w:val="000000" w:themeColor="text1"/>
          <w:sz w:val="22"/>
          <w:szCs w:val="22"/>
          <w:lang w:val="en-US"/>
        </w:rPr>
        <w:t xml:space="preserve">, ciaa794. </w:t>
      </w:r>
      <w:proofErr w:type="spellStart"/>
      <w:r w:rsidRPr="008076E8">
        <w:rPr>
          <w:color w:val="000000" w:themeColor="text1"/>
          <w:sz w:val="22"/>
          <w:szCs w:val="22"/>
          <w:lang w:val="en-US"/>
        </w:rPr>
        <w:t>doi</w:t>
      </w:r>
      <w:proofErr w:type="spellEnd"/>
      <w:r w:rsidRPr="008076E8">
        <w:rPr>
          <w:color w:val="000000" w:themeColor="text1"/>
          <w:sz w:val="22"/>
          <w:szCs w:val="22"/>
          <w:lang w:val="en-US"/>
        </w:rPr>
        <w:t>: 10.1093/</w:t>
      </w:r>
      <w:proofErr w:type="spellStart"/>
      <w:r w:rsidRPr="008076E8">
        <w:rPr>
          <w:color w:val="000000" w:themeColor="text1"/>
          <w:sz w:val="22"/>
          <w:szCs w:val="22"/>
          <w:lang w:val="en-US"/>
        </w:rPr>
        <w:t>cid</w:t>
      </w:r>
      <w:proofErr w:type="spellEnd"/>
      <w:r w:rsidRPr="008076E8">
        <w:rPr>
          <w:color w:val="000000" w:themeColor="text1"/>
          <w:sz w:val="22"/>
          <w:szCs w:val="22"/>
          <w:lang w:val="en-US"/>
        </w:rPr>
        <w:t>/ciaa794.</w:t>
      </w:r>
      <w:r w:rsidRPr="008076E8">
        <w:rPr>
          <w:color w:val="000000" w:themeColor="text1"/>
          <w:sz w:val="22"/>
          <w:szCs w:val="22"/>
          <w:shd w:val="clear" w:color="auto" w:fill="FFFFFF"/>
          <w:lang w:val="en-US"/>
        </w:rPr>
        <w:t> </w:t>
      </w:r>
    </w:p>
    <w:p w14:paraId="6EE01286" w14:textId="0261E986" w:rsidR="007D5ADA" w:rsidRPr="008076E8" w:rsidRDefault="007D5ADA" w:rsidP="008076E8">
      <w:pPr>
        <w:spacing w:after="60" w:line="480" w:lineRule="auto"/>
        <w:jc w:val="both"/>
        <w:rPr>
          <w:color w:val="000000" w:themeColor="text1"/>
          <w:sz w:val="22"/>
          <w:szCs w:val="22"/>
          <w:lang w:val="en-US"/>
        </w:rPr>
      </w:pPr>
      <w:proofErr w:type="spellStart"/>
      <w:r w:rsidRPr="008076E8">
        <w:rPr>
          <w:rFonts w:eastAsiaTheme="minorHAnsi"/>
          <w:sz w:val="22"/>
          <w:szCs w:val="22"/>
          <w:highlight w:val="yellow"/>
          <w:lang w:eastAsia="en-US"/>
        </w:rPr>
        <w:t>Zhang</w:t>
      </w:r>
      <w:proofErr w:type="spellEnd"/>
      <w:r w:rsidRPr="008076E8">
        <w:rPr>
          <w:rFonts w:eastAsiaTheme="minorHAnsi"/>
          <w:sz w:val="22"/>
          <w:szCs w:val="22"/>
          <w:highlight w:val="yellow"/>
          <w:lang w:eastAsia="en-US"/>
        </w:rPr>
        <w:t xml:space="preserve">, X., </w:t>
      </w:r>
      <w:proofErr w:type="spellStart"/>
      <w:r w:rsidRPr="008076E8">
        <w:rPr>
          <w:rFonts w:eastAsiaTheme="minorHAnsi"/>
          <w:sz w:val="22"/>
          <w:szCs w:val="22"/>
          <w:highlight w:val="yellow"/>
          <w:lang w:eastAsia="en-US"/>
        </w:rPr>
        <w:t>Song</w:t>
      </w:r>
      <w:proofErr w:type="spellEnd"/>
      <w:r w:rsidRPr="008076E8">
        <w:rPr>
          <w:rFonts w:eastAsiaTheme="minorHAnsi"/>
          <w:sz w:val="22"/>
          <w:szCs w:val="22"/>
          <w:highlight w:val="yellow"/>
          <w:lang w:eastAsia="en-US"/>
        </w:rPr>
        <w:t xml:space="preserve">, Y., </w:t>
      </w:r>
      <w:proofErr w:type="spellStart"/>
      <w:r w:rsidRPr="008076E8">
        <w:rPr>
          <w:rFonts w:eastAsiaTheme="minorHAnsi"/>
          <w:sz w:val="22"/>
          <w:szCs w:val="22"/>
          <w:highlight w:val="yellow"/>
          <w:lang w:eastAsia="en-US"/>
        </w:rPr>
        <w:t>Jiang</w:t>
      </w:r>
      <w:proofErr w:type="spellEnd"/>
      <w:r w:rsidRPr="008076E8">
        <w:rPr>
          <w:rFonts w:eastAsiaTheme="minorHAnsi"/>
          <w:sz w:val="22"/>
          <w:szCs w:val="22"/>
          <w:highlight w:val="yellow"/>
          <w:lang w:eastAsia="en-US"/>
        </w:rPr>
        <w:t xml:space="preserve">, T., Ding, N., &amp; </w:t>
      </w:r>
      <w:proofErr w:type="spellStart"/>
      <w:r w:rsidRPr="008076E8">
        <w:rPr>
          <w:rFonts w:eastAsiaTheme="minorHAnsi"/>
          <w:sz w:val="22"/>
          <w:szCs w:val="22"/>
          <w:highlight w:val="yellow"/>
          <w:lang w:eastAsia="en-US"/>
        </w:rPr>
        <w:t>Shi</w:t>
      </w:r>
      <w:proofErr w:type="spellEnd"/>
      <w:r w:rsidRPr="008076E8">
        <w:rPr>
          <w:rFonts w:eastAsiaTheme="minorHAnsi"/>
          <w:sz w:val="22"/>
          <w:szCs w:val="22"/>
          <w:highlight w:val="yellow"/>
          <w:lang w:eastAsia="en-US"/>
        </w:rPr>
        <w:t xml:space="preserve">, T. (2020) </w:t>
      </w:r>
      <w:proofErr w:type="spellStart"/>
      <w:r w:rsidRPr="008076E8">
        <w:rPr>
          <w:rFonts w:eastAsiaTheme="minorHAnsi"/>
          <w:sz w:val="22"/>
          <w:szCs w:val="22"/>
          <w:highlight w:val="yellow"/>
          <w:lang w:eastAsia="en-US"/>
        </w:rPr>
        <w:t>Interventions</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to</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reduce</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burnout</w:t>
      </w:r>
      <w:proofErr w:type="spellEnd"/>
      <w:r w:rsidRPr="008076E8">
        <w:rPr>
          <w:rFonts w:eastAsiaTheme="minorHAnsi"/>
          <w:sz w:val="22"/>
          <w:szCs w:val="22"/>
          <w:highlight w:val="yellow"/>
          <w:lang w:eastAsia="en-US"/>
        </w:rPr>
        <w:t xml:space="preserve"> of </w:t>
      </w:r>
      <w:proofErr w:type="spellStart"/>
      <w:r w:rsidRPr="008076E8">
        <w:rPr>
          <w:rFonts w:eastAsiaTheme="minorHAnsi"/>
          <w:sz w:val="22"/>
          <w:szCs w:val="22"/>
          <w:highlight w:val="yellow"/>
          <w:lang w:eastAsia="en-US"/>
        </w:rPr>
        <w:t>physicians</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and</w:t>
      </w:r>
      <w:proofErr w:type="spellEnd"/>
      <w:r w:rsidRPr="008076E8">
        <w:rPr>
          <w:rFonts w:eastAsiaTheme="minorHAnsi"/>
          <w:sz w:val="22"/>
          <w:szCs w:val="22"/>
          <w:highlight w:val="yellow"/>
          <w:lang w:eastAsia="en-US"/>
        </w:rPr>
        <w:t xml:space="preserve"> </w:t>
      </w:r>
      <w:proofErr w:type="spellStart"/>
      <w:r w:rsidRPr="008076E8">
        <w:rPr>
          <w:rFonts w:eastAsiaTheme="minorHAnsi"/>
          <w:sz w:val="22"/>
          <w:szCs w:val="22"/>
          <w:highlight w:val="yellow"/>
          <w:lang w:eastAsia="en-US"/>
        </w:rPr>
        <w:t>nurses</w:t>
      </w:r>
      <w:proofErr w:type="spellEnd"/>
      <w:r w:rsidRPr="008076E8">
        <w:rPr>
          <w:rFonts w:eastAsiaTheme="minorHAnsi"/>
          <w:sz w:val="22"/>
          <w:szCs w:val="22"/>
          <w:highlight w:val="yellow"/>
          <w:lang w:eastAsia="en-US"/>
        </w:rPr>
        <w:t>:</w:t>
      </w:r>
      <w:r w:rsidR="00B97E34" w:rsidRPr="008076E8">
        <w:rPr>
          <w:color w:val="212121"/>
          <w:sz w:val="22"/>
          <w:szCs w:val="22"/>
          <w:highlight w:val="yellow"/>
        </w:rPr>
        <w:t xml:space="preserve"> </w:t>
      </w:r>
      <w:r w:rsidRPr="008076E8">
        <w:rPr>
          <w:color w:val="212121"/>
          <w:sz w:val="22"/>
          <w:szCs w:val="22"/>
          <w:highlight w:val="yellow"/>
        </w:rPr>
        <w:t xml:space="preserve">An </w:t>
      </w:r>
      <w:proofErr w:type="spellStart"/>
      <w:r w:rsidRPr="008076E8">
        <w:rPr>
          <w:color w:val="212121"/>
          <w:sz w:val="22"/>
          <w:szCs w:val="22"/>
          <w:highlight w:val="yellow"/>
        </w:rPr>
        <w:t>overview</w:t>
      </w:r>
      <w:proofErr w:type="spellEnd"/>
      <w:r w:rsidRPr="008076E8">
        <w:rPr>
          <w:color w:val="212121"/>
          <w:sz w:val="22"/>
          <w:szCs w:val="22"/>
          <w:highlight w:val="yellow"/>
        </w:rPr>
        <w:t xml:space="preserve"> of </w:t>
      </w:r>
      <w:proofErr w:type="spellStart"/>
      <w:r w:rsidRPr="008076E8">
        <w:rPr>
          <w:color w:val="212121"/>
          <w:sz w:val="22"/>
          <w:szCs w:val="22"/>
          <w:highlight w:val="yellow"/>
        </w:rPr>
        <w:t>systematic</w:t>
      </w:r>
      <w:proofErr w:type="spellEnd"/>
      <w:r w:rsidRPr="008076E8">
        <w:rPr>
          <w:color w:val="212121"/>
          <w:sz w:val="22"/>
          <w:szCs w:val="22"/>
          <w:highlight w:val="yellow"/>
        </w:rPr>
        <w:t xml:space="preserve"> </w:t>
      </w:r>
      <w:proofErr w:type="spellStart"/>
      <w:r w:rsidRPr="008076E8">
        <w:rPr>
          <w:color w:val="212121"/>
          <w:sz w:val="22"/>
          <w:szCs w:val="22"/>
          <w:highlight w:val="yellow"/>
        </w:rPr>
        <w:t>reviews</w:t>
      </w:r>
      <w:proofErr w:type="spellEnd"/>
      <w:r w:rsidRPr="008076E8">
        <w:rPr>
          <w:color w:val="212121"/>
          <w:sz w:val="22"/>
          <w:szCs w:val="22"/>
          <w:highlight w:val="yellow"/>
        </w:rPr>
        <w:t xml:space="preserve"> </w:t>
      </w:r>
      <w:proofErr w:type="spellStart"/>
      <w:r w:rsidRPr="008076E8">
        <w:rPr>
          <w:color w:val="212121"/>
          <w:sz w:val="22"/>
          <w:szCs w:val="22"/>
          <w:highlight w:val="yellow"/>
        </w:rPr>
        <w:t>and</w:t>
      </w:r>
      <w:proofErr w:type="spellEnd"/>
      <w:r w:rsidRPr="008076E8">
        <w:rPr>
          <w:color w:val="212121"/>
          <w:sz w:val="22"/>
          <w:szCs w:val="22"/>
          <w:highlight w:val="yellow"/>
        </w:rPr>
        <w:t xml:space="preserve"> meta-</w:t>
      </w:r>
      <w:proofErr w:type="spellStart"/>
      <w:r w:rsidRPr="008076E8">
        <w:rPr>
          <w:color w:val="212121"/>
          <w:sz w:val="22"/>
          <w:szCs w:val="22"/>
          <w:highlight w:val="yellow"/>
        </w:rPr>
        <w:t>analyses</w:t>
      </w:r>
      <w:proofErr w:type="spellEnd"/>
      <w:r w:rsidRPr="008076E8">
        <w:rPr>
          <w:color w:val="000000" w:themeColor="text1"/>
          <w:sz w:val="22"/>
          <w:szCs w:val="22"/>
          <w:highlight w:val="yellow"/>
          <w:lang w:val="en-US"/>
        </w:rPr>
        <w:t>.</w:t>
      </w:r>
      <w:r w:rsidR="00E72F98" w:rsidRPr="008076E8">
        <w:rPr>
          <w:color w:val="000000" w:themeColor="text1"/>
          <w:sz w:val="22"/>
          <w:szCs w:val="22"/>
          <w:highlight w:val="yellow"/>
          <w:lang w:val="en-US"/>
        </w:rPr>
        <w:t xml:space="preserve"> </w:t>
      </w:r>
      <w:proofErr w:type="spellStart"/>
      <w:r w:rsidRPr="008076E8">
        <w:rPr>
          <w:i/>
          <w:iCs/>
          <w:color w:val="000000" w:themeColor="text1"/>
          <w:sz w:val="22"/>
          <w:szCs w:val="22"/>
          <w:highlight w:val="yellow"/>
        </w:rPr>
        <w:t>Medicine</w:t>
      </w:r>
      <w:proofErr w:type="spellEnd"/>
      <w:r w:rsidRPr="008076E8">
        <w:rPr>
          <w:i/>
          <w:iCs/>
          <w:color w:val="000000" w:themeColor="text1"/>
          <w:sz w:val="22"/>
          <w:szCs w:val="22"/>
          <w:highlight w:val="yellow"/>
        </w:rPr>
        <w:t xml:space="preserve"> (Baltimore).</w:t>
      </w:r>
      <w:r w:rsidRPr="008076E8">
        <w:rPr>
          <w:color w:val="000000" w:themeColor="text1"/>
          <w:sz w:val="22"/>
          <w:szCs w:val="22"/>
          <w:highlight w:val="yellow"/>
        </w:rPr>
        <w:t> 26;99(26</w:t>
      </w:r>
      <w:proofErr w:type="gramStart"/>
      <w:r w:rsidRPr="008076E8">
        <w:rPr>
          <w:color w:val="000000" w:themeColor="text1"/>
          <w:sz w:val="22"/>
          <w:szCs w:val="22"/>
          <w:highlight w:val="yellow"/>
        </w:rPr>
        <w:t>):e</w:t>
      </w:r>
      <w:proofErr w:type="gramEnd"/>
      <w:r w:rsidRPr="008076E8">
        <w:rPr>
          <w:color w:val="000000" w:themeColor="text1"/>
          <w:sz w:val="22"/>
          <w:szCs w:val="22"/>
          <w:highlight w:val="yellow"/>
        </w:rPr>
        <w:t>20992.</w:t>
      </w:r>
      <w:r w:rsidR="00E72F98" w:rsidRPr="008076E8">
        <w:rPr>
          <w:color w:val="000000" w:themeColor="text1"/>
          <w:sz w:val="22"/>
          <w:szCs w:val="22"/>
          <w:highlight w:val="yellow"/>
        </w:rPr>
        <w:t xml:space="preserve"> </w:t>
      </w:r>
      <w:proofErr w:type="spellStart"/>
      <w:proofErr w:type="gramStart"/>
      <w:r w:rsidRPr="008076E8">
        <w:rPr>
          <w:color w:val="000000" w:themeColor="text1"/>
          <w:sz w:val="22"/>
          <w:szCs w:val="22"/>
          <w:highlight w:val="yellow"/>
        </w:rPr>
        <w:t>doi</w:t>
      </w:r>
      <w:proofErr w:type="spellEnd"/>
      <w:proofErr w:type="gramEnd"/>
      <w:r w:rsidRPr="008076E8">
        <w:rPr>
          <w:color w:val="000000" w:themeColor="text1"/>
          <w:sz w:val="22"/>
          <w:szCs w:val="22"/>
          <w:highlight w:val="yellow"/>
        </w:rPr>
        <w:t>: 10.1097/MD.0000000000020992.</w:t>
      </w:r>
    </w:p>
    <w:p w14:paraId="4B82E8A1" w14:textId="77777777" w:rsidR="007D5ADA" w:rsidRPr="008076E8" w:rsidRDefault="007D5ADA" w:rsidP="008076E8">
      <w:pPr>
        <w:spacing w:after="60" w:line="480" w:lineRule="auto"/>
        <w:jc w:val="both"/>
        <w:rPr>
          <w:color w:val="000000" w:themeColor="text1"/>
          <w:sz w:val="22"/>
          <w:szCs w:val="22"/>
          <w:lang w:val="en-US"/>
        </w:rPr>
      </w:pPr>
    </w:p>
    <w:p w14:paraId="48A77C07" w14:textId="5C4DE3D8" w:rsidR="00516C32" w:rsidRPr="008076E8" w:rsidRDefault="00516C32" w:rsidP="008076E8">
      <w:pPr>
        <w:spacing w:line="480" w:lineRule="auto"/>
        <w:jc w:val="both"/>
        <w:rPr>
          <w:b/>
          <w:bCs/>
          <w:color w:val="000000" w:themeColor="text1"/>
          <w:sz w:val="22"/>
          <w:szCs w:val="22"/>
          <w:lang w:val="en-US"/>
        </w:rPr>
      </w:pPr>
    </w:p>
    <w:p w14:paraId="332AC45D" w14:textId="0ABBF709" w:rsidR="00516C32" w:rsidRPr="008076E8" w:rsidRDefault="00516C32" w:rsidP="008076E8">
      <w:pPr>
        <w:spacing w:line="480" w:lineRule="auto"/>
        <w:jc w:val="both"/>
        <w:rPr>
          <w:b/>
          <w:bCs/>
          <w:color w:val="000000" w:themeColor="text1"/>
          <w:sz w:val="22"/>
          <w:szCs w:val="22"/>
          <w:lang w:val="en-US"/>
        </w:rPr>
      </w:pPr>
    </w:p>
    <w:p w14:paraId="6800C02D" w14:textId="7FD9691E" w:rsidR="00516C32" w:rsidRPr="008076E8" w:rsidRDefault="00516C32" w:rsidP="008076E8">
      <w:pPr>
        <w:spacing w:line="480" w:lineRule="auto"/>
        <w:jc w:val="both"/>
        <w:rPr>
          <w:b/>
          <w:bCs/>
          <w:color w:val="000000" w:themeColor="text1"/>
          <w:sz w:val="22"/>
          <w:szCs w:val="22"/>
          <w:lang w:val="en-US"/>
        </w:rPr>
      </w:pPr>
    </w:p>
    <w:p w14:paraId="52A29DE2" w14:textId="2EED496B" w:rsidR="00516C32" w:rsidRPr="008076E8" w:rsidRDefault="00516C32" w:rsidP="008076E8">
      <w:pPr>
        <w:spacing w:line="480" w:lineRule="auto"/>
        <w:jc w:val="both"/>
        <w:rPr>
          <w:b/>
          <w:bCs/>
          <w:color w:val="000000" w:themeColor="text1"/>
          <w:sz w:val="22"/>
          <w:szCs w:val="22"/>
          <w:lang w:val="en-US"/>
        </w:rPr>
      </w:pPr>
    </w:p>
    <w:p w14:paraId="60265401" w14:textId="397184CD" w:rsidR="006F3D96" w:rsidRPr="008076E8" w:rsidRDefault="006F3D96" w:rsidP="008076E8">
      <w:pPr>
        <w:spacing w:line="480" w:lineRule="auto"/>
        <w:jc w:val="both"/>
        <w:rPr>
          <w:b/>
          <w:bCs/>
          <w:color w:val="000000" w:themeColor="text1"/>
          <w:sz w:val="22"/>
          <w:szCs w:val="22"/>
          <w:lang w:val="en-US"/>
        </w:rPr>
      </w:pPr>
    </w:p>
    <w:p w14:paraId="53008F87" w14:textId="578F0CD3" w:rsidR="006F3D96" w:rsidRPr="008076E8" w:rsidRDefault="006F3D96" w:rsidP="008076E8">
      <w:pPr>
        <w:spacing w:line="480" w:lineRule="auto"/>
        <w:jc w:val="both"/>
        <w:rPr>
          <w:b/>
          <w:bCs/>
          <w:color w:val="000000" w:themeColor="text1"/>
          <w:sz w:val="22"/>
          <w:szCs w:val="22"/>
          <w:lang w:val="en-US"/>
        </w:rPr>
      </w:pPr>
    </w:p>
    <w:p w14:paraId="25EBF23D" w14:textId="67B8E41A" w:rsidR="006F3D96" w:rsidRPr="008076E8" w:rsidRDefault="006F3D96" w:rsidP="008076E8">
      <w:pPr>
        <w:spacing w:line="480" w:lineRule="auto"/>
        <w:jc w:val="both"/>
        <w:rPr>
          <w:b/>
          <w:bCs/>
          <w:color w:val="000000" w:themeColor="text1"/>
          <w:sz w:val="22"/>
          <w:szCs w:val="22"/>
          <w:lang w:val="en-US"/>
        </w:rPr>
      </w:pPr>
    </w:p>
    <w:p w14:paraId="3B13A066" w14:textId="7AFD328E" w:rsidR="006F3D96" w:rsidRPr="008076E8" w:rsidRDefault="006F3D96" w:rsidP="008076E8">
      <w:pPr>
        <w:spacing w:line="480" w:lineRule="auto"/>
        <w:jc w:val="both"/>
        <w:rPr>
          <w:b/>
          <w:bCs/>
          <w:color w:val="000000" w:themeColor="text1"/>
          <w:sz w:val="22"/>
          <w:szCs w:val="22"/>
          <w:lang w:val="en-US"/>
        </w:rPr>
      </w:pPr>
    </w:p>
    <w:p w14:paraId="5E89790E" w14:textId="5AF5F782" w:rsidR="006F3D96" w:rsidRPr="008076E8" w:rsidRDefault="006F3D96" w:rsidP="008076E8">
      <w:pPr>
        <w:spacing w:line="480" w:lineRule="auto"/>
        <w:jc w:val="both"/>
        <w:rPr>
          <w:b/>
          <w:bCs/>
          <w:color w:val="000000" w:themeColor="text1"/>
          <w:sz w:val="22"/>
          <w:szCs w:val="22"/>
          <w:lang w:val="en-US"/>
        </w:rPr>
      </w:pPr>
    </w:p>
    <w:p w14:paraId="292525DF" w14:textId="112AA838" w:rsidR="006F3D96" w:rsidRPr="008076E8" w:rsidRDefault="006F3D96" w:rsidP="008076E8">
      <w:pPr>
        <w:spacing w:line="480" w:lineRule="auto"/>
        <w:jc w:val="both"/>
        <w:rPr>
          <w:b/>
          <w:bCs/>
          <w:color w:val="000000" w:themeColor="text1"/>
          <w:sz w:val="22"/>
          <w:szCs w:val="22"/>
          <w:lang w:val="en-US"/>
        </w:rPr>
      </w:pPr>
    </w:p>
    <w:p w14:paraId="2C841568" w14:textId="6235FEEF" w:rsidR="006F3D96" w:rsidRPr="008076E8" w:rsidRDefault="006F3D96" w:rsidP="008076E8">
      <w:pPr>
        <w:spacing w:line="480" w:lineRule="auto"/>
        <w:jc w:val="both"/>
        <w:rPr>
          <w:b/>
          <w:bCs/>
          <w:color w:val="000000" w:themeColor="text1"/>
          <w:sz w:val="22"/>
          <w:szCs w:val="22"/>
          <w:lang w:val="en-US"/>
        </w:rPr>
      </w:pPr>
    </w:p>
    <w:p w14:paraId="4C8213F4" w14:textId="35445E85" w:rsidR="006F3D96" w:rsidRPr="008076E8" w:rsidRDefault="006F3D96" w:rsidP="008076E8">
      <w:pPr>
        <w:spacing w:line="480" w:lineRule="auto"/>
        <w:jc w:val="both"/>
        <w:rPr>
          <w:b/>
          <w:bCs/>
          <w:color w:val="000000" w:themeColor="text1"/>
          <w:sz w:val="22"/>
          <w:szCs w:val="22"/>
          <w:lang w:val="en-US"/>
        </w:rPr>
      </w:pPr>
    </w:p>
    <w:p w14:paraId="1AEAD6DB" w14:textId="3E414E6D" w:rsidR="006F3D96" w:rsidRPr="008076E8" w:rsidRDefault="006F3D96" w:rsidP="008076E8">
      <w:pPr>
        <w:spacing w:line="480" w:lineRule="auto"/>
        <w:jc w:val="both"/>
        <w:rPr>
          <w:b/>
          <w:bCs/>
          <w:color w:val="000000" w:themeColor="text1"/>
          <w:sz w:val="22"/>
          <w:szCs w:val="22"/>
          <w:lang w:val="en-US"/>
        </w:rPr>
      </w:pPr>
    </w:p>
    <w:p w14:paraId="6A6A6E48" w14:textId="1015B353" w:rsidR="006F3D96" w:rsidRPr="008076E8" w:rsidRDefault="006F3D96" w:rsidP="008076E8">
      <w:pPr>
        <w:spacing w:line="480" w:lineRule="auto"/>
        <w:jc w:val="both"/>
        <w:rPr>
          <w:b/>
          <w:bCs/>
          <w:color w:val="000000" w:themeColor="text1"/>
          <w:sz w:val="22"/>
          <w:szCs w:val="22"/>
          <w:lang w:val="en-US"/>
        </w:rPr>
      </w:pPr>
    </w:p>
    <w:p w14:paraId="2B8D3199" w14:textId="62B48822" w:rsidR="006F3D96" w:rsidRPr="008076E8" w:rsidRDefault="006F3D96" w:rsidP="008076E8">
      <w:pPr>
        <w:spacing w:line="480" w:lineRule="auto"/>
        <w:jc w:val="both"/>
        <w:rPr>
          <w:b/>
          <w:bCs/>
          <w:color w:val="000000" w:themeColor="text1"/>
          <w:sz w:val="22"/>
          <w:szCs w:val="22"/>
          <w:lang w:val="en-US"/>
        </w:rPr>
      </w:pPr>
    </w:p>
    <w:p w14:paraId="42D75A1E" w14:textId="720584D2" w:rsidR="006F3D96" w:rsidRDefault="006F3D96" w:rsidP="008076E8">
      <w:pPr>
        <w:spacing w:line="480" w:lineRule="auto"/>
        <w:jc w:val="both"/>
        <w:rPr>
          <w:b/>
          <w:bCs/>
          <w:color w:val="000000" w:themeColor="text1"/>
          <w:sz w:val="22"/>
          <w:szCs w:val="22"/>
          <w:lang w:val="en-US"/>
        </w:rPr>
      </w:pPr>
    </w:p>
    <w:p w14:paraId="58C5666C" w14:textId="27F71A13" w:rsidR="008076E8" w:rsidRDefault="008076E8" w:rsidP="008076E8">
      <w:pPr>
        <w:spacing w:line="480" w:lineRule="auto"/>
        <w:jc w:val="both"/>
        <w:rPr>
          <w:b/>
          <w:bCs/>
          <w:color w:val="000000" w:themeColor="text1"/>
          <w:sz w:val="22"/>
          <w:szCs w:val="22"/>
          <w:lang w:val="en-US"/>
        </w:rPr>
      </w:pPr>
    </w:p>
    <w:p w14:paraId="4DB00067" w14:textId="740C3D6A" w:rsidR="008076E8" w:rsidRDefault="008076E8" w:rsidP="008076E8">
      <w:pPr>
        <w:spacing w:line="480" w:lineRule="auto"/>
        <w:jc w:val="both"/>
        <w:rPr>
          <w:b/>
          <w:bCs/>
          <w:color w:val="000000" w:themeColor="text1"/>
          <w:sz w:val="22"/>
          <w:szCs w:val="22"/>
          <w:lang w:val="en-US"/>
        </w:rPr>
      </w:pPr>
    </w:p>
    <w:p w14:paraId="149D0F16" w14:textId="77777777" w:rsidR="008076E8" w:rsidRPr="008076E8" w:rsidRDefault="008076E8" w:rsidP="008076E8">
      <w:pPr>
        <w:spacing w:line="480" w:lineRule="auto"/>
        <w:jc w:val="both"/>
        <w:rPr>
          <w:b/>
          <w:bCs/>
          <w:color w:val="000000" w:themeColor="text1"/>
          <w:sz w:val="22"/>
          <w:szCs w:val="22"/>
          <w:lang w:val="en-US"/>
        </w:rPr>
      </w:pPr>
    </w:p>
    <w:p w14:paraId="1FC92075" w14:textId="77777777" w:rsidR="006F3D96" w:rsidRPr="008076E8" w:rsidRDefault="006F3D96" w:rsidP="008076E8">
      <w:pPr>
        <w:spacing w:line="480" w:lineRule="auto"/>
        <w:jc w:val="both"/>
        <w:rPr>
          <w:b/>
          <w:bCs/>
          <w:color w:val="000000" w:themeColor="text1"/>
          <w:sz w:val="22"/>
          <w:szCs w:val="22"/>
          <w:lang w:val="en-US"/>
        </w:rPr>
      </w:pPr>
    </w:p>
    <w:p w14:paraId="3F276A71" w14:textId="77777777" w:rsidR="00B97E34" w:rsidRPr="008076E8" w:rsidRDefault="00B97E34" w:rsidP="008076E8">
      <w:pPr>
        <w:spacing w:line="480" w:lineRule="auto"/>
        <w:jc w:val="both"/>
        <w:rPr>
          <w:b/>
          <w:bCs/>
          <w:color w:val="000000" w:themeColor="text1"/>
          <w:sz w:val="22"/>
          <w:szCs w:val="22"/>
          <w:lang w:val="en-US"/>
        </w:rPr>
      </w:pPr>
    </w:p>
    <w:p w14:paraId="14B47F3F" w14:textId="5BA40A2E" w:rsidR="00600198" w:rsidRPr="008076E8" w:rsidRDefault="00600198" w:rsidP="008076E8">
      <w:pPr>
        <w:spacing w:line="480" w:lineRule="auto"/>
        <w:jc w:val="both"/>
        <w:rPr>
          <w:sz w:val="22"/>
          <w:szCs w:val="22"/>
          <w:lang w:val="en-US"/>
        </w:rPr>
      </w:pPr>
      <w:r w:rsidRPr="008076E8">
        <w:rPr>
          <w:b/>
          <w:bCs/>
          <w:sz w:val="22"/>
          <w:szCs w:val="22"/>
          <w:lang w:val="en-US"/>
        </w:rPr>
        <w:lastRenderedPageBreak/>
        <w:t xml:space="preserve">Table 1. </w:t>
      </w:r>
      <w:r w:rsidRPr="008076E8">
        <w:rPr>
          <w:sz w:val="22"/>
          <w:szCs w:val="22"/>
          <w:lang w:val="en-US"/>
        </w:rPr>
        <w:t>Demographic characteristics of participants, N =261.</w:t>
      </w:r>
    </w:p>
    <w:tbl>
      <w:tblPr>
        <w:tblStyle w:val="TabloKlavuzu"/>
        <w:tblW w:w="6890" w:type="dxa"/>
        <w:tblLook w:val="04A0" w:firstRow="1" w:lastRow="0" w:firstColumn="1" w:lastColumn="0" w:noHBand="0" w:noVBand="1"/>
      </w:tblPr>
      <w:tblGrid>
        <w:gridCol w:w="2405"/>
        <w:gridCol w:w="2313"/>
        <w:gridCol w:w="2172"/>
      </w:tblGrid>
      <w:tr w:rsidR="00600198" w:rsidRPr="008076E8" w14:paraId="7409D828" w14:textId="77777777" w:rsidTr="008A781C">
        <w:tc>
          <w:tcPr>
            <w:tcW w:w="2405" w:type="dxa"/>
          </w:tcPr>
          <w:p w14:paraId="6B825EF6" w14:textId="77777777" w:rsidR="00600198" w:rsidRPr="008076E8" w:rsidRDefault="00600198" w:rsidP="008076E8">
            <w:pPr>
              <w:spacing w:line="480" w:lineRule="auto"/>
              <w:jc w:val="both"/>
              <w:rPr>
                <w:b/>
                <w:bCs/>
                <w:lang w:val="en-US"/>
              </w:rPr>
            </w:pPr>
          </w:p>
        </w:tc>
        <w:tc>
          <w:tcPr>
            <w:tcW w:w="2313" w:type="dxa"/>
          </w:tcPr>
          <w:p w14:paraId="038203B9" w14:textId="77777777" w:rsidR="00600198" w:rsidRPr="008076E8" w:rsidRDefault="00600198" w:rsidP="008076E8">
            <w:pPr>
              <w:spacing w:line="480" w:lineRule="auto"/>
              <w:jc w:val="both"/>
              <w:rPr>
                <w:b/>
                <w:bCs/>
                <w:lang w:val="en-US"/>
              </w:rPr>
            </w:pPr>
            <w:r w:rsidRPr="008076E8">
              <w:rPr>
                <w:b/>
                <w:bCs/>
                <w:lang w:val="en-US"/>
              </w:rPr>
              <w:t>N</w:t>
            </w:r>
          </w:p>
        </w:tc>
        <w:tc>
          <w:tcPr>
            <w:tcW w:w="2172" w:type="dxa"/>
          </w:tcPr>
          <w:p w14:paraId="2DD58987" w14:textId="77777777" w:rsidR="00600198" w:rsidRPr="008076E8" w:rsidRDefault="00600198" w:rsidP="008076E8">
            <w:pPr>
              <w:spacing w:line="480" w:lineRule="auto"/>
              <w:jc w:val="both"/>
              <w:rPr>
                <w:b/>
                <w:bCs/>
                <w:lang w:val="en-US"/>
              </w:rPr>
            </w:pPr>
            <w:r w:rsidRPr="008076E8">
              <w:rPr>
                <w:b/>
                <w:bCs/>
                <w:color w:val="000000" w:themeColor="text1"/>
                <w:lang w:val="en-US"/>
              </w:rPr>
              <w:t>(%)</w:t>
            </w:r>
          </w:p>
        </w:tc>
      </w:tr>
      <w:tr w:rsidR="00600198" w:rsidRPr="008076E8" w14:paraId="061C2E9D" w14:textId="77777777" w:rsidTr="008A781C">
        <w:tc>
          <w:tcPr>
            <w:tcW w:w="2405" w:type="dxa"/>
          </w:tcPr>
          <w:p w14:paraId="38B667C0" w14:textId="77777777" w:rsidR="00600198" w:rsidRPr="008076E8" w:rsidRDefault="00600198" w:rsidP="008076E8">
            <w:pPr>
              <w:spacing w:line="480" w:lineRule="auto"/>
              <w:jc w:val="both"/>
              <w:rPr>
                <w:lang w:val="en-US"/>
              </w:rPr>
            </w:pPr>
            <w:r w:rsidRPr="008076E8">
              <w:rPr>
                <w:b/>
                <w:bCs/>
                <w:i/>
                <w:iCs/>
                <w:lang w:val="en-US"/>
              </w:rPr>
              <w:t>Age</w:t>
            </w:r>
            <w:r w:rsidRPr="008076E8">
              <w:rPr>
                <w:i/>
                <w:iCs/>
                <w:lang w:val="en-US"/>
              </w:rPr>
              <w:t xml:space="preserve"> </w:t>
            </w:r>
            <w:r w:rsidRPr="008076E8">
              <w:rPr>
                <w:lang w:val="en-US"/>
              </w:rPr>
              <w:t>(median-SD)</w:t>
            </w:r>
          </w:p>
        </w:tc>
        <w:tc>
          <w:tcPr>
            <w:tcW w:w="2313" w:type="dxa"/>
          </w:tcPr>
          <w:p w14:paraId="48B6F5E9" w14:textId="77777777" w:rsidR="00600198" w:rsidRPr="008076E8" w:rsidRDefault="00600198" w:rsidP="008076E8">
            <w:pPr>
              <w:spacing w:line="480" w:lineRule="auto"/>
              <w:jc w:val="both"/>
              <w:rPr>
                <w:lang w:val="en-US"/>
              </w:rPr>
            </w:pPr>
            <w:r w:rsidRPr="008076E8">
              <w:rPr>
                <w:lang w:val="en-US"/>
              </w:rPr>
              <w:t>29 (9,88)</w:t>
            </w:r>
          </w:p>
        </w:tc>
        <w:tc>
          <w:tcPr>
            <w:tcW w:w="2172" w:type="dxa"/>
          </w:tcPr>
          <w:p w14:paraId="2E04B839" w14:textId="77777777" w:rsidR="00600198" w:rsidRPr="008076E8" w:rsidRDefault="00600198" w:rsidP="008076E8">
            <w:pPr>
              <w:spacing w:line="480" w:lineRule="auto"/>
              <w:jc w:val="both"/>
              <w:rPr>
                <w:lang w:val="en-US"/>
              </w:rPr>
            </w:pPr>
            <w:r w:rsidRPr="008076E8">
              <w:rPr>
                <w:lang w:val="en-US"/>
              </w:rPr>
              <w:t>-</w:t>
            </w:r>
          </w:p>
        </w:tc>
      </w:tr>
      <w:tr w:rsidR="00600198" w:rsidRPr="008076E8" w14:paraId="5164C889" w14:textId="77777777" w:rsidTr="008A781C">
        <w:tc>
          <w:tcPr>
            <w:tcW w:w="2405" w:type="dxa"/>
          </w:tcPr>
          <w:p w14:paraId="0234F097" w14:textId="77777777" w:rsidR="00600198" w:rsidRPr="008076E8" w:rsidRDefault="00600198" w:rsidP="008076E8">
            <w:pPr>
              <w:spacing w:line="480" w:lineRule="auto"/>
              <w:jc w:val="both"/>
              <w:rPr>
                <w:b/>
                <w:bCs/>
                <w:i/>
                <w:iCs/>
                <w:lang w:val="en-US"/>
              </w:rPr>
            </w:pPr>
            <w:r w:rsidRPr="008076E8">
              <w:rPr>
                <w:b/>
                <w:bCs/>
                <w:i/>
                <w:iCs/>
                <w:lang w:val="en-US"/>
              </w:rPr>
              <w:t xml:space="preserve">Gender </w:t>
            </w:r>
          </w:p>
          <w:p w14:paraId="43FE8322" w14:textId="77777777" w:rsidR="00600198" w:rsidRPr="008076E8" w:rsidRDefault="00600198" w:rsidP="008076E8">
            <w:pPr>
              <w:spacing w:line="480" w:lineRule="auto"/>
              <w:jc w:val="both"/>
              <w:rPr>
                <w:b/>
                <w:bCs/>
                <w:lang w:val="en-US"/>
              </w:rPr>
            </w:pPr>
            <w:r w:rsidRPr="008076E8">
              <w:rPr>
                <w:lang w:val="en-US"/>
              </w:rPr>
              <w:t xml:space="preserve">  Male</w:t>
            </w:r>
          </w:p>
          <w:p w14:paraId="15F984A0" w14:textId="77777777" w:rsidR="00600198" w:rsidRPr="008076E8" w:rsidRDefault="00600198" w:rsidP="008076E8">
            <w:pPr>
              <w:spacing w:line="480" w:lineRule="auto"/>
              <w:jc w:val="both"/>
              <w:rPr>
                <w:lang w:val="en-US"/>
              </w:rPr>
            </w:pPr>
            <w:r w:rsidRPr="008076E8">
              <w:rPr>
                <w:lang w:val="en-US"/>
              </w:rPr>
              <w:t xml:space="preserve">  Female </w:t>
            </w:r>
          </w:p>
        </w:tc>
        <w:tc>
          <w:tcPr>
            <w:tcW w:w="2313" w:type="dxa"/>
          </w:tcPr>
          <w:p w14:paraId="2061AD5E" w14:textId="77777777" w:rsidR="00600198" w:rsidRPr="008076E8" w:rsidRDefault="00600198" w:rsidP="008076E8">
            <w:pPr>
              <w:spacing w:line="480" w:lineRule="auto"/>
              <w:jc w:val="both"/>
              <w:rPr>
                <w:lang w:val="en-US"/>
              </w:rPr>
            </w:pPr>
          </w:p>
          <w:p w14:paraId="5E44AE50" w14:textId="77777777" w:rsidR="00600198" w:rsidRPr="008076E8" w:rsidRDefault="00600198" w:rsidP="008076E8">
            <w:pPr>
              <w:spacing w:line="480" w:lineRule="auto"/>
              <w:jc w:val="both"/>
              <w:rPr>
                <w:lang w:val="en-US"/>
              </w:rPr>
            </w:pPr>
            <w:r w:rsidRPr="008076E8">
              <w:rPr>
                <w:lang w:val="en-US"/>
              </w:rPr>
              <w:t>55</w:t>
            </w:r>
          </w:p>
          <w:p w14:paraId="0BE011A0" w14:textId="77777777" w:rsidR="00600198" w:rsidRPr="008076E8" w:rsidRDefault="00600198" w:rsidP="008076E8">
            <w:pPr>
              <w:spacing w:line="480" w:lineRule="auto"/>
              <w:jc w:val="both"/>
              <w:rPr>
                <w:b/>
                <w:bCs/>
                <w:lang w:val="en-US"/>
              </w:rPr>
            </w:pPr>
            <w:r w:rsidRPr="008076E8">
              <w:rPr>
                <w:lang w:val="en-US"/>
              </w:rPr>
              <w:t>206</w:t>
            </w:r>
          </w:p>
        </w:tc>
        <w:tc>
          <w:tcPr>
            <w:tcW w:w="2172" w:type="dxa"/>
          </w:tcPr>
          <w:p w14:paraId="2E10E372" w14:textId="77777777" w:rsidR="00600198" w:rsidRPr="008076E8" w:rsidRDefault="00600198" w:rsidP="008076E8">
            <w:pPr>
              <w:spacing w:line="480" w:lineRule="auto"/>
              <w:jc w:val="both"/>
              <w:rPr>
                <w:lang w:val="en-US"/>
              </w:rPr>
            </w:pPr>
          </w:p>
          <w:p w14:paraId="58F2485B" w14:textId="77777777" w:rsidR="00600198" w:rsidRPr="008076E8" w:rsidRDefault="00600198" w:rsidP="008076E8">
            <w:pPr>
              <w:spacing w:line="480" w:lineRule="auto"/>
              <w:jc w:val="both"/>
              <w:rPr>
                <w:lang w:val="en-US"/>
              </w:rPr>
            </w:pPr>
            <w:r w:rsidRPr="008076E8">
              <w:rPr>
                <w:lang w:val="en-US"/>
              </w:rPr>
              <w:t>21.1</w:t>
            </w:r>
          </w:p>
          <w:p w14:paraId="61CEB0E2" w14:textId="77777777" w:rsidR="00600198" w:rsidRPr="008076E8" w:rsidRDefault="00600198" w:rsidP="008076E8">
            <w:pPr>
              <w:spacing w:line="480" w:lineRule="auto"/>
              <w:jc w:val="both"/>
              <w:rPr>
                <w:lang w:val="en-US"/>
              </w:rPr>
            </w:pPr>
            <w:r w:rsidRPr="008076E8">
              <w:rPr>
                <w:lang w:val="en-US"/>
              </w:rPr>
              <w:t>78.9</w:t>
            </w:r>
          </w:p>
        </w:tc>
      </w:tr>
      <w:tr w:rsidR="00600198" w:rsidRPr="008076E8" w14:paraId="630F3DB6" w14:textId="77777777" w:rsidTr="008A781C">
        <w:tc>
          <w:tcPr>
            <w:tcW w:w="2405" w:type="dxa"/>
          </w:tcPr>
          <w:p w14:paraId="226E01F8" w14:textId="77777777" w:rsidR="00600198" w:rsidRPr="008076E8" w:rsidRDefault="00600198" w:rsidP="008076E8">
            <w:pPr>
              <w:spacing w:line="480" w:lineRule="auto"/>
              <w:jc w:val="both"/>
              <w:rPr>
                <w:b/>
                <w:bCs/>
                <w:i/>
                <w:iCs/>
                <w:lang w:val="en-US"/>
              </w:rPr>
            </w:pPr>
            <w:r w:rsidRPr="008076E8">
              <w:rPr>
                <w:b/>
                <w:bCs/>
                <w:i/>
                <w:iCs/>
                <w:lang w:val="en-US"/>
              </w:rPr>
              <w:t>Married status</w:t>
            </w:r>
          </w:p>
          <w:p w14:paraId="714E4488" w14:textId="77777777" w:rsidR="00600198" w:rsidRPr="008076E8" w:rsidRDefault="00600198" w:rsidP="008076E8">
            <w:pPr>
              <w:spacing w:line="480" w:lineRule="auto"/>
              <w:jc w:val="both"/>
              <w:rPr>
                <w:b/>
                <w:bCs/>
                <w:lang w:val="en-US"/>
              </w:rPr>
            </w:pPr>
            <w:r w:rsidRPr="008076E8">
              <w:rPr>
                <w:lang w:val="en-US"/>
              </w:rPr>
              <w:t xml:space="preserve"> Single </w:t>
            </w:r>
          </w:p>
          <w:p w14:paraId="62A81382" w14:textId="77777777" w:rsidR="00600198" w:rsidRPr="008076E8" w:rsidRDefault="00600198" w:rsidP="008076E8">
            <w:pPr>
              <w:spacing w:line="480" w:lineRule="auto"/>
              <w:jc w:val="both"/>
              <w:rPr>
                <w:lang w:val="en-US"/>
              </w:rPr>
            </w:pPr>
            <w:r w:rsidRPr="008076E8">
              <w:rPr>
                <w:lang w:val="en-US"/>
              </w:rPr>
              <w:t>Married</w:t>
            </w:r>
          </w:p>
        </w:tc>
        <w:tc>
          <w:tcPr>
            <w:tcW w:w="2313" w:type="dxa"/>
          </w:tcPr>
          <w:p w14:paraId="6501570A" w14:textId="77777777" w:rsidR="00600198" w:rsidRPr="008076E8" w:rsidRDefault="00600198" w:rsidP="008076E8">
            <w:pPr>
              <w:spacing w:line="480" w:lineRule="auto"/>
              <w:jc w:val="both"/>
              <w:rPr>
                <w:lang w:val="en-US"/>
              </w:rPr>
            </w:pPr>
          </w:p>
          <w:p w14:paraId="7F74FB49" w14:textId="77777777" w:rsidR="00600198" w:rsidRPr="008076E8" w:rsidRDefault="00600198" w:rsidP="008076E8">
            <w:pPr>
              <w:spacing w:line="480" w:lineRule="auto"/>
              <w:jc w:val="both"/>
              <w:rPr>
                <w:lang w:val="en-US"/>
              </w:rPr>
            </w:pPr>
            <w:r w:rsidRPr="008076E8">
              <w:rPr>
                <w:lang w:val="en-US"/>
              </w:rPr>
              <w:t>143</w:t>
            </w:r>
          </w:p>
          <w:p w14:paraId="45D92BDC" w14:textId="77777777" w:rsidR="00600198" w:rsidRPr="008076E8" w:rsidRDefault="00600198" w:rsidP="008076E8">
            <w:pPr>
              <w:spacing w:line="480" w:lineRule="auto"/>
              <w:jc w:val="both"/>
              <w:rPr>
                <w:b/>
                <w:bCs/>
                <w:lang w:val="en-US"/>
              </w:rPr>
            </w:pPr>
            <w:r w:rsidRPr="008076E8">
              <w:rPr>
                <w:lang w:val="en-US"/>
              </w:rPr>
              <w:t>118</w:t>
            </w:r>
          </w:p>
        </w:tc>
        <w:tc>
          <w:tcPr>
            <w:tcW w:w="2172" w:type="dxa"/>
          </w:tcPr>
          <w:p w14:paraId="37747901" w14:textId="77777777" w:rsidR="00600198" w:rsidRPr="008076E8" w:rsidRDefault="00600198" w:rsidP="008076E8">
            <w:pPr>
              <w:spacing w:line="480" w:lineRule="auto"/>
              <w:jc w:val="both"/>
              <w:rPr>
                <w:lang w:val="en-US"/>
              </w:rPr>
            </w:pPr>
          </w:p>
          <w:p w14:paraId="0A52EC4A" w14:textId="77777777" w:rsidR="00600198" w:rsidRPr="008076E8" w:rsidRDefault="00600198" w:rsidP="008076E8">
            <w:pPr>
              <w:spacing w:line="480" w:lineRule="auto"/>
              <w:jc w:val="both"/>
              <w:rPr>
                <w:lang w:val="en-US"/>
              </w:rPr>
            </w:pPr>
            <w:r w:rsidRPr="008076E8">
              <w:rPr>
                <w:lang w:val="en-US"/>
              </w:rPr>
              <w:t>54.8</w:t>
            </w:r>
          </w:p>
          <w:p w14:paraId="2A3F8CF4" w14:textId="77777777" w:rsidR="00600198" w:rsidRPr="008076E8" w:rsidRDefault="00600198" w:rsidP="008076E8">
            <w:pPr>
              <w:spacing w:line="480" w:lineRule="auto"/>
              <w:jc w:val="both"/>
              <w:rPr>
                <w:b/>
                <w:bCs/>
                <w:lang w:val="en-US"/>
              </w:rPr>
            </w:pPr>
            <w:r w:rsidRPr="008076E8">
              <w:rPr>
                <w:lang w:val="en-US"/>
              </w:rPr>
              <w:t>45.2</w:t>
            </w:r>
          </w:p>
        </w:tc>
      </w:tr>
      <w:tr w:rsidR="00600198" w:rsidRPr="008076E8" w14:paraId="5D01240E" w14:textId="77777777" w:rsidTr="008A781C">
        <w:tc>
          <w:tcPr>
            <w:tcW w:w="2405" w:type="dxa"/>
          </w:tcPr>
          <w:p w14:paraId="5ABF5D7C" w14:textId="77777777" w:rsidR="00600198" w:rsidRPr="008076E8" w:rsidRDefault="00600198" w:rsidP="008076E8">
            <w:pPr>
              <w:spacing w:line="480" w:lineRule="auto"/>
              <w:jc w:val="both"/>
              <w:rPr>
                <w:b/>
                <w:bCs/>
                <w:i/>
                <w:iCs/>
                <w:lang w:val="en-US"/>
              </w:rPr>
            </w:pPr>
            <w:r w:rsidRPr="008076E8">
              <w:rPr>
                <w:b/>
                <w:bCs/>
                <w:i/>
                <w:iCs/>
                <w:lang w:val="en-US"/>
              </w:rPr>
              <w:t xml:space="preserve">Occupation </w:t>
            </w:r>
          </w:p>
          <w:p w14:paraId="7A724D3D" w14:textId="77777777" w:rsidR="00600198" w:rsidRPr="008076E8" w:rsidRDefault="00600198" w:rsidP="008076E8">
            <w:pPr>
              <w:spacing w:line="480" w:lineRule="auto"/>
              <w:jc w:val="both"/>
              <w:rPr>
                <w:b/>
                <w:bCs/>
                <w:lang w:val="en-US"/>
              </w:rPr>
            </w:pPr>
            <w:r w:rsidRPr="008076E8">
              <w:rPr>
                <w:lang w:val="en-US"/>
              </w:rPr>
              <w:t xml:space="preserve">  Nurse</w:t>
            </w:r>
          </w:p>
          <w:p w14:paraId="0E0A0C48" w14:textId="77777777" w:rsidR="00600198" w:rsidRPr="008076E8" w:rsidRDefault="00600198" w:rsidP="008076E8">
            <w:pPr>
              <w:spacing w:line="480" w:lineRule="auto"/>
              <w:jc w:val="both"/>
              <w:rPr>
                <w:b/>
                <w:bCs/>
                <w:lang w:val="en-US"/>
              </w:rPr>
            </w:pPr>
            <w:r w:rsidRPr="008076E8">
              <w:rPr>
                <w:lang w:val="en-US"/>
              </w:rPr>
              <w:t xml:space="preserve">  Physicians</w:t>
            </w:r>
          </w:p>
          <w:p w14:paraId="3285E805" w14:textId="77777777" w:rsidR="00600198" w:rsidRPr="008076E8" w:rsidRDefault="00600198" w:rsidP="008076E8">
            <w:pPr>
              <w:spacing w:line="480" w:lineRule="auto"/>
              <w:jc w:val="both"/>
              <w:rPr>
                <w:vertAlign w:val="superscript"/>
                <w:lang w:val="en-US"/>
              </w:rPr>
            </w:pPr>
            <w:r w:rsidRPr="008076E8">
              <w:rPr>
                <w:lang w:val="en-US"/>
              </w:rPr>
              <w:t xml:space="preserve">  Other HCW</w:t>
            </w:r>
            <w:r w:rsidRPr="008076E8">
              <w:rPr>
                <w:vertAlign w:val="superscript"/>
                <w:lang w:val="en-US"/>
              </w:rPr>
              <w:t>†</w:t>
            </w:r>
          </w:p>
        </w:tc>
        <w:tc>
          <w:tcPr>
            <w:tcW w:w="2313" w:type="dxa"/>
          </w:tcPr>
          <w:p w14:paraId="5622D4B1" w14:textId="77777777" w:rsidR="00600198" w:rsidRPr="008076E8" w:rsidRDefault="00600198" w:rsidP="008076E8">
            <w:pPr>
              <w:spacing w:line="480" w:lineRule="auto"/>
              <w:jc w:val="both"/>
              <w:rPr>
                <w:lang w:val="en-US"/>
              </w:rPr>
            </w:pPr>
          </w:p>
          <w:p w14:paraId="11467214" w14:textId="77777777" w:rsidR="00600198" w:rsidRPr="008076E8" w:rsidRDefault="00600198" w:rsidP="008076E8">
            <w:pPr>
              <w:spacing w:line="480" w:lineRule="auto"/>
              <w:jc w:val="both"/>
              <w:rPr>
                <w:lang w:val="en-US"/>
              </w:rPr>
            </w:pPr>
            <w:r w:rsidRPr="008076E8">
              <w:rPr>
                <w:lang w:val="en-US"/>
              </w:rPr>
              <w:t>105</w:t>
            </w:r>
          </w:p>
          <w:p w14:paraId="569332B2" w14:textId="77777777" w:rsidR="00600198" w:rsidRPr="008076E8" w:rsidRDefault="00600198" w:rsidP="008076E8">
            <w:pPr>
              <w:spacing w:line="480" w:lineRule="auto"/>
              <w:jc w:val="both"/>
              <w:rPr>
                <w:lang w:val="en-US"/>
              </w:rPr>
            </w:pPr>
            <w:r w:rsidRPr="008076E8">
              <w:rPr>
                <w:lang w:val="en-US"/>
              </w:rPr>
              <w:t>86</w:t>
            </w:r>
          </w:p>
          <w:p w14:paraId="680CB0CD" w14:textId="77777777" w:rsidR="00600198" w:rsidRPr="008076E8" w:rsidRDefault="00600198" w:rsidP="008076E8">
            <w:pPr>
              <w:spacing w:line="480" w:lineRule="auto"/>
              <w:jc w:val="both"/>
              <w:rPr>
                <w:b/>
                <w:bCs/>
                <w:lang w:val="en-US"/>
              </w:rPr>
            </w:pPr>
            <w:r w:rsidRPr="008076E8">
              <w:rPr>
                <w:lang w:val="en-US"/>
              </w:rPr>
              <w:t>70</w:t>
            </w:r>
          </w:p>
        </w:tc>
        <w:tc>
          <w:tcPr>
            <w:tcW w:w="2172" w:type="dxa"/>
          </w:tcPr>
          <w:p w14:paraId="49E79604" w14:textId="77777777" w:rsidR="00600198" w:rsidRPr="008076E8" w:rsidRDefault="00600198" w:rsidP="008076E8">
            <w:pPr>
              <w:spacing w:line="480" w:lineRule="auto"/>
              <w:jc w:val="both"/>
              <w:rPr>
                <w:lang w:val="en-US"/>
              </w:rPr>
            </w:pPr>
          </w:p>
          <w:p w14:paraId="547306B9" w14:textId="77777777" w:rsidR="00600198" w:rsidRPr="008076E8" w:rsidRDefault="00600198" w:rsidP="008076E8">
            <w:pPr>
              <w:spacing w:line="480" w:lineRule="auto"/>
              <w:jc w:val="both"/>
              <w:rPr>
                <w:lang w:val="en-US"/>
              </w:rPr>
            </w:pPr>
            <w:r w:rsidRPr="008076E8">
              <w:rPr>
                <w:lang w:val="en-US"/>
              </w:rPr>
              <w:t>40.2</w:t>
            </w:r>
          </w:p>
          <w:p w14:paraId="5BD5B6EE" w14:textId="77777777" w:rsidR="00600198" w:rsidRPr="008076E8" w:rsidRDefault="00600198" w:rsidP="008076E8">
            <w:pPr>
              <w:spacing w:line="480" w:lineRule="auto"/>
              <w:jc w:val="both"/>
              <w:rPr>
                <w:lang w:val="en-US"/>
              </w:rPr>
            </w:pPr>
            <w:r w:rsidRPr="008076E8">
              <w:rPr>
                <w:lang w:val="en-US"/>
              </w:rPr>
              <w:t>33</w:t>
            </w:r>
          </w:p>
          <w:p w14:paraId="30D7AC7E" w14:textId="77777777" w:rsidR="00600198" w:rsidRPr="008076E8" w:rsidRDefault="00600198" w:rsidP="008076E8">
            <w:pPr>
              <w:spacing w:line="480" w:lineRule="auto"/>
              <w:jc w:val="both"/>
              <w:rPr>
                <w:b/>
                <w:bCs/>
                <w:lang w:val="en-US"/>
              </w:rPr>
            </w:pPr>
            <w:r w:rsidRPr="008076E8">
              <w:rPr>
                <w:lang w:val="en-US"/>
              </w:rPr>
              <w:t>26.8</w:t>
            </w:r>
          </w:p>
        </w:tc>
      </w:tr>
      <w:tr w:rsidR="00600198" w:rsidRPr="008076E8" w14:paraId="2FE4A704" w14:textId="77777777" w:rsidTr="008A781C">
        <w:tc>
          <w:tcPr>
            <w:tcW w:w="2405" w:type="dxa"/>
          </w:tcPr>
          <w:p w14:paraId="0FD11577" w14:textId="77777777" w:rsidR="00600198" w:rsidRPr="008076E8" w:rsidRDefault="00600198" w:rsidP="008076E8">
            <w:pPr>
              <w:pStyle w:val="NormalWeb"/>
              <w:spacing w:line="480" w:lineRule="auto"/>
              <w:jc w:val="both"/>
              <w:rPr>
                <w:i/>
                <w:iCs/>
                <w:lang w:val="en-US"/>
              </w:rPr>
            </w:pPr>
            <w:r w:rsidRPr="008076E8">
              <w:rPr>
                <w:b/>
                <w:bCs/>
                <w:i/>
                <w:iCs/>
                <w:lang w:val="en-US"/>
              </w:rPr>
              <w:t>Work experience</w:t>
            </w:r>
            <w:r w:rsidRPr="008076E8">
              <w:rPr>
                <w:i/>
                <w:iCs/>
                <w:lang w:val="en-US"/>
              </w:rPr>
              <w:t xml:space="preserve"> </w:t>
            </w:r>
            <w:r w:rsidRPr="008076E8">
              <w:rPr>
                <w:b/>
                <w:bCs/>
                <w:i/>
                <w:iCs/>
                <w:lang w:val="en-US"/>
              </w:rPr>
              <w:t>(years)</w:t>
            </w:r>
          </w:p>
          <w:p w14:paraId="63312AAE" w14:textId="77777777" w:rsidR="00600198" w:rsidRPr="008076E8" w:rsidRDefault="00600198" w:rsidP="008076E8">
            <w:pPr>
              <w:spacing w:line="480" w:lineRule="auto"/>
              <w:jc w:val="both"/>
              <w:rPr>
                <w:b/>
                <w:bCs/>
                <w:lang w:val="en-US"/>
              </w:rPr>
            </w:pPr>
            <w:r w:rsidRPr="008076E8">
              <w:rPr>
                <w:lang w:val="en-US"/>
              </w:rPr>
              <w:t xml:space="preserve">1-5 </w:t>
            </w:r>
          </w:p>
          <w:p w14:paraId="703F34BE" w14:textId="77777777" w:rsidR="00600198" w:rsidRPr="008076E8" w:rsidRDefault="00600198" w:rsidP="008076E8">
            <w:pPr>
              <w:spacing w:line="480" w:lineRule="auto"/>
              <w:jc w:val="both"/>
              <w:rPr>
                <w:b/>
                <w:bCs/>
                <w:lang w:val="en-US"/>
              </w:rPr>
            </w:pPr>
            <w:r w:rsidRPr="008076E8">
              <w:rPr>
                <w:lang w:val="en-US"/>
              </w:rPr>
              <w:t xml:space="preserve"> 6-10</w:t>
            </w:r>
          </w:p>
          <w:p w14:paraId="43D74D91" w14:textId="77777777" w:rsidR="00600198" w:rsidRPr="008076E8" w:rsidRDefault="00600198" w:rsidP="008076E8">
            <w:pPr>
              <w:spacing w:line="480" w:lineRule="auto"/>
              <w:jc w:val="both"/>
              <w:rPr>
                <w:b/>
                <w:bCs/>
                <w:lang w:val="en-US"/>
              </w:rPr>
            </w:pPr>
            <w:r w:rsidRPr="008076E8">
              <w:rPr>
                <w:lang w:val="en-US"/>
              </w:rPr>
              <w:t>11-15</w:t>
            </w:r>
          </w:p>
          <w:p w14:paraId="35C786EC" w14:textId="77777777" w:rsidR="00600198" w:rsidRPr="008076E8" w:rsidRDefault="00600198" w:rsidP="008076E8">
            <w:pPr>
              <w:spacing w:line="480" w:lineRule="auto"/>
              <w:jc w:val="both"/>
              <w:rPr>
                <w:lang w:val="en-US"/>
              </w:rPr>
            </w:pPr>
            <w:r w:rsidRPr="008076E8">
              <w:rPr>
                <w:lang w:val="en-US"/>
              </w:rPr>
              <w:t xml:space="preserve"> &gt;15 </w:t>
            </w:r>
          </w:p>
        </w:tc>
        <w:tc>
          <w:tcPr>
            <w:tcW w:w="2313" w:type="dxa"/>
          </w:tcPr>
          <w:p w14:paraId="428FDE01" w14:textId="77777777" w:rsidR="00600198" w:rsidRPr="008076E8" w:rsidRDefault="00600198" w:rsidP="008076E8">
            <w:pPr>
              <w:spacing w:line="480" w:lineRule="auto"/>
              <w:jc w:val="both"/>
              <w:rPr>
                <w:lang w:val="en-US"/>
              </w:rPr>
            </w:pPr>
          </w:p>
          <w:p w14:paraId="2444B723" w14:textId="77777777" w:rsidR="00600198" w:rsidRPr="008076E8" w:rsidRDefault="00600198" w:rsidP="008076E8">
            <w:pPr>
              <w:spacing w:line="480" w:lineRule="auto"/>
              <w:jc w:val="both"/>
              <w:rPr>
                <w:lang w:val="en-US"/>
              </w:rPr>
            </w:pPr>
          </w:p>
          <w:p w14:paraId="7B328D55" w14:textId="77777777" w:rsidR="00600198" w:rsidRPr="008076E8" w:rsidRDefault="00600198" w:rsidP="008076E8">
            <w:pPr>
              <w:spacing w:line="480" w:lineRule="auto"/>
              <w:jc w:val="both"/>
              <w:rPr>
                <w:lang w:val="en-US"/>
              </w:rPr>
            </w:pPr>
            <w:r w:rsidRPr="008076E8">
              <w:rPr>
                <w:lang w:val="en-US"/>
              </w:rPr>
              <w:t>136</w:t>
            </w:r>
          </w:p>
          <w:p w14:paraId="5D64EAFE" w14:textId="77777777" w:rsidR="00600198" w:rsidRPr="008076E8" w:rsidRDefault="00600198" w:rsidP="008076E8">
            <w:pPr>
              <w:spacing w:line="480" w:lineRule="auto"/>
              <w:jc w:val="both"/>
              <w:rPr>
                <w:lang w:val="en-US"/>
              </w:rPr>
            </w:pPr>
            <w:r w:rsidRPr="008076E8">
              <w:rPr>
                <w:lang w:val="en-US"/>
              </w:rPr>
              <w:t>50</w:t>
            </w:r>
          </w:p>
          <w:p w14:paraId="0397E885" w14:textId="77777777" w:rsidR="00600198" w:rsidRPr="008076E8" w:rsidRDefault="00600198" w:rsidP="008076E8">
            <w:pPr>
              <w:spacing w:line="480" w:lineRule="auto"/>
              <w:jc w:val="both"/>
              <w:rPr>
                <w:lang w:val="en-US"/>
              </w:rPr>
            </w:pPr>
            <w:r w:rsidRPr="008076E8">
              <w:rPr>
                <w:lang w:val="en-US"/>
              </w:rPr>
              <w:t>29</w:t>
            </w:r>
          </w:p>
          <w:p w14:paraId="75BFEC69" w14:textId="77777777" w:rsidR="00600198" w:rsidRPr="008076E8" w:rsidRDefault="00600198" w:rsidP="008076E8">
            <w:pPr>
              <w:spacing w:line="480" w:lineRule="auto"/>
              <w:jc w:val="both"/>
              <w:rPr>
                <w:b/>
                <w:bCs/>
                <w:lang w:val="en-US"/>
              </w:rPr>
            </w:pPr>
            <w:r w:rsidRPr="008076E8">
              <w:rPr>
                <w:lang w:val="en-US"/>
              </w:rPr>
              <w:t>45</w:t>
            </w:r>
          </w:p>
        </w:tc>
        <w:tc>
          <w:tcPr>
            <w:tcW w:w="2172" w:type="dxa"/>
          </w:tcPr>
          <w:p w14:paraId="5EDD7DE4" w14:textId="77777777" w:rsidR="00600198" w:rsidRPr="008076E8" w:rsidRDefault="00600198" w:rsidP="008076E8">
            <w:pPr>
              <w:spacing w:line="480" w:lineRule="auto"/>
              <w:jc w:val="both"/>
              <w:rPr>
                <w:lang w:val="en-US"/>
              </w:rPr>
            </w:pPr>
          </w:p>
          <w:p w14:paraId="72337682" w14:textId="77777777" w:rsidR="00600198" w:rsidRPr="008076E8" w:rsidRDefault="00600198" w:rsidP="008076E8">
            <w:pPr>
              <w:spacing w:line="480" w:lineRule="auto"/>
              <w:jc w:val="both"/>
              <w:rPr>
                <w:lang w:val="en-US"/>
              </w:rPr>
            </w:pPr>
          </w:p>
          <w:p w14:paraId="3B563B88" w14:textId="77777777" w:rsidR="00600198" w:rsidRPr="008076E8" w:rsidRDefault="00600198" w:rsidP="008076E8">
            <w:pPr>
              <w:spacing w:line="480" w:lineRule="auto"/>
              <w:jc w:val="both"/>
              <w:rPr>
                <w:lang w:val="en-US"/>
              </w:rPr>
            </w:pPr>
            <w:r w:rsidRPr="008076E8">
              <w:rPr>
                <w:lang w:val="en-US"/>
              </w:rPr>
              <w:t>52.3</w:t>
            </w:r>
          </w:p>
          <w:p w14:paraId="7636B63B" w14:textId="77777777" w:rsidR="00600198" w:rsidRPr="008076E8" w:rsidRDefault="00600198" w:rsidP="008076E8">
            <w:pPr>
              <w:spacing w:line="480" w:lineRule="auto"/>
              <w:jc w:val="both"/>
              <w:rPr>
                <w:lang w:val="en-US"/>
              </w:rPr>
            </w:pPr>
            <w:r w:rsidRPr="008076E8">
              <w:rPr>
                <w:lang w:val="en-US"/>
              </w:rPr>
              <w:t>19.2</w:t>
            </w:r>
          </w:p>
          <w:p w14:paraId="2BF9EFDE" w14:textId="77777777" w:rsidR="00600198" w:rsidRPr="008076E8" w:rsidRDefault="00600198" w:rsidP="008076E8">
            <w:pPr>
              <w:spacing w:line="480" w:lineRule="auto"/>
              <w:jc w:val="both"/>
              <w:rPr>
                <w:lang w:val="en-US"/>
              </w:rPr>
            </w:pPr>
            <w:r w:rsidRPr="008076E8">
              <w:rPr>
                <w:lang w:val="en-US"/>
              </w:rPr>
              <w:t>11.2</w:t>
            </w:r>
          </w:p>
          <w:p w14:paraId="2E73E9FF" w14:textId="77777777" w:rsidR="00600198" w:rsidRPr="008076E8" w:rsidRDefault="00600198" w:rsidP="008076E8">
            <w:pPr>
              <w:spacing w:line="480" w:lineRule="auto"/>
              <w:jc w:val="both"/>
              <w:rPr>
                <w:b/>
                <w:bCs/>
                <w:lang w:val="en-US"/>
              </w:rPr>
            </w:pPr>
            <w:r w:rsidRPr="008076E8">
              <w:rPr>
                <w:lang w:val="en-US"/>
              </w:rPr>
              <w:t>17.3</w:t>
            </w:r>
          </w:p>
        </w:tc>
      </w:tr>
      <w:tr w:rsidR="00600198" w:rsidRPr="008076E8" w14:paraId="7A991EA6" w14:textId="77777777" w:rsidTr="008A781C">
        <w:tc>
          <w:tcPr>
            <w:tcW w:w="2405" w:type="dxa"/>
          </w:tcPr>
          <w:p w14:paraId="71E813F3" w14:textId="77777777" w:rsidR="00600198" w:rsidRPr="008076E8" w:rsidRDefault="00600198" w:rsidP="008076E8">
            <w:pPr>
              <w:pStyle w:val="NormalWeb"/>
              <w:spacing w:line="480" w:lineRule="auto"/>
              <w:jc w:val="both"/>
              <w:rPr>
                <w:b/>
                <w:bCs/>
                <w:i/>
                <w:iCs/>
                <w:lang w:val="en-US"/>
              </w:rPr>
            </w:pPr>
            <w:r w:rsidRPr="008076E8">
              <w:rPr>
                <w:b/>
                <w:bCs/>
                <w:i/>
                <w:iCs/>
                <w:lang w:val="en-US"/>
              </w:rPr>
              <w:t xml:space="preserve">Weekly working hours </w:t>
            </w:r>
          </w:p>
          <w:p w14:paraId="6F5246C3" w14:textId="77777777" w:rsidR="00600198" w:rsidRPr="008076E8" w:rsidRDefault="00600198" w:rsidP="008076E8">
            <w:pPr>
              <w:spacing w:line="480" w:lineRule="auto"/>
              <w:jc w:val="both"/>
              <w:rPr>
                <w:b/>
                <w:bCs/>
                <w:lang w:val="en-US"/>
              </w:rPr>
            </w:pPr>
            <w:r w:rsidRPr="008076E8">
              <w:rPr>
                <w:lang w:val="en-US"/>
              </w:rPr>
              <w:t>&lt;10</w:t>
            </w:r>
          </w:p>
          <w:p w14:paraId="42719FD9" w14:textId="77777777" w:rsidR="00600198" w:rsidRPr="008076E8" w:rsidRDefault="00600198" w:rsidP="008076E8">
            <w:pPr>
              <w:spacing w:line="480" w:lineRule="auto"/>
              <w:jc w:val="both"/>
              <w:rPr>
                <w:b/>
                <w:bCs/>
                <w:lang w:val="en-US"/>
              </w:rPr>
            </w:pPr>
            <w:r w:rsidRPr="008076E8">
              <w:rPr>
                <w:lang w:val="en-US"/>
              </w:rPr>
              <w:t>11-20</w:t>
            </w:r>
          </w:p>
          <w:p w14:paraId="1C0E2F29" w14:textId="77777777" w:rsidR="00600198" w:rsidRPr="008076E8" w:rsidRDefault="00600198" w:rsidP="008076E8">
            <w:pPr>
              <w:spacing w:line="480" w:lineRule="auto"/>
              <w:jc w:val="both"/>
              <w:rPr>
                <w:b/>
                <w:bCs/>
                <w:lang w:val="en-US"/>
              </w:rPr>
            </w:pPr>
            <w:r w:rsidRPr="008076E8">
              <w:rPr>
                <w:lang w:val="en-US"/>
              </w:rPr>
              <w:t>21-40</w:t>
            </w:r>
          </w:p>
          <w:p w14:paraId="6733FDE0" w14:textId="77777777" w:rsidR="00600198" w:rsidRPr="008076E8" w:rsidRDefault="00600198" w:rsidP="008076E8">
            <w:pPr>
              <w:spacing w:line="480" w:lineRule="auto"/>
              <w:jc w:val="both"/>
              <w:rPr>
                <w:b/>
                <w:bCs/>
                <w:lang w:val="en-US"/>
              </w:rPr>
            </w:pPr>
            <w:r w:rsidRPr="008076E8">
              <w:rPr>
                <w:lang w:val="en-US"/>
              </w:rPr>
              <w:t>41-60</w:t>
            </w:r>
          </w:p>
          <w:p w14:paraId="509F6D3D" w14:textId="77777777" w:rsidR="00600198" w:rsidRPr="008076E8" w:rsidRDefault="00600198" w:rsidP="008076E8">
            <w:pPr>
              <w:spacing w:line="480" w:lineRule="auto"/>
              <w:jc w:val="both"/>
              <w:rPr>
                <w:b/>
                <w:bCs/>
                <w:lang w:val="en-US"/>
              </w:rPr>
            </w:pPr>
            <w:r w:rsidRPr="008076E8">
              <w:rPr>
                <w:lang w:val="en-US"/>
              </w:rPr>
              <w:t>61-80</w:t>
            </w:r>
          </w:p>
          <w:p w14:paraId="0F2EA876" w14:textId="77777777" w:rsidR="00600198" w:rsidRPr="008076E8" w:rsidRDefault="00600198" w:rsidP="008076E8">
            <w:pPr>
              <w:spacing w:line="480" w:lineRule="auto"/>
              <w:jc w:val="both"/>
              <w:rPr>
                <w:lang w:val="en-US"/>
              </w:rPr>
            </w:pPr>
            <w:r w:rsidRPr="008076E8">
              <w:rPr>
                <w:lang w:val="en-US"/>
              </w:rPr>
              <w:t>&gt;80</w:t>
            </w:r>
          </w:p>
        </w:tc>
        <w:tc>
          <w:tcPr>
            <w:tcW w:w="2313" w:type="dxa"/>
          </w:tcPr>
          <w:p w14:paraId="0C016E8B" w14:textId="77777777" w:rsidR="00600198" w:rsidRPr="008076E8" w:rsidRDefault="00600198" w:rsidP="008076E8">
            <w:pPr>
              <w:spacing w:line="480" w:lineRule="auto"/>
              <w:jc w:val="both"/>
              <w:rPr>
                <w:lang w:val="en-US"/>
              </w:rPr>
            </w:pPr>
          </w:p>
          <w:p w14:paraId="2DFA7C66" w14:textId="77777777" w:rsidR="00600198" w:rsidRPr="008076E8" w:rsidRDefault="00600198" w:rsidP="008076E8">
            <w:pPr>
              <w:spacing w:line="480" w:lineRule="auto"/>
              <w:jc w:val="both"/>
              <w:rPr>
                <w:lang w:val="en-US"/>
              </w:rPr>
            </w:pPr>
          </w:p>
          <w:p w14:paraId="7D832DD7" w14:textId="77777777" w:rsidR="00600198" w:rsidRPr="008076E8" w:rsidRDefault="00600198" w:rsidP="008076E8">
            <w:pPr>
              <w:spacing w:line="480" w:lineRule="auto"/>
              <w:jc w:val="both"/>
              <w:rPr>
                <w:lang w:val="en-US"/>
              </w:rPr>
            </w:pPr>
            <w:r w:rsidRPr="008076E8">
              <w:rPr>
                <w:lang w:val="en-US"/>
              </w:rPr>
              <w:t>2</w:t>
            </w:r>
          </w:p>
          <w:p w14:paraId="2C829AAD" w14:textId="77777777" w:rsidR="00600198" w:rsidRPr="008076E8" w:rsidRDefault="00600198" w:rsidP="008076E8">
            <w:pPr>
              <w:spacing w:line="480" w:lineRule="auto"/>
              <w:jc w:val="both"/>
              <w:rPr>
                <w:lang w:val="en-US"/>
              </w:rPr>
            </w:pPr>
            <w:r w:rsidRPr="008076E8">
              <w:rPr>
                <w:lang w:val="en-US"/>
              </w:rPr>
              <w:t>4</w:t>
            </w:r>
          </w:p>
          <w:p w14:paraId="2974A535" w14:textId="77777777" w:rsidR="00600198" w:rsidRPr="008076E8" w:rsidRDefault="00600198" w:rsidP="008076E8">
            <w:pPr>
              <w:spacing w:line="480" w:lineRule="auto"/>
              <w:jc w:val="both"/>
              <w:rPr>
                <w:lang w:val="en-US"/>
              </w:rPr>
            </w:pPr>
            <w:r w:rsidRPr="008076E8">
              <w:rPr>
                <w:lang w:val="en-US"/>
              </w:rPr>
              <w:t>95</w:t>
            </w:r>
          </w:p>
          <w:p w14:paraId="7AF2AB3B" w14:textId="77777777" w:rsidR="00600198" w:rsidRPr="008076E8" w:rsidRDefault="00600198" w:rsidP="008076E8">
            <w:pPr>
              <w:spacing w:line="480" w:lineRule="auto"/>
              <w:jc w:val="both"/>
              <w:rPr>
                <w:lang w:val="en-US"/>
              </w:rPr>
            </w:pPr>
            <w:r w:rsidRPr="008076E8">
              <w:rPr>
                <w:lang w:val="en-US"/>
              </w:rPr>
              <w:t>128</w:t>
            </w:r>
          </w:p>
          <w:p w14:paraId="4A9FF37D" w14:textId="77777777" w:rsidR="00600198" w:rsidRPr="008076E8" w:rsidRDefault="00600198" w:rsidP="008076E8">
            <w:pPr>
              <w:spacing w:line="480" w:lineRule="auto"/>
              <w:jc w:val="both"/>
              <w:rPr>
                <w:lang w:val="en-US"/>
              </w:rPr>
            </w:pPr>
            <w:r w:rsidRPr="008076E8">
              <w:rPr>
                <w:lang w:val="en-US"/>
              </w:rPr>
              <w:t>31</w:t>
            </w:r>
          </w:p>
          <w:p w14:paraId="754CE264" w14:textId="77777777" w:rsidR="00600198" w:rsidRPr="008076E8" w:rsidRDefault="00600198" w:rsidP="008076E8">
            <w:pPr>
              <w:spacing w:line="480" w:lineRule="auto"/>
              <w:jc w:val="both"/>
              <w:rPr>
                <w:b/>
                <w:bCs/>
                <w:lang w:val="en-US"/>
              </w:rPr>
            </w:pPr>
            <w:r w:rsidRPr="008076E8">
              <w:rPr>
                <w:lang w:val="en-US"/>
              </w:rPr>
              <w:t>1</w:t>
            </w:r>
          </w:p>
        </w:tc>
        <w:tc>
          <w:tcPr>
            <w:tcW w:w="2172" w:type="dxa"/>
          </w:tcPr>
          <w:p w14:paraId="21960A52" w14:textId="77777777" w:rsidR="00600198" w:rsidRPr="008076E8" w:rsidRDefault="00600198" w:rsidP="008076E8">
            <w:pPr>
              <w:spacing w:line="480" w:lineRule="auto"/>
              <w:jc w:val="both"/>
              <w:rPr>
                <w:lang w:val="en-US"/>
              </w:rPr>
            </w:pPr>
          </w:p>
          <w:p w14:paraId="1416A629" w14:textId="77777777" w:rsidR="00600198" w:rsidRPr="008076E8" w:rsidRDefault="00600198" w:rsidP="008076E8">
            <w:pPr>
              <w:spacing w:line="480" w:lineRule="auto"/>
              <w:jc w:val="both"/>
              <w:rPr>
                <w:lang w:val="en-US"/>
              </w:rPr>
            </w:pPr>
          </w:p>
          <w:p w14:paraId="43F1397A" w14:textId="77777777" w:rsidR="00600198" w:rsidRPr="008076E8" w:rsidRDefault="00600198" w:rsidP="008076E8">
            <w:pPr>
              <w:spacing w:line="480" w:lineRule="auto"/>
              <w:jc w:val="both"/>
              <w:rPr>
                <w:lang w:val="en-US"/>
              </w:rPr>
            </w:pPr>
            <w:r w:rsidRPr="008076E8">
              <w:rPr>
                <w:lang w:val="en-US"/>
              </w:rPr>
              <w:t>0.8</w:t>
            </w:r>
          </w:p>
          <w:p w14:paraId="1836DB35" w14:textId="77777777" w:rsidR="00600198" w:rsidRPr="008076E8" w:rsidRDefault="00600198" w:rsidP="008076E8">
            <w:pPr>
              <w:spacing w:line="480" w:lineRule="auto"/>
              <w:jc w:val="both"/>
              <w:rPr>
                <w:lang w:val="en-US"/>
              </w:rPr>
            </w:pPr>
            <w:r w:rsidRPr="008076E8">
              <w:rPr>
                <w:lang w:val="en-US"/>
              </w:rPr>
              <w:t>1.6</w:t>
            </w:r>
          </w:p>
          <w:p w14:paraId="0B844A96" w14:textId="77777777" w:rsidR="00600198" w:rsidRPr="008076E8" w:rsidRDefault="00600198" w:rsidP="008076E8">
            <w:pPr>
              <w:spacing w:line="480" w:lineRule="auto"/>
              <w:jc w:val="both"/>
              <w:rPr>
                <w:lang w:val="en-US"/>
              </w:rPr>
            </w:pPr>
            <w:r w:rsidRPr="008076E8">
              <w:rPr>
                <w:lang w:val="en-US"/>
              </w:rPr>
              <w:t>36.3</w:t>
            </w:r>
          </w:p>
          <w:p w14:paraId="6D2E1729" w14:textId="77777777" w:rsidR="00600198" w:rsidRPr="008076E8" w:rsidRDefault="00600198" w:rsidP="008076E8">
            <w:pPr>
              <w:spacing w:line="480" w:lineRule="auto"/>
              <w:jc w:val="both"/>
              <w:rPr>
                <w:lang w:val="en-US"/>
              </w:rPr>
            </w:pPr>
            <w:r w:rsidRPr="008076E8">
              <w:rPr>
                <w:lang w:val="en-US"/>
              </w:rPr>
              <w:t>49.1</w:t>
            </w:r>
          </w:p>
          <w:p w14:paraId="1C3B625A" w14:textId="77777777" w:rsidR="00600198" w:rsidRPr="008076E8" w:rsidRDefault="00600198" w:rsidP="008076E8">
            <w:pPr>
              <w:spacing w:line="480" w:lineRule="auto"/>
              <w:jc w:val="both"/>
              <w:rPr>
                <w:lang w:val="en-US"/>
              </w:rPr>
            </w:pPr>
            <w:r w:rsidRPr="008076E8">
              <w:rPr>
                <w:lang w:val="en-US"/>
              </w:rPr>
              <w:t>11.8</w:t>
            </w:r>
          </w:p>
          <w:p w14:paraId="2D38E43F" w14:textId="77777777" w:rsidR="00600198" w:rsidRPr="008076E8" w:rsidRDefault="00600198" w:rsidP="008076E8">
            <w:pPr>
              <w:spacing w:line="480" w:lineRule="auto"/>
              <w:jc w:val="both"/>
              <w:rPr>
                <w:b/>
                <w:bCs/>
                <w:lang w:val="en-US"/>
              </w:rPr>
            </w:pPr>
            <w:r w:rsidRPr="008076E8">
              <w:rPr>
                <w:lang w:val="en-US"/>
              </w:rPr>
              <w:t>0.4</w:t>
            </w:r>
          </w:p>
        </w:tc>
      </w:tr>
      <w:tr w:rsidR="00600198" w:rsidRPr="008076E8" w14:paraId="22EAB90F" w14:textId="77777777" w:rsidTr="008A781C">
        <w:tc>
          <w:tcPr>
            <w:tcW w:w="2405" w:type="dxa"/>
          </w:tcPr>
          <w:p w14:paraId="5F39B75F" w14:textId="77777777" w:rsidR="00600198" w:rsidRPr="008076E8" w:rsidRDefault="00600198" w:rsidP="008076E8">
            <w:pPr>
              <w:spacing w:line="480" w:lineRule="auto"/>
              <w:jc w:val="both"/>
              <w:rPr>
                <w:b/>
                <w:bCs/>
                <w:i/>
                <w:iCs/>
                <w:lang w:val="en-US"/>
              </w:rPr>
            </w:pPr>
            <w:r w:rsidRPr="008076E8">
              <w:rPr>
                <w:b/>
                <w:bCs/>
                <w:i/>
                <w:iCs/>
                <w:lang w:val="en-US"/>
              </w:rPr>
              <w:lastRenderedPageBreak/>
              <w:t>Working position</w:t>
            </w:r>
          </w:p>
          <w:p w14:paraId="443C9519" w14:textId="77777777" w:rsidR="00600198" w:rsidRPr="008076E8" w:rsidRDefault="00600198" w:rsidP="008076E8">
            <w:pPr>
              <w:spacing w:line="480" w:lineRule="auto"/>
              <w:jc w:val="both"/>
              <w:rPr>
                <w:b/>
                <w:bCs/>
                <w:lang w:val="en-US"/>
              </w:rPr>
            </w:pPr>
            <w:r w:rsidRPr="008076E8">
              <w:rPr>
                <w:b/>
                <w:bCs/>
                <w:lang w:val="en-US"/>
              </w:rPr>
              <w:t>Front line (COVID services)</w:t>
            </w:r>
          </w:p>
          <w:p w14:paraId="6330B4E6" w14:textId="77777777" w:rsidR="00600198" w:rsidRPr="008076E8" w:rsidRDefault="00600198" w:rsidP="008076E8">
            <w:pPr>
              <w:spacing w:line="480" w:lineRule="auto"/>
              <w:jc w:val="both"/>
              <w:rPr>
                <w:lang w:val="en-US"/>
              </w:rPr>
            </w:pPr>
            <w:r w:rsidRPr="008076E8">
              <w:rPr>
                <w:lang w:val="en-US"/>
              </w:rPr>
              <w:t>Second-line (Non-COVID s.)</w:t>
            </w:r>
          </w:p>
        </w:tc>
        <w:tc>
          <w:tcPr>
            <w:tcW w:w="2313" w:type="dxa"/>
          </w:tcPr>
          <w:p w14:paraId="5E98CD12" w14:textId="77777777" w:rsidR="00600198" w:rsidRPr="008076E8" w:rsidRDefault="00600198" w:rsidP="008076E8">
            <w:pPr>
              <w:spacing w:line="480" w:lineRule="auto"/>
              <w:jc w:val="both"/>
              <w:rPr>
                <w:lang w:val="en-US"/>
              </w:rPr>
            </w:pPr>
          </w:p>
          <w:p w14:paraId="27000C80" w14:textId="77777777" w:rsidR="00600198" w:rsidRPr="008076E8" w:rsidRDefault="00600198" w:rsidP="008076E8">
            <w:pPr>
              <w:spacing w:line="480" w:lineRule="auto"/>
              <w:jc w:val="both"/>
              <w:rPr>
                <w:lang w:val="en-US"/>
              </w:rPr>
            </w:pPr>
            <w:r w:rsidRPr="008076E8">
              <w:rPr>
                <w:lang w:val="en-US"/>
              </w:rPr>
              <w:t>145</w:t>
            </w:r>
          </w:p>
          <w:p w14:paraId="47EC3FA0" w14:textId="77777777" w:rsidR="00600198" w:rsidRPr="008076E8" w:rsidRDefault="00600198" w:rsidP="008076E8">
            <w:pPr>
              <w:spacing w:line="480" w:lineRule="auto"/>
              <w:jc w:val="both"/>
              <w:rPr>
                <w:lang w:val="en-US"/>
              </w:rPr>
            </w:pPr>
          </w:p>
          <w:p w14:paraId="4D51AEA6" w14:textId="77777777" w:rsidR="00600198" w:rsidRPr="008076E8" w:rsidRDefault="00600198" w:rsidP="008076E8">
            <w:pPr>
              <w:spacing w:line="480" w:lineRule="auto"/>
              <w:jc w:val="both"/>
              <w:rPr>
                <w:b/>
                <w:bCs/>
                <w:lang w:val="en-US"/>
              </w:rPr>
            </w:pPr>
            <w:r w:rsidRPr="008076E8">
              <w:rPr>
                <w:lang w:val="en-US"/>
              </w:rPr>
              <w:t>112</w:t>
            </w:r>
          </w:p>
        </w:tc>
        <w:tc>
          <w:tcPr>
            <w:tcW w:w="2172" w:type="dxa"/>
          </w:tcPr>
          <w:p w14:paraId="51A5E1C2" w14:textId="77777777" w:rsidR="00600198" w:rsidRPr="008076E8" w:rsidRDefault="00600198" w:rsidP="008076E8">
            <w:pPr>
              <w:spacing w:line="480" w:lineRule="auto"/>
              <w:jc w:val="both"/>
              <w:rPr>
                <w:lang w:val="en-US"/>
              </w:rPr>
            </w:pPr>
          </w:p>
          <w:p w14:paraId="63D2A5F1" w14:textId="77777777" w:rsidR="00600198" w:rsidRPr="008076E8" w:rsidRDefault="00600198" w:rsidP="008076E8">
            <w:pPr>
              <w:spacing w:line="480" w:lineRule="auto"/>
              <w:jc w:val="both"/>
              <w:rPr>
                <w:lang w:val="en-US"/>
              </w:rPr>
            </w:pPr>
            <w:r w:rsidRPr="008076E8">
              <w:rPr>
                <w:lang w:val="en-US"/>
              </w:rPr>
              <w:t>56.4</w:t>
            </w:r>
          </w:p>
          <w:p w14:paraId="2334FFEB" w14:textId="77777777" w:rsidR="00600198" w:rsidRPr="008076E8" w:rsidRDefault="00600198" w:rsidP="008076E8">
            <w:pPr>
              <w:spacing w:line="480" w:lineRule="auto"/>
              <w:jc w:val="both"/>
              <w:rPr>
                <w:lang w:val="en-US"/>
              </w:rPr>
            </w:pPr>
          </w:p>
          <w:p w14:paraId="434AAD64" w14:textId="77777777" w:rsidR="00600198" w:rsidRPr="008076E8" w:rsidRDefault="00600198" w:rsidP="008076E8">
            <w:pPr>
              <w:spacing w:line="480" w:lineRule="auto"/>
              <w:jc w:val="both"/>
              <w:rPr>
                <w:b/>
                <w:bCs/>
                <w:lang w:val="en-US"/>
              </w:rPr>
            </w:pPr>
            <w:r w:rsidRPr="008076E8">
              <w:rPr>
                <w:lang w:val="en-US"/>
              </w:rPr>
              <w:t>43.6</w:t>
            </w:r>
          </w:p>
        </w:tc>
      </w:tr>
      <w:tr w:rsidR="005B69CA" w:rsidRPr="008076E8" w14:paraId="3425805A" w14:textId="77777777" w:rsidTr="008A781C">
        <w:tc>
          <w:tcPr>
            <w:tcW w:w="2405" w:type="dxa"/>
          </w:tcPr>
          <w:p w14:paraId="6E994EBE" w14:textId="45EFC622" w:rsidR="005B69CA" w:rsidRPr="008076E8" w:rsidRDefault="005B69CA" w:rsidP="008076E8">
            <w:pPr>
              <w:spacing w:line="480" w:lineRule="auto"/>
              <w:jc w:val="both"/>
              <w:rPr>
                <w:b/>
                <w:bCs/>
                <w:i/>
                <w:iCs/>
                <w:color w:val="000000" w:themeColor="text1"/>
                <w:highlight w:val="yellow"/>
                <w:lang w:val="en-US"/>
              </w:rPr>
            </w:pPr>
            <w:r w:rsidRPr="008076E8">
              <w:rPr>
                <w:b/>
                <w:bCs/>
                <w:i/>
                <w:iCs/>
                <w:color w:val="000000" w:themeColor="text1"/>
                <w:highlight w:val="yellow"/>
                <w:lang w:val="en-US"/>
              </w:rPr>
              <w:t>Thought that they have COVID-19 symptoms</w:t>
            </w:r>
          </w:p>
          <w:p w14:paraId="1E227388" w14:textId="77777777" w:rsidR="005B69CA" w:rsidRPr="008076E8" w:rsidRDefault="005B69CA" w:rsidP="008076E8">
            <w:pPr>
              <w:spacing w:line="480" w:lineRule="auto"/>
              <w:jc w:val="both"/>
              <w:rPr>
                <w:highlight w:val="yellow"/>
                <w:lang w:val="en-US"/>
              </w:rPr>
            </w:pPr>
            <w:r w:rsidRPr="008076E8">
              <w:rPr>
                <w:highlight w:val="yellow"/>
                <w:lang w:val="en-US"/>
              </w:rPr>
              <w:t>Yes</w:t>
            </w:r>
          </w:p>
          <w:p w14:paraId="538C6B55" w14:textId="43F60096" w:rsidR="005B69CA" w:rsidRPr="008076E8" w:rsidRDefault="005B69CA" w:rsidP="008076E8">
            <w:pPr>
              <w:spacing w:line="480" w:lineRule="auto"/>
              <w:jc w:val="both"/>
              <w:rPr>
                <w:b/>
                <w:bCs/>
                <w:i/>
                <w:iCs/>
                <w:highlight w:val="yellow"/>
                <w:lang w:val="en-US"/>
              </w:rPr>
            </w:pPr>
            <w:r w:rsidRPr="008076E8">
              <w:rPr>
                <w:highlight w:val="yellow"/>
                <w:lang w:val="en-US"/>
              </w:rPr>
              <w:t>No</w:t>
            </w:r>
          </w:p>
        </w:tc>
        <w:tc>
          <w:tcPr>
            <w:tcW w:w="2313" w:type="dxa"/>
          </w:tcPr>
          <w:p w14:paraId="2CA1B42D" w14:textId="77777777" w:rsidR="005B69CA" w:rsidRPr="008076E8" w:rsidRDefault="005B69CA" w:rsidP="008076E8">
            <w:pPr>
              <w:spacing w:line="480" w:lineRule="auto"/>
              <w:jc w:val="both"/>
              <w:rPr>
                <w:highlight w:val="yellow"/>
                <w:lang w:val="en-US"/>
              </w:rPr>
            </w:pPr>
          </w:p>
          <w:p w14:paraId="1223D48B" w14:textId="77777777" w:rsidR="005B69CA" w:rsidRPr="008076E8" w:rsidRDefault="005B69CA" w:rsidP="008076E8">
            <w:pPr>
              <w:spacing w:line="480" w:lineRule="auto"/>
              <w:jc w:val="both"/>
              <w:rPr>
                <w:highlight w:val="yellow"/>
                <w:lang w:val="en-US"/>
              </w:rPr>
            </w:pPr>
          </w:p>
          <w:p w14:paraId="5426B35F" w14:textId="77777777" w:rsidR="005B69CA" w:rsidRPr="008076E8" w:rsidRDefault="005B69CA" w:rsidP="008076E8">
            <w:pPr>
              <w:spacing w:line="480" w:lineRule="auto"/>
              <w:jc w:val="both"/>
              <w:rPr>
                <w:highlight w:val="yellow"/>
                <w:lang w:val="en-US"/>
              </w:rPr>
            </w:pPr>
            <w:r w:rsidRPr="008076E8">
              <w:rPr>
                <w:highlight w:val="yellow"/>
                <w:lang w:val="en-US"/>
              </w:rPr>
              <w:t>88</w:t>
            </w:r>
          </w:p>
          <w:p w14:paraId="4CFE6F0B" w14:textId="410D2B41" w:rsidR="005B69CA" w:rsidRPr="008076E8" w:rsidRDefault="005B69CA" w:rsidP="008076E8">
            <w:pPr>
              <w:spacing w:line="480" w:lineRule="auto"/>
              <w:jc w:val="both"/>
              <w:rPr>
                <w:highlight w:val="yellow"/>
                <w:lang w:val="en-US"/>
              </w:rPr>
            </w:pPr>
            <w:r w:rsidRPr="008076E8">
              <w:rPr>
                <w:highlight w:val="yellow"/>
                <w:lang w:val="en-US"/>
              </w:rPr>
              <w:t>173</w:t>
            </w:r>
          </w:p>
        </w:tc>
        <w:tc>
          <w:tcPr>
            <w:tcW w:w="2172" w:type="dxa"/>
          </w:tcPr>
          <w:p w14:paraId="2C3D840D" w14:textId="77777777" w:rsidR="005B69CA" w:rsidRPr="008076E8" w:rsidRDefault="005B69CA" w:rsidP="008076E8">
            <w:pPr>
              <w:spacing w:line="480" w:lineRule="auto"/>
              <w:jc w:val="both"/>
              <w:rPr>
                <w:highlight w:val="yellow"/>
                <w:lang w:val="en-US"/>
              </w:rPr>
            </w:pPr>
          </w:p>
          <w:p w14:paraId="3F91BF47" w14:textId="77777777" w:rsidR="005B69CA" w:rsidRPr="008076E8" w:rsidRDefault="005B69CA" w:rsidP="008076E8">
            <w:pPr>
              <w:spacing w:line="480" w:lineRule="auto"/>
              <w:jc w:val="both"/>
              <w:rPr>
                <w:highlight w:val="yellow"/>
                <w:lang w:val="en-US"/>
              </w:rPr>
            </w:pPr>
          </w:p>
          <w:p w14:paraId="35372C6F" w14:textId="77777777" w:rsidR="005B69CA" w:rsidRPr="008076E8" w:rsidRDefault="005B69CA" w:rsidP="008076E8">
            <w:pPr>
              <w:spacing w:line="480" w:lineRule="auto"/>
              <w:jc w:val="both"/>
              <w:rPr>
                <w:highlight w:val="yellow"/>
                <w:lang w:val="en-US"/>
              </w:rPr>
            </w:pPr>
            <w:r w:rsidRPr="008076E8">
              <w:rPr>
                <w:highlight w:val="yellow"/>
                <w:lang w:val="en-US"/>
              </w:rPr>
              <w:t>33,7</w:t>
            </w:r>
          </w:p>
          <w:p w14:paraId="57F6DA67" w14:textId="0AF6DF8F" w:rsidR="005B69CA" w:rsidRPr="008076E8" w:rsidRDefault="005B69CA" w:rsidP="008076E8">
            <w:pPr>
              <w:spacing w:line="480" w:lineRule="auto"/>
              <w:jc w:val="both"/>
              <w:rPr>
                <w:highlight w:val="yellow"/>
                <w:lang w:val="en-US"/>
              </w:rPr>
            </w:pPr>
            <w:r w:rsidRPr="008076E8">
              <w:rPr>
                <w:highlight w:val="yellow"/>
                <w:lang w:val="en-US"/>
              </w:rPr>
              <w:t>66,3</w:t>
            </w:r>
          </w:p>
        </w:tc>
      </w:tr>
      <w:tr w:rsidR="00600198" w:rsidRPr="008076E8" w14:paraId="5671EC07" w14:textId="77777777" w:rsidTr="008A781C">
        <w:tc>
          <w:tcPr>
            <w:tcW w:w="2405" w:type="dxa"/>
          </w:tcPr>
          <w:p w14:paraId="21CA4539" w14:textId="77777777" w:rsidR="00600198" w:rsidRPr="008076E8" w:rsidRDefault="00600198" w:rsidP="008076E8">
            <w:pPr>
              <w:spacing w:line="480" w:lineRule="auto"/>
              <w:jc w:val="both"/>
              <w:rPr>
                <w:b/>
                <w:bCs/>
                <w:i/>
                <w:iCs/>
                <w:lang w:val="en-US"/>
              </w:rPr>
            </w:pPr>
            <w:r w:rsidRPr="008076E8">
              <w:rPr>
                <w:b/>
                <w:bCs/>
                <w:i/>
                <w:iCs/>
                <w:lang w:val="en-US"/>
              </w:rPr>
              <w:t>Direct contact with COVID-19 (+) patients</w:t>
            </w:r>
          </w:p>
          <w:p w14:paraId="67CE6E33" w14:textId="77777777" w:rsidR="00600198" w:rsidRPr="008076E8" w:rsidRDefault="00600198" w:rsidP="008076E8">
            <w:pPr>
              <w:spacing w:line="480" w:lineRule="auto"/>
              <w:jc w:val="both"/>
              <w:rPr>
                <w:b/>
                <w:bCs/>
                <w:lang w:val="en-US"/>
              </w:rPr>
            </w:pPr>
            <w:r w:rsidRPr="008076E8">
              <w:rPr>
                <w:lang w:val="en-US"/>
              </w:rPr>
              <w:t>Yes</w:t>
            </w:r>
          </w:p>
          <w:p w14:paraId="75669A34" w14:textId="77777777" w:rsidR="00600198" w:rsidRPr="008076E8" w:rsidRDefault="00600198" w:rsidP="008076E8">
            <w:pPr>
              <w:spacing w:line="480" w:lineRule="auto"/>
              <w:jc w:val="both"/>
              <w:rPr>
                <w:lang w:val="en-US"/>
              </w:rPr>
            </w:pPr>
            <w:r w:rsidRPr="008076E8">
              <w:rPr>
                <w:lang w:val="en-US"/>
              </w:rPr>
              <w:t>No</w:t>
            </w:r>
          </w:p>
        </w:tc>
        <w:tc>
          <w:tcPr>
            <w:tcW w:w="2313" w:type="dxa"/>
          </w:tcPr>
          <w:p w14:paraId="7C36AA82" w14:textId="77777777" w:rsidR="00600198" w:rsidRPr="008076E8" w:rsidRDefault="00600198" w:rsidP="008076E8">
            <w:pPr>
              <w:spacing w:line="480" w:lineRule="auto"/>
              <w:jc w:val="both"/>
              <w:rPr>
                <w:lang w:val="en-US"/>
              </w:rPr>
            </w:pPr>
          </w:p>
          <w:p w14:paraId="5838338A" w14:textId="77777777" w:rsidR="00600198" w:rsidRPr="008076E8" w:rsidRDefault="00600198" w:rsidP="008076E8">
            <w:pPr>
              <w:spacing w:line="480" w:lineRule="auto"/>
              <w:jc w:val="both"/>
              <w:rPr>
                <w:lang w:val="en-US"/>
              </w:rPr>
            </w:pPr>
          </w:p>
          <w:p w14:paraId="7F1E07C6" w14:textId="77777777" w:rsidR="00600198" w:rsidRPr="008076E8" w:rsidRDefault="00600198" w:rsidP="008076E8">
            <w:pPr>
              <w:spacing w:line="480" w:lineRule="auto"/>
              <w:jc w:val="both"/>
              <w:rPr>
                <w:lang w:val="en-US"/>
              </w:rPr>
            </w:pPr>
          </w:p>
          <w:p w14:paraId="3E1D448B" w14:textId="77777777" w:rsidR="00600198" w:rsidRPr="008076E8" w:rsidRDefault="00600198" w:rsidP="008076E8">
            <w:pPr>
              <w:spacing w:line="480" w:lineRule="auto"/>
              <w:jc w:val="both"/>
              <w:rPr>
                <w:lang w:val="en-US"/>
              </w:rPr>
            </w:pPr>
            <w:r w:rsidRPr="008076E8">
              <w:rPr>
                <w:lang w:val="en-US"/>
              </w:rPr>
              <w:t>175</w:t>
            </w:r>
          </w:p>
          <w:p w14:paraId="03DB6E07" w14:textId="77777777" w:rsidR="00600198" w:rsidRPr="008076E8" w:rsidRDefault="00600198" w:rsidP="008076E8">
            <w:pPr>
              <w:spacing w:line="480" w:lineRule="auto"/>
              <w:jc w:val="both"/>
              <w:rPr>
                <w:b/>
                <w:bCs/>
                <w:lang w:val="en-US"/>
              </w:rPr>
            </w:pPr>
            <w:r w:rsidRPr="008076E8">
              <w:rPr>
                <w:lang w:val="en-US"/>
              </w:rPr>
              <w:t>86</w:t>
            </w:r>
          </w:p>
        </w:tc>
        <w:tc>
          <w:tcPr>
            <w:tcW w:w="2172" w:type="dxa"/>
          </w:tcPr>
          <w:p w14:paraId="1418BABE" w14:textId="77777777" w:rsidR="00600198" w:rsidRPr="008076E8" w:rsidRDefault="00600198" w:rsidP="008076E8">
            <w:pPr>
              <w:spacing w:line="480" w:lineRule="auto"/>
              <w:jc w:val="both"/>
              <w:rPr>
                <w:lang w:val="en-US"/>
              </w:rPr>
            </w:pPr>
          </w:p>
          <w:p w14:paraId="13C0C758" w14:textId="77777777" w:rsidR="00600198" w:rsidRPr="008076E8" w:rsidRDefault="00600198" w:rsidP="008076E8">
            <w:pPr>
              <w:spacing w:line="480" w:lineRule="auto"/>
              <w:jc w:val="both"/>
              <w:rPr>
                <w:lang w:val="en-US"/>
              </w:rPr>
            </w:pPr>
          </w:p>
          <w:p w14:paraId="6E2EA30F" w14:textId="77777777" w:rsidR="00130C7D" w:rsidRPr="008076E8" w:rsidRDefault="00130C7D" w:rsidP="008076E8">
            <w:pPr>
              <w:spacing w:line="480" w:lineRule="auto"/>
              <w:jc w:val="both"/>
              <w:rPr>
                <w:lang w:val="en-US"/>
              </w:rPr>
            </w:pPr>
          </w:p>
          <w:p w14:paraId="65AC36E9" w14:textId="092F1469" w:rsidR="00600198" w:rsidRPr="008076E8" w:rsidRDefault="00600198" w:rsidP="008076E8">
            <w:pPr>
              <w:spacing w:line="480" w:lineRule="auto"/>
              <w:jc w:val="both"/>
              <w:rPr>
                <w:lang w:val="en-US"/>
              </w:rPr>
            </w:pPr>
            <w:r w:rsidRPr="008076E8">
              <w:rPr>
                <w:lang w:val="en-US"/>
              </w:rPr>
              <w:t>67.1</w:t>
            </w:r>
          </w:p>
          <w:p w14:paraId="1AC36E7A" w14:textId="77777777" w:rsidR="00600198" w:rsidRPr="008076E8" w:rsidRDefault="00600198" w:rsidP="008076E8">
            <w:pPr>
              <w:spacing w:line="480" w:lineRule="auto"/>
              <w:jc w:val="both"/>
              <w:rPr>
                <w:b/>
                <w:bCs/>
                <w:lang w:val="en-US"/>
              </w:rPr>
            </w:pPr>
            <w:r w:rsidRPr="008076E8">
              <w:rPr>
                <w:lang w:val="en-US"/>
              </w:rPr>
              <w:t>32.9</w:t>
            </w:r>
          </w:p>
        </w:tc>
      </w:tr>
      <w:tr w:rsidR="00600198" w:rsidRPr="008076E8" w14:paraId="4DC03B0C" w14:textId="77777777" w:rsidTr="008A781C">
        <w:tc>
          <w:tcPr>
            <w:tcW w:w="2405" w:type="dxa"/>
          </w:tcPr>
          <w:p w14:paraId="6B789ABD" w14:textId="77777777" w:rsidR="00600198" w:rsidRPr="008076E8" w:rsidRDefault="00600198" w:rsidP="008076E8">
            <w:pPr>
              <w:spacing w:line="480" w:lineRule="auto"/>
              <w:jc w:val="both"/>
              <w:rPr>
                <w:b/>
                <w:bCs/>
                <w:i/>
                <w:iCs/>
                <w:lang w:val="en-US"/>
              </w:rPr>
            </w:pPr>
            <w:r w:rsidRPr="008076E8">
              <w:rPr>
                <w:b/>
                <w:bCs/>
                <w:i/>
                <w:iCs/>
                <w:lang w:val="en-US"/>
              </w:rPr>
              <w:t>Working with COVID-19 (+) close colleague</w:t>
            </w:r>
            <w:r w:rsidRPr="008076E8">
              <w:rPr>
                <w:i/>
                <w:iCs/>
                <w:lang w:val="en-US"/>
              </w:rPr>
              <w:t xml:space="preserve"> staff</w:t>
            </w:r>
          </w:p>
          <w:p w14:paraId="0CD52878" w14:textId="77777777" w:rsidR="00600198" w:rsidRPr="008076E8" w:rsidRDefault="00600198" w:rsidP="008076E8">
            <w:pPr>
              <w:spacing w:line="480" w:lineRule="auto"/>
              <w:jc w:val="both"/>
              <w:rPr>
                <w:b/>
                <w:bCs/>
                <w:lang w:val="en-US"/>
              </w:rPr>
            </w:pPr>
            <w:r w:rsidRPr="008076E8">
              <w:rPr>
                <w:lang w:val="en-US"/>
              </w:rPr>
              <w:t>Yes</w:t>
            </w:r>
          </w:p>
          <w:p w14:paraId="687E34F8" w14:textId="77777777" w:rsidR="00600198" w:rsidRPr="008076E8" w:rsidRDefault="00600198" w:rsidP="008076E8">
            <w:pPr>
              <w:spacing w:line="480" w:lineRule="auto"/>
              <w:jc w:val="both"/>
              <w:rPr>
                <w:i/>
                <w:iCs/>
                <w:lang w:val="en-US"/>
              </w:rPr>
            </w:pPr>
            <w:r w:rsidRPr="008076E8">
              <w:rPr>
                <w:lang w:val="en-US"/>
              </w:rPr>
              <w:t>No</w:t>
            </w:r>
          </w:p>
        </w:tc>
        <w:tc>
          <w:tcPr>
            <w:tcW w:w="2313" w:type="dxa"/>
          </w:tcPr>
          <w:p w14:paraId="4CC302D5" w14:textId="77777777" w:rsidR="00600198" w:rsidRPr="008076E8" w:rsidRDefault="00600198" w:rsidP="008076E8">
            <w:pPr>
              <w:spacing w:line="480" w:lineRule="auto"/>
              <w:jc w:val="both"/>
              <w:rPr>
                <w:lang w:val="en-US"/>
              </w:rPr>
            </w:pPr>
          </w:p>
          <w:p w14:paraId="70507F11" w14:textId="77777777" w:rsidR="00600198" w:rsidRPr="008076E8" w:rsidRDefault="00600198" w:rsidP="008076E8">
            <w:pPr>
              <w:spacing w:line="480" w:lineRule="auto"/>
              <w:jc w:val="both"/>
              <w:rPr>
                <w:lang w:val="en-US"/>
              </w:rPr>
            </w:pPr>
          </w:p>
          <w:p w14:paraId="5B279946" w14:textId="77777777" w:rsidR="00600198" w:rsidRPr="008076E8" w:rsidRDefault="00600198" w:rsidP="008076E8">
            <w:pPr>
              <w:spacing w:line="480" w:lineRule="auto"/>
              <w:jc w:val="both"/>
              <w:rPr>
                <w:lang w:val="en-US"/>
              </w:rPr>
            </w:pPr>
          </w:p>
          <w:p w14:paraId="192FF410" w14:textId="77777777" w:rsidR="00600198" w:rsidRPr="008076E8" w:rsidRDefault="00600198" w:rsidP="008076E8">
            <w:pPr>
              <w:spacing w:line="480" w:lineRule="auto"/>
              <w:jc w:val="both"/>
              <w:rPr>
                <w:lang w:val="en-US"/>
              </w:rPr>
            </w:pPr>
            <w:r w:rsidRPr="008076E8">
              <w:rPr>
                <w:lang w:val="en-US"/>
              </w:rPr>
              <w:t>150</w:t>
            </w:r>
          </w:p>
          <w:p w14:paraId="5FB2D749" w14:textId="77777777" w:rsidR="00600198" w:rsidRPr="008076E8" w:rsidRDefault="00600198" w:rsidP="008076E8">
            <w:pPr>
              <w:spacing w:line="480" w:lineRule="auto"/>
              <w:jc w:val="both"/>
              <w:rPr>
                <w:b/>
                <w:bCs/>
                <w:lang w:val="en-US"/>
              </w:rPr>
            </w:pPr>
            <w:r w:rsidRPr="008076E8">
              <w:rPr>
                <w:lang w:val="en-US"/>
              </w:rPr>
              <w:t>111</w:t>
            </w:r>
          </w:p>
        </w:tc>
        <w:tc>
          <w:tcPr>
            <w:tcW w:w="2172" w:type="dxa"/>
          </w:tcPr>
          <w:p w14:paraId="6AFA04AD" w14:textId="77777777" w:rsidR="00600198" w:rsidRPr="008076E8" w:rsidRDefault="00600198" w:rsidP="008076E8">
            <w:pPr>
              <w:spacing w:line="480" w:lineRule="auto"/>
              <w:jc w:val="both"/>
              <w:rPr>
                <w:lang w:val="en-US"/>
              </w:rPr>
            </w:pPr>
          </w:p>
          <w:p w14:paraId="1492560A" w14:textId="77777777" w:rsidR="00600198" w:rsidRPr="008076E8" w:rsidRDefault="00600198" w:rsidP="008076E8">
            <w:pPr>
              <w:spacing w:line="480" w:lineRule="auto"/>
              <w:jc w:val="both"/>
              <w:rPr>
                <w:lang w:val="en-US"/>
              </w:rPr>
            </w:pPr>
          </w:p>
          <w:p w14:paraId="3EF38DF4" w14:textId="77777777" w:rsidR="00130C7D" w:rsidRPr="008076E8" w:rsidRDefault="00130C7D" w:rsidP="008076E8">
            <w:pPr>
              <w:spacing w:line="480" w:lineRule="auto"/>
              <w:jc w:val="both"/>
              <w:rPr>
                <w:lang w:val="en-US"/>
              </w:rPr>
            </w:pPr>
          </w:p>
          <w:p w14:paraId="4CFB7468" w14:textId="0E326905" w:rsidR="00600198" w:rsidRPr="008076E8" w:rsidRDefault="00600198" w:rsidP="008076E8">
            <w:pPr>
              <w:spacing w:line="480" w:lineRule="auto"/>
              <w:jc w:val="both"/>
              <w:rPr>
                <w:lang w:val="en-US"/>
              </w:rPr>
            </w:pPr>
            <w:r w:rsidRPr="008076E8">
              <w:rPr>
                <w:lang w:val="en-US"/>
              </w:rPr>
              <w:t>57.4</w:t>
            </w:r>
          </w:p>
          <w:p w14:paraId="65AD8B27" w14:textId="77777777" w:rsidR="00600198" w:rsidRPr="008076E8" w:rsidRDefault="00600198" w:rsidP="008076E8">
            <w:pPr>
              <w:spacing w:line="480" w:lineRule="auto"/>
              <w:jc w:val="both"/>
              <w:rPr>
                <w:b/>
                <w:bCs/>
                <w:lang w:val="en-US"/>
              </w:rPr>
            </w:pPr>
            <w:r w:rsidRPr="008076E8">
              <w:rPr>
                <w:lang w:val="en-US"/>
              </w:rPr>
              <w:t>42.6</w:t>
            </w:r>
          </w:p>
        </w:tc>
      </w:tr>
      <w:tr w:rsidR="00600198" w:rsidRPr="008076E8" w14:paraId="57736258" w14:textId="77777777" w:rsidTr="008A781C">
        <w:tc>
          <w:tcPr>
            <w:tcW w:w="2405" w:type="dxa"/>
          </w:tcPr>
          <w:p w14:paraId="62A61A11" w14:textId="77777777" w:rsidR="00600198" w:rsidRPr="008076E8" w:rsidRDefault="00600198" w:rsidP="008076E8">
            <w:pPr>
              <w:spacing w:line="480" w:lineRule="auto"/>
              <w:jc w:val="both"/>
              <w:rPr>
                <w:b/>
                <w:bCs/>
                <w:i/>
                <w:iCs/>
                <w:lang w:val="en-US"/>
              </w:rPr>
            </w:pPr>
            <w:r w:rsidRPr="008076E8">
              <w:rPr>
                <w:b/>
                <w:bCs/>
                <w:i/>
                <w:iCs/>
                <w:lang w:val="en-US"/>
              </w:rPr>
              <w:t>Chronic Disease (HT, DM…)</w:t>
            </w:r>
          </w:p>
          <w:p w14:paraId="1942EECC" w14:textId="77777777" w:rsidR="00600198" w:rsidRPr="008076E8" w:rsidRDefault="00600198" w:rsidP="008076E8">
            <w:pPr>
              <w:spacing w:line="480" w:lineRule="auto"/>
              <w:jc w:val="both"/>
              <w:rPr>
                <w:b/>
                <w:bCs/>
                <w:lang w:val="en-US"/>
              </w:rPr>
            </w:pPr>
            <w:r w:rsidRPr="008076E8">
              <w:rPr>
                <w:lang w:val="en-US"/>
              </w:rPr>
              <w:t>Yes</w:t>
            </w:r>
          </w:p>
          <w:p w14:paraId="37CFBBD0" w14:textId="77777777" w:rsidR="00600198" w:rsidRPr="008076E8" w:rsidRDefault="00600198" w:rsidP="008076E8">
            <w:pPr>
              <w:spacing w:line="480" w:lineRule="auto"/>
              <w:jc w:val="both"/>
              <w:rPr>
                <w:i/>
                <w:iCs/>
                <w:lang w:val="en-US"/>
              </w:rPr>
            </w:pPr>
            <w:r w:rsidRPr="008076E8">
              <w:rPr>
                <w:lang w:val="en-US"/>
              </w:rPr>
              <w:t>No</w:t>
            </w:r>
          </w:p>
        </w:tc>
        <w:tc>
          <w:tcPr>
            <w:tcW w:w="2313" w:type="dxa"/>
          </w:tcPr>
          <w:p w14:paraId="3764DAC7" w14:textId="77777777" w:rsidR="00600198" w:rsidRPr="008076E8" w:rsidRDefault="00600198" w:rsidP="008076E8">
            <w:pPr>
              <w:spacing w:line="480" w:lineRule="auto"/>
              <w:jc w:val="both"/>
              <w:rPr>
                <w:lang w:val="en-US"/>
              </w:rPr>
            </w:pPr>
          </w:p>
          <w:p w14:paraId="3329D152" w14:textId="77777777" w:rsidR="00600198" w:rsidRPr="008076E8" w:rsidRDefault="00600198" w:rsidP="008076E8">
            <w:pPr>
              <w:spacing w:line="480" w:lineRule="auto"/>
              <w:jc w:val="both"/>
              <w:rPr>
                <w:lang w:val="en-US"/>
              </w:rPr>
            </w:pPr>
          </w:p>
          <w:p w14:paraId="66500623" w14:textId="77777777" w:rsidR="00600198" w:rsidRPr="008076E8" w:rsidRDefault="00600198" w:rsidP="008076E8">
            <w:pPr>
              <w:spacing w:line="480" w:lineRule="auto"/>
              <w:jc w:val="both"/>
              <w:rPr>
                <w:lang w:val="en-US"/>
              </w:rPr>
            </w:pPr>
            <w:r w:rsidRPr="008076E8">
              <w:rPr>
                <w:lang w:val="en-US"/>
              </w:rPr>
              <w:t>31</w:t>
            </w:r>
          </w:p>
          <w:p w14:paraId="27085445" w14:textId="77777777" w:rsidR="00600198" w:rsidRPr="008076E8" w:rsidRDefault="00600198" w:rsidP="008076E8">
            <w:pPr>
              <w:spacing w:line="480" w:lineRule="auto"/>
              <w:jc w:val="both"/>
              <w:rPr>
                <w:lang w:val="en-US"/>
              </w:rPr>
            </w:pPr>
            <w:r w:rsidRPr="008076E8">
              <w:rPr>
                <w:lang w:val="en-US"/>
              </w:rPr>
              <w:t>230</w:t>
            </w:r>
          </w:p>
        </w:tc>
        <w:tc>
          <w:tcPr>
            <w:tcW w:w="2172" w:type="dxa"/>
          </w:tcPr>
          <w:p w14:paraId="05958F98" w14:textId="77777777" w:rsidR="00600198" w:rsidRPr="008076E8" w:rsidRDefault="00600198" w:rsidP="008076E8">
            <w:pPr>
              <w:spacing w:line="480" w:lineRule="auto"/>
              <w:jc w:val="both"/>
              <w:rPr>
                <w:lang w:val="en-US"/>
              </w:rPr>
            </w:pPr>
          </w:p>
          <w:p w14:paraId="55B27A5B" w14:textId="77777777" w:rsidR="00600198" w:rsidRPr="008076E8" w:rsidRDefault="00600198" w:rsidP="008076E8">
            <w:pPr>
              <w:spacing w:line="480" w:lineRule="auto"/>
              <w:jc w:val="both"/>
              <w:rPr>
                <w:lang w:val="en-US"/>
              </w:rPr>
            </w:pPr>
          </w:p>
          <w:p w14:paraId="3B0CE17B" w14:textId="77777777" w:rsidR="00600198" w:rsidRPr="008076E8" w:rsidRDefault="00600198" w:rsidP="008076E8">
            <w:pPr>
              <w:spacing w:line="480" w:lineRule="auto"/>
              <w:jc w:val="both"/>
              <w:rPr>
                <w:lang w:val="en-US"/>
              </w:rPr>
            </w:pPr>
            <w:r w:rsidRPr="008076E8">
              <w:rPr>
                <w:lang w:val="en-US"/>
              </w:rPr>
              <w:t>11.9</w:t>
            </w:r>
          </w:p>
          <w:p w14:paraId="7832FF27" w14:textId="77777777" w:rsidR="00600198" w:rsidRPr="008076E8" w:rsidRDefault="00600198" w:rsidP="008076E8">
            <w:pPr>
              <w:spacing w:line="480" w:lineRule="auto"/>
              <w:jc w:val="both"/>
              <w:rPr>
                <w:lang w:val="en-US"/>
              </w:rPr>
            </w:pPr>
            <w:r w:rsidRPr="008076E8">
              <w:rPr>
                <w:lang w:val="en-US"/>
              </w:rPr>
              <w:t>88.1</w:t>
            </w:r>
          </w:p>
        </w:tc>
      </w:tr>
    </w:tbl>
    <w:p w14:paraId="0090A875" w14:textId="77777777" w:rsidR="00600198" w:rsidRPr="008076E8" w:rsidRDefault="00600198" w:rsidP="008076E8">
      <w:pPr>
        <w:spacing w:line="480" w:lineRule="auto"/>
        <w:jc w:val="both"/>
        <w:rPr>
          <w:sz w:val="22"/>
          <w:szCs w:val="22"/>
          <w:lang w:val="en-US"/>
        </w:rPr>
      </w:pPr>
    </w:p>
    <w:p w14:paraId="489B45DA" w14:textId="77777777" w:rsidR="00600198" w:rsidRPr="008076E8" w:rsidRDefault="00600198" w:rsidP="008076E8">
      <w:pPr>
        <w:spacing w:line="480" w:lineRule="auto"/>
        <w:jc w:val="both"/>
        <w:rPr>
          <w:b/>
          <w:bCs/>
          <w:sz w:val="22"/>
          <w:szCs w:val="22"/>
          <w:lang w:val="en-US"/>
        </w:rPr>
      </w:pPr>
      <w:r w:rsidRPr="008076E8">
        <w:rPr>
          <w:b/>
          <w:bCs/>
          <w:sz w:val="22"/>
          <w:szCs w:val="22"/>
          <w:lang w:val="en-US"/>
        </w:rPr>
        <w:t>†</w:t>
      </w:r>
      <w:r w:rsidRPr="008076E8">
        <w:rPr>
          <w:sz w:val="22"/>
          <w:szCs w:val="22"/>
          <w:lang w:val="en-US"/>
        </w:rPr>
        <w:t>Allied health care professional, technicians, clerical staff, administrator, maintenance worker</w:t>
      </w:r>
      <w:r w:rsidRPr="008076E8">
        <w:rPr>
          <w:b/>
          <w:bCs/>
          <w:sz w:val="22"/>
          <w:szCs w:val="22"/>
          <w:lang w:val="en-US"/>
        </w:rPr>
        <w:t xml:space="preserve">  </w:t>
      </w:r>
    </w:p>
    <w:p w14:paraId="07D3A2A1" w14:textId="77777777" w:rsidR="00600198" w:rsidRPr="008076E8" w:rsidRDefault="00600198" w:rsidP="008076E8">
      <w:pPr>
        <w:spacing w:line="480" w:lineRule="auto"/>
        <w:jc w:val="both"/>
        <w:rPr>
          <w:b/>
          <w:bCs/>
          <w:color w:val="333333"/>
          <w:sz w:val="22"/>
          <w:szCs w:val="22"/>
          <w:lang w:val="en-US"/>
        </w:rPr>
      </w:pPr>
    </w:p>
    <w:p w14:paraId="20218056" w14:textId="77777777" w:rsidR="00C67CC7" w:rsidRPr="008076E8" w:rsidRDefault="00C67CC7" w:rsidP="008076E8">
      <w:pPr>
        <w:spacing w:line="480" w:lineRule="auto"/>
        <w:jc w:val="both"/>
        <w:rPr>
          <w:b/>
          <w:bCs/>
          <w:color w:val="333333"/>
          <w:sz w:val="22"/>
          <w:szCs w:val="22"/>
          <w:lang w:val="en-US"/>
        </w:rPr>
      </w:pPr>
    </w:p>
    <w:p w14:paraId="51121A68" w14:textId="77777777" w:rsidR="00B97E34" w:rsidRPr="008076E8" w:rsidRDefault="00B97E34" w:rsidP="008076E8">
      <w:pPr>
        <w:spacing w:line="480" w:lineRule="auto"/>
        <w:jc w:val="both"/>
        <w:rPr>
          <w:b/>
          <w:bCs/>
          <w:color w:val="333333"/>
          <w:sz w:val="22"/>
          <w:szCs w:val="22"/>
          <w:lang w:val="en-US"/>
        </w:rPr>
      </w:pPr>
    </w:p>
    <w:p w14:paraId="5D129EAD" w14:textId="01486332" w:rsidR="00600198" w:rsidRPr="008076E8" w:rsidRDefault="00600198" w:rsidP="008076E8">
      <w:pPr>
        <w:spacing w:line="480" w:lineRule="auto"/>
        <w:jc w:val="both"/>
        <w:rPr>
          <w:b/>
          <w:bCs/>
          <w:color w:val="333333"/>
          <w:sz w:val="22"/>
          <w:szCs w:val="22"/>
          <w:lang w:val="en-US"/>
        </w:rPr>
      </w:pPr>
      <w:r w:rsidRPr="008076E8">
        <w:rPr>
          <w:b/>
          <w:bCs/>
          <w:color w:val="333333"/>
          <w:sz w:val="22"/>
          <w:szCs w:val="22"/>
          <w:lang w:val="en-US"/>
        </w:rPr>
        <w:lastRenderedPageBreak/>
        <w:t xml:space="preserve">Table 2. </w:t>
      </w:r>
      <w:r w:rsidRPr="008076E8">
        <w:rPr>
          <w:color w:val="333333"/>
          <w:sz w:val="22"/>
          <w:szCs w:val="22"/>
          <w:lang w:val="en-US"/>
        </w:rPr>
        <w:t xml:space="preserve">Descriptive Statistics   </w:t>
      </w:r>
    </w:p>
    <w:p w14:paraId="2E5E48C9" w14:textId="77777777" w:rsidR="00600198" w:rsidRPr="008076E8" w:rsidRDefault="00600198" w:rsidP="008076E8">
      <w:pPr>
        <w:spacing w:line="480" w:lineRule="auto"/>
        <w:jc w:val="both"/>
        <w:rPr>
          <w:sz w:val="22"/>
          <w:szCs w:val="22"/>
          <w:lang w:val="en-US"/>
        </w:rPr>
      </w:pPr>
    </w:p>
    <w:tbl>
      <w:tblPr>
        <w:tblStyle w:val="TabloKlavuzu"/>
        <w:tblW w:w="0" w:type="auto"/>
        <w:tblLook w:val="04A0" w:firstRow="1" w:lastRow="0" w:firstColumn="1" w:lastColumn="0" w:noHBand="0" w:noVBand="1"/>
      </w:tblPr>
      <w:tblGrid>
        <w:gridCol w:w="1133"/>
        <w:gridCol w:w="995"/>
        <w:gridCol w:w="995"/>
        <w:gridCol w:w="995"/>
        <w:gridCol w:w="986"/>
        <w:gridCol w:w="986"/>
        <w:gridCol w:w="986"/>
        <w:gridCol w:w="986"/>
        <w:gridCol w:w="994"/>
      </w:tblGrid>
      <w:tr w:rsidR="00600198" w:rsidRPr="008076E8" w14:paraId="5B77125B" w14:textId="77777777" w:rsidTr="008A781C">
        <w:tc>
          <w:tcPr>
            <w:tcW w:w="1006" w:type="dxa"/>
          </w:tcPr>
          <w:p w14:paraId="721B1D1C" w14:textId="77777777" w:rsidR="00600198" w:rsidRPr="008076E8" w:rsidRDefault="00600198" w:rsidP="008076E8">
            <w:pPr>
              <w:spacing w:line="480" w:lineRule="auto"/>
              <w:jc w:val="both"/>
              <w:rPr>
                <w:lang w:val="en-US"/>
              </w:rPr>
            </w:pPr>
          </w:p>
        </w:tc>
        <w:tc>
          <w:tcPr>
            <w:tcW w:w="1007" w:type="dxa"/>
          </w:tcPr>
          <w:p w14:paraId="1538B010" w14:textId="77777777" w:rsidR="00600198" w:rsidRPr="008076E8" w:rsidRDefault="00600198" w:rsidP="008076E8">
            <w:pPr>
              <w:spacing w:line="480" w:lineRule="auto"/>
              <w:jc w:val="both"/>
              <w:rPr>
                <w:lang w:val="en-US"/>
              </w:rPr>
            </w:pPr>
            <w:r w:rsidRPr="008076E8">
              <w:rPr>
                <w:color w:val="333333"/>
                <w:lang w:val="en-US"/>
              </w:rPr>
              <w:t>DASS-D</w:t>
            </w:r>
          </w:p>
        </w:tc>
        <w:tc>
          <w:tcPr>
            <w:tcW w:w="1007" w:type="dxa"/>
          </w:tcPr>
          <w:p w14:paraId="3AC71713" w14:textId="77777777" w:rsidR="00600198" w:rsidRPr="008076E8" w:rsidRDefault="00600198" w:rsidP="008076E8">
            <w:pPr>
              <w:spacing w:line="480" w:lineRule="auto"/>
              <w:jc w:val="both"/>
              <w:rPr>
                <w:lang w:val="en-US"/>
              </w:rPr>
            </w:pPr>
            <w:r w:rsidRPr="008076E8">
              <w:rPr>
                <w:color w:val="333333"/>
                <w:lang w:val="en-US"/>
              </w:rPr>
              <w:t>DASS-A</w:t>
            </w:r>
          </w:p>
        </w:tc>
        <w:tc>
          <w:tcPr>
            <w:tcW w:w="1007" w:type="dxa"/>
          </w:tcPr>
          <w:p w14:paraId="02CD15C3" w14:textId="77777777" w:rsidR="00600198" w:rsidRPr="008076E8" w:rsidRDefault="00600198" w:rsidP="008076E8">
            <w:pPr>
              <w:spacing w:line="480" w:lineRule="auto"/>
              <w:jc w:val="both"/>
              <w:rPr>
                <w:lang w:val="en-US"/>
              </w:rPr>
            </w:pPr>
            <w:r w:rsidRPr="008076E8">
              <w:rPr>
                <w:color w:val="333333"/>
                <w:lang w:val="en-US"/>
              </w:rPr>
              <w:t>DASS-St</w:t>
            </w:r>
          </w:p>
        </w:tc>
        <w:tc>
          <w:tcPr>
            <w:tcW w:w="1007" w:type="dxa"/>
          </w:tcPr>
          <w:p w14:paraId="10C895DC" w14:textId="33495460" w:rsidR="00600198" w:rsidRPr="008076E8" w:rsidRDefault="00906D84" w:rsidP="008076E8">
            <w:pPr>
              <w:spacing w:line="480" w:lineRule="auto"/>
              <w:jc w:val="both"/>
              <w:rPr>
                <w:highlight w:val="yellow"/>
                <w:lang w:val="en-US"/>
              </w:rPr>
            </w:pPr>
            <w:r w:rsidRPr="008076E8">
              <w:rPr>
                <w:highlight w:val="yellow"/>
                <w:lang w:val="en-US"/>
              </w:rPr>
              <w:t>P</w:t>
            </w:r>
            <w:r w:rsidR="00F62897" w:rsidRPr="008076E8">
              <w:rPr>
                <w:highlight w:val="yellow"/>
                <w:lang w:val="en-US"/>
              </w:rPr>
              <w:t>I</w:t>
            </w:r>
          </w:p>
        </w:tc>
        <w:tc>
          <w:tcPr>
            <w:tcW w:w="1007" w:type="dxa"/>
          </w:tcPr>
          <w:p w14:paraId="7A29DF5B" w14:textId="1027B9B4" w:rsidR="00600198" w:rsidRPr="008076E8" w:rsidRDefault="00600198" w:rsidP="008076E8">
            <w:pPr>
              <w:spacing w:line="480" w:lineRule="auto"/>
              <w:jc w:val="both"/>
              <w:rPr>
                <w:highlight w:val="yellow"/>
                <w:lang w:val="en-US"/>
              </w:rPr>
            </w:pPr>
            <w:r w:rsidRPr="008076E8">
              <w:rPr>
                <w:color w:val="333333"/>
                <w:highlight w:val="yellow"/>
                <w:lang w:val="en-US"/>
              </w:rPr>
              <w:t>M</w:t>
            </w:r>
            <w:r w:rsidR="00F62897" w:rsidRPr="008076E8">
              <w:rPr>
                <w:color w:val="333333"/>
                <w:highlight w:val="yellow"/>
                <w:lang w:val="en-US"/>
              </w:rPr>
              <w:t>BI</w:t>
            </w:r>
            <w:r w:rsidRPr="008076E8">
              <w:rPr>
                <w:color w:val="333333"/>
                <w:highlight w:val="yellow"/>
                <w:lang w:val="en-US"/>
              </w:rPr>
              <w:t>- EE</w:t>
            </w:r>
          </w:p>
        </w:tc>
        <w:tc>
          <w:tcPr>
            <w:tcW w:w="1007" w:type="dxa"/>
          </w:tcPr>
          <w:p w14:paraId="336A8D03" w14:textId="65243BFC" w:rsidR="00600198" w:rsidRPr="008076E8" w:rsidRDefault="00600198" w:rsidP="008076E8">
            <w:pPr>
              <w:spacing w:line="480" w:lineRule="auto"/>
              <w:jc w:val="both"/>
              <w:rPr>
                <w:highlight w:val="yellow"/>
                <w:lang w:val="en-US"/>
              </w:rPr>
            </w:pPr>
            <w:r w:rsidRPr="008076E8">
              <w:rPr>
                <w:color w:val="333333"/>
                <w:highlight w:val="yellow"/>
                <w:lang w:val="en-US"/>
              </w:rPr>
              <w:t>M</w:t>
            </w:r>
            <w:r w:rsidR="00F62897" w:rsidRPr="008076E8">
              <w:rPr>
                <w:color w:val="333333"/>
                <w:highlight w:val="yellow"/>
                <w:lang w:val="en-US"/>
              </w:rPr>
              <w:t>BI</w:t>
            </w:r>
            <w:r w:rsidRPr="008076E8">
              <w:rPr>
                <w:color w:val="333333"/>
                <w:highlight w:val="yellow"/>
                <w:lang w:val="en-US"/>
              </w:rPr>
              <w:t>-DP</w:t>
            </w:r>
          </w:p>
        </w:tc>
        <w:tc>
          <w:tcPr>
            <w:tcW w:w="1007" w:type="dxa"/>
          </w:tcPr>
          <w:p w14:paraId="19B075BF" w14:textId="2EDF175A" w:rsidR="00600198" w:rsidRPr="008076E8" w:rsidRDefault="00600198" w:rsidP="008076E8">
            <w:pPr>
              <w:spacing w:line="480" w:lineRule="auto"/>
              <w:jc w:val="both"/>
              <w:rPr>
                <w:highlight w:val="yellow"/>
                <w:lang w:val="en-US"/>
              </w:rPr>
            </w:pPr>
            <w:r w:rsidRPr="008076E8">
              <w:rPr>
                <w:color w:val="333333"/>
                <w:highlight w:val="yellow"/>
                <w:lang w:val="en-US"/>
              </w:rPr>
              <w:t>M</w:t>
            </w:r>
            <w:r w:rsidR="00F62897" w:rsidRPr="008076E8">
              <w:rPr>
                <w:color w:val="333333"/>
                <w:highlight w:val="yellow"/>
                <w:lang w:val="en-US"/>
              </w:rPr>
              <w:t>BI</w:t>
            </w:r>
            <w:r w:rsidRPr="008076E8">
              <w:rPr>
                <w:color w:val="333333"/>
                <w:highlight w:val="yellow"/>
                <w:lang w:val="en-US"/>
              </w:rPr>
              <w:t>-PF</w:t>
            </w:r>
          </w:p>
        </w:tc>
        <w:tc>
          <w:tcPr>
            <w:tcW w:w="1007" w:type="dxa"/>
          </w:tcPr>
          <w:p w14:paraId="21A1E912" w14:textId="2882F4C5" w:rsidR="00600198" w:rsidRPr="008076E8" w:rsidRDefault="00600198" w:rsidP="008076E8">
            <w:pPr>
              <w:spacing w:line="480" w:lineRule="auto"/>
              <w:jc w:val="both"/>
              <w:rPr>
                <w:highlight w:val="yellow"/>
                <w:lang w:val="en-US"/>
              </w:rPr>
            </w:pPr>
            <w:r w:rsidRPr="008076E8">
              <w:rPr>
                <w:color w:val="333333"/>
                <w:highlight w:val="yellow"/>
                <w:lang w:val="en-US"/>
              </w:rPr>
              <w:t>M-Total</w:t>
            </w:r>
          </w:p>
        </w:tc>
      </w:tr>
      <w:tr w:rsidR="00600198" w:rsidRPr="008076E8" w14:paraId="3ED0B987" w14:textId="77777777" w:rsidTr="008A781C">
        <w:tc>
          <w:tcPr>
            <w:tcW w:w="1006" w:type="dxa"/>
          </w:tcPr>
          <w:p w14:paraId="02081D75" w14:textId="77777777" w:rsidR="00600198" w:rsidRPr="008076E8" w:rsidRDefault="00600198" w:rsidP="008076E8">
            <w:pPr>
              <w:spacing w:line="480" w:lineRule="auto"/>
              <w:jc w:val="both"/>
              <w:rPr>
                <w:lang w:val="en-US"/>
              </w:rPr>
            </w:pPr>
            <w:r w:rsidRPr="008076E8">
              <w:rPr>
                <w:color w:val="333333"/>
                <w:lang w:val="en-US"/>
              </w:rPr>
              <w:t>Mean</w:t>
            </w:r>
          </w:p>
        </w:tc>
        <w:tc>
          <w:tcPr>
            <w:tcW w:w="1007" w:type="dxa"/>
          </w:tcPr>
          <w:p w14:paraId="0C5EB04E" w14:textId="77777777" w:rsidR="00600198" w:rsidRPr="008076E8" w:rsidRDefault="00600198" w:rsidP="008076E8">
            <w:pPr>
              <w:spacing w:line="480" w:lineRule="auto"/>
              <w:jc w:val="both"/>
              <w:rPr>
                <w:lang w:val="en-US"/>
              </w:rPr>
            </w:pPr>
            <w:r w:rsidRPr="008076E8">
              <w:rPr>
                <w:lang w:val="en-US"/>
              </w:rPr>
              <w:t>6.07</w:t>
            </w:r>
          </w:p>
        </w:tc>
        <w:tc>
          <w:tcPr>
            <w:tcW w:w="1007" w:type="dxa"/>
          </w:tcPr>
          <w:p w14:paraId="279E468E" w14:textId="77777777" w:rsidR="00600198" w:rsidRPr="008076E8" w:rsidRDefault="00600198" w:rsidP="008076E8">
            <w:pPr>
              <w:spacing w:line="480" w:lineRule="auto"/>
              <w:jc w:val="both"/>
              <w:rPr>
                <w:lang w:val="en-US"/>
              </w:rPr>
            </w:pPr>
            <w:r w:rsidRPr="008076E8">
              <w:rPr>
                <w:lang w:val="en-US"/>
              </w:rPr>
              <w:t>4.94</w:t>
            </w:r>
          </w:p>
        </w:tc>
        <w:tc>
          <w:tcPr>
            <w:tcW w:w="1007" w:type="dxa"/>
          </w:tcPr>
          <w:p w14:paraId="7E05721D" w14:textId="77777777" w:rsidR="00600198" w:rsidRPr="008076E8" w:rsidRDefault="00600198" w:rsidP="008076E8">
            <w:pPr>
              <w:spacing w:line="480" w:lineRule="auto"/>
              <w:jc w:val="both"/>
              <w:rPr>
                <w:lang w:val="en-US"/>
              </w:rPr>
            </w:pPr>
            <w:r w:rsidRPr="008076E8">
              <w:rPr>
                <w:lang w:val="en-US"/>
              </w:rPr>
              <w:t>6.63</w:t>
            </w:r>
          </w:p>
        </w:tc>
        <w:tc>
          <w:tcPr>
            <w:tcW w:w="1007" w:type="dxa"/>
          </w:tcPr>
          <w:p w14:paraId="31F7D0DD" w14:textId="77777777" w:rsidR="00600198" w:rsidRPr="008076E8" w:rsidRDefault="00600198" w:rsidP="008076E8">
            <w:pPr>
              <w:spacing w:line="480" w:lineRule="auto"/>
              <w:jc w:val="both"/>
              <w:rPr>
                <w:lang w:val="en-US"/>
              </w:rPr>
            </w:pPr>
            <w:r w:rsidRPr="008076E8">
              <w:rPr>
                <w:lang w:val="en-US"/>
              </w:rPr>
              <w:t>17.30</w:t>
            </w:r>
          </w:p>
        </w:tc>
        <w:tc>
          <w:tcPr>
            <w:tcW w:w="1007" w:type="dxa"/>
          </w:tcPr>
          <w:p w14:paraId="0B1475FF" w14:textId="77777777" w:rsidR="00600198" w:rsidRPr="008076E8" w:rsidRDefault="00600198" w:rsidP="008076E8">
            <w:pPr>
              <w:spacing w:line="480" w:lineRule="auto"/>
              <w:jc w:val="both"/>
              <w:rPr>
                <w:lang w:val="en-US"/>
              </w:rPr>
            </w:pPr>
            <w:r w:rsidRPr="008076E8">
              <w:rPr>
                <w:lang w:val="en-US"/>
              </w:rPr>
              <w:t>24.50</w:t>
            </w:r>
          </w:p>
        </w:tc>
        <w:tc>
          <w:tcPr>
            <w:tcW w:w="1007" w:type="dxa"/>
          </w:tcPr>
          <w:p w14:paraId="2AFF6498" w14:textId="77777777" w:rsidR="00600198" w:rsidRPr="008076E8" w:rsidRDefault="00600198" w:rsidP="008076E8">
            <w:pPr>
              <w:spacing w:line="480" w:lineRule="auto"/>
              <w:jc w:val="both"/>
              <w:rPr>
                <w:lang w:val="en-US"/>
              </w:rPr>
            </w:pPr>
            <w:r w:rsidRPr="008076E8">
              <w:rPr>
                <w:lang w:val="en-US"/>
              </w:rPr>
              <w:t>10.10</w:t>
            </w:r>
          </w:p>
        </w:tc>
        <w:tc>
          <w:tcPr>
            <w:tcW w:w="1007" w:type="dxa"/>
          </w:tcPr>
          <w:p w14:paraId="22C2F476" w14:textId="77777777" w:rsidR="00600198" w:rsidRPr="008076E8" w:rsidRDefault="00600198" w:rsidP="008076E8">
            <w:pPr>
              <w:spacing w:line="480" w:lineRule="auto"/>
              <w:jc w:val="both"/>
              <w:rPr>
                <w:lang w:val="en-US"/>
              </w:rPr>
            </w:pPr>
            <w:r w:rsidRPr="008076E8">
              <w:rPr>
                <w:lang w:val="en-US"/>
              </w:rPr>
              <w:t>18.90</w:t>
            </w:r>
          </w:p>
        </w:tc>
        <w:tc>
          <w:tcPr>
            <w:tcW w:w="1007" w:type="dxa"/>
          </w:tcPr>
          <w:p w14:paraId="2C291328" w14:textId="77777777" w:rsidR="00600198" w:rsidRPr="008076E8" w:rsidRDefault="00600198" w:rsidP="008076E8">
            <w:pPr>
              <w:spacing w:line="480" w:lineRule="auto"/>
              <w:jc w:val="both"/>
              <w:rPr>
                <w:lang w:val="en-US"/>
              </w:rPr>
            </w:pPr>
            <w:r w:rsidRPr="008076E8">
              <w:rPr>
                <w:lang w:val="en-US"/>
              </w:rPr>
              <w:t>50.80</w:t>
            </w:r>
          </w:p>
        </w:tc>
      </w:tr>
      <w:tr w:rsidR="00600198" w:rsidRPr="008076E8" w14:paraId="60FDE744" w14:textId="77777777" w:rsidTr="008A781C">
        <w:tc>
          <w:tcPr>
            <w:tcW w:w="1006" w:type="dxa"/>
          </w:tcPr>
          <w:p w14:paraId="686A3B45" w14:textId="77777777" w:rsidR="00600198" w:rsidRPr="008076E8" w:rsidRDefault="00600198" w:rsidP="008076E8">
            <w:pPr>
              <w:spacing w:line="480" w:lineRule="auto"/>
              <w:jc w:val="both"/>
              <w:rPr>
                <w:lang w:val="en-US"/>
              </w:rPr>
            </w:pPr>
            <w:r w:rsidRPr="008076E8">
              <w:rPr>
                <w:color w:val="333333"/>
                <w:lang w:val="en-US"/>
              </w:rPr>
              <w:t>Median</w:t>
            </w:r>
          </w:p>
        </w:tc>
        <w:tc>
          <w:tcPr>
            <w:tcW w:w="1007" w:type="dxa"/>
          </w:tcPr>
          <w:p w14:paraId="4E70ADFE" w14:textId="77777777" w:rsidR="00600198" w:rsidRPr="008076E8" w:rsidRDefault="00600198" w:rsidP="008076E8">
            <w:pPr>
              <w:spacing w:line="480" w:lineRule="auto"/>
              <w:jc w:val="both"/>
              <w:rPr>
                <w:lang w:val="en-US"/>
              </w:rPr>
            </w:pPr>
            <w:r w:rsidRPr="008076E8">
              <w:rPr>
                <w:lang w:val="en-US"/>
              </w:rPr>
              <w:t>5.00</w:t>
            </w:r>
          </w:p>
        </w:tc>
        <w:tc>
          <w:tcPr>
            <w:tcW w:w="1007" w:type="dxa"/>
          </w:tcPr>
          <w:p w14:paraId="53CFC0A4" w14:textId="77777777" w:rsidR="00600198" w:rsidRPr="008076E8" w:rsidRDefault="00600198" w:rsidP="008076E8">
            <w:pPr>
              <w:spacing w:line="480" w:lineRule="auto"/>
              <w:jc w:val="both"/>
              <w:rPr>
                <w:lang w:val="en-US"/>
              </w:rPr>
            </w:pPr>
            <w:r w:rsidRPr="008076E8">
              <w:rPr>
                <w:lang w:val="en-US"/>
              </w:rPr>
              <w:t>3.00</w:t>
            </w:r>
          </w:p>
        </w:tc>
        <w:tc>
          <w:tcPr>
            <w:tcW w:w="1007" w:type="dxa"/>
          </w:tcPr>
          <w:p w14:paraId="641E2579" w14:textId="77777777" w:rsidR="00600198" w:rsidRPr="008076E8" w:rsidRDefault="00600198" w:rsidP="008076E8">
            <w:pPr>
              <w:spacing w:line="480" w:lineRule="auto"/>
              <w:jc w:val="both"/>
              <w:rPr>
                <w:lang w:val="en-US"/>
              </w:rPr>
            </w:pPr>
            <w:r w:rsidRPr="008076E8">
              <w:rPr>
                <w:lang w:val="en-US"/>
              </w:rPr>
              <w:t>6.00</w:t>
            </w:r>
          </w:p>
        </w:tc>
        <w:tc>
          <w:tcPr>
            <w:tcW w:w="1007" w:type="dxa"/>
          </w:tcPr>
          <w:p w14:paraId="73908140" w14:textId="77777777" w:rsidR="00600198" w:rsidRPr="008076E8" w:rsidRDefault="00600198" w:rsidP="008076E8">
            <w:pPr>
              <w:spacing w:line="480" w:lineRule="auto"/>
              <w:jc w:val="both"/>
              <w:rPr>
                <w:lang w:val="en-US"/>
              </w:rPr>
            </w:pPr>
            <w:r w:rsidRPr="008076E8">
              <w:rPr>
                <w:lang w:val="en-US"/>
              </w:rPr>
              <w:t>14.00</w:t>
            </w:r>
          </w:p>
        </w:tc>
        <w:tc>
          <w:tcPr>
            <w:tcW w:w="1007" w:type="dxa"/>
          </w:tcPr>
          <w:p w14:paraId="09BB5C7B" w14:textId="77777777" w:rsidR="00600198" w:rsidRPr="008076E8" w:rsidRDefault="00600198" w:rsidP="008076E8">
            <w:pPr>
              <w:spacing w:line="480" w:lineRule="auto"/>
              <w:jc w:val="both"/>
              <w:rPr>
                <w:lang w:val="en-US"/>
              </w:rPr>
            </w:pPr>
            <w:r w:rsidRPr="008076E8">
              <w:rPr>
                <w:lang w:val="en-US"/>
              </w:rPr>
              <w:t>25.0</w:t>
            </w:r>
          </w:p>
        </w:tc>
        <w:tc>
          <w:tcPr>
            <w:tcW w:w="1007" w:type="dxa"/>
          </w:tcPr>
          <w:p w14:paraId="73D78145" w14:textId="77777777" w:rsidR="00600198" w:rsidRPr="008076E8" w:rsidRDefault="00600198" w:rsidP="008076E8">
            <w:pPr>
              <w:spacing w:line="480" w:lineRule="auto"/>
              <w:jc w:val="both"/>
              <w:rPr>
                <w:lang w:val="en-US"/>
              </w:rPr>
            </w:pPr>
            <w:r w:rsidRPr="008076E8">
              <w:rPr>
                <w:lang w:val="en-US"/>
              </w:rPr>
              <w:t>9.00</w:t>
            </w:r>
          </w:p>
        </w:tc>
        <w:tc>
          <w:tcPr>
            <w:tcW w:w="1007" w:type="dxa"/>
          </w:tcPr>
          <w:p w14:paraId="2D8722D0" w14:textId="77777777" w:rsidR="00600198" w:rsidRPr="008076E8" w:rsidRDefault="00600198" w:rsidP="008076E8">
            <w:pPr>
              <w:spacing w:line="480" w:lineRule="auto"/>
              <w:jc w:val="both"/>
              <w:rPr>
                <w:lang w:val="en-US"/>
              </w:rPr>
            </w:pPr>
            <w:r w:rsidRPr="008076E8">
              <w:rPr>
                <w:lang w:val="en-US"/>
              </w:rPr>
              <w:t>18.00</w:t>
            </w:r>
          </w:p>
        </w:tc>
        <w:tc>
          <w:tcPr>
            <w:tcW w:w="1007" w:type="dxa"/>
          </w:tcPr>
          <w:p w14:paraId="344F4B06" w14:textId="77777777" w:rsidR="00600198" w:rsidRPr="008076E8" w:rsidRDefault="00600198" w:rsidP="008076E8">
            <w:pPr>
              <w:spacing w:line="480" w:lineRule="auto"/>
              <w:jc w:val="both"/>
              <w:rPr>
                <w:lang w:val="en-US"/>
              </w:rPr>
            </w:pPr>
            <w:r w:rsidRPr="008076E8">
              <w:rPr>
                <w:lang w:val="en-US"/>
              </w:rPr>
              <w:t>53.0</w:t>
            </w:r>
          </w:p>
        </w:tc>
      </w:tr>
      <w:tr w:rsidR="00600198" w:rsidRPr="008076E8" w14:paraId="2427B239" w14:textId="77777777" w:rsidTr="008A781C">
        <w:tc>
          <w:tcPr>
            <w:tcW w:w="1006" w:type="dxa"/>
          </w:tcPr>
          <w:p w14:paraId="079DFD7D" w14:textId="77777777" w:rsidR="00600198" w:rsidRPr="008076E8" w:rsidRDefault="00600198" w:rsidP="008076E8">
            <w:pPr>
              <w:spacing w:line="480" w:lineRule="auto"/>
              <w:jc w:val="both"/>
              <w:rPr>
                <w:lang w:val="en-US"/>
              </w:rPr>
            </w:pPr>
            <w:r w:rsidRPr="008076E8">
              <w:rPr>
                <w:color w:val="333333"/>
                <w:lang w:val="en-US"/>
              </w:rPr>
              <w:t>Standard deviation</w:t>
            </w:r>
          </w:p>
        </w:tc>
        <w:tc>
          <w:tcPr>
            <w:tcW w:w="1007" w:type="dxa"/>
          </w:tcPr>
          <w:p w14:paraId="53125975" w14:textId="77777777" w:rsidR="00600198" w:rsidRPr="008076E8" w:rsidRDefault="00600198" w:rsidP="008076E8">
            <w:pPr>
              <w:spacing w:line="480" w:lineRule="auto"/>
              <w:jc w:val="both"/>
              <w:rPr>
                <w:lang w:val="en-US"/>
              </w:rPr>
            </w:pPr>
            <w:r w:rsidRPr="008076E8">
              <w:rPr>
                <w:lang w:val="en-US"/>
              </w:rPr>
              <w:t>4.72</w:t>
            </w:r>
          </w:p>
        </w:tc>
        <w:tc>
          <w:tcPr>
            <w:tcW w:w="1007" w:type="dxa"/>
          </w:tcPr>
          <w:p w14:paraId="01FECE6D" w14:textId="77777777" w:rsidR="00600198" w:rsidRPr="008076E8" w:rsidRDefault="00600198" w:rsidP="008076E8">
            <w:pPr>
              <w:spacing w:line="480" w:lineRule="auto"/>
              <w:jc w:val="both"/>
              <w:rPr>
                <w:lang w:val="en-US"/>
              </w:rPr>
            </w:pPr>
            <w:r w:rsidRPr="008076E8">
              <w:rPr>
                <w:lang w:val="en-US"/>
              </w:rPr>
              <w:t>4.29</w:t>
            </w:r>
          </w:p>
        </w:tc>
        <w:tc>
          <w:tcPr>
            <w:tcW w:w="1007" w:type="dxa"/>
          </w:tcPr>
          <w:p w14:paraId="2741D4CF" w14:textId="77777777" w:rsidR="00600198" w:rsidRPr="008076E8" w:rsidRDefault="00600198" w:rsidP="008076E8">
            <w:pPr>
              <w:spacing w:line="480" w:lineRule="auto"/>
              <w:jc w:val="both"/>
              <w:rPr>
                <w:lang w:val="en-US"/>
              </w:rPr>
            </w:pPr>
            <w:r w:rsidRPr="008076E8">
              <w:rPr>
                <w:lang w:val="en-US"/>
              </w:rPr>
              <w:t>4.69</w:t>
            </w:r>
          </w:p>
        </w:tc>
        <w:tc>
          <w:tcPr>
            <w:tcW w:w="1007" w:type="dxa"/>
          </w:tcPr>
          <w:p w14:paraId="238DDF4C" w14:textId="77777777" w:rsidR="00600198" w:rsidRPr="008076E8" w:rsidRDefault="00600198" w:rsidP="008076E8">
            <w:pPr>
              <w:spacing w:line="480" w:lineRule="auto"/>
              <w:jc w:val="both"/>
              <w:rPr>
                <w:lang w:val="en-US"/>
              </w:rPr>
            </w:pPr>
            <w:r w:rsidRPr="008076E8">
              <w:rPr>
                <w:lang w:val="en-US"/>
              </w:rPr>
              <w:t>8.99</w:t>
            </w:r>
          </w:p>
        </w:tc>
        <w:tc>
          <w:tcPr>
            <w:tcW w:w="1007" w:type="dxa"/>
          </w:tcPr>
          <w:p w14:paraId="14BC25C7" w14:textId="77777777" w:rsidR="00600198" w:rsidRPr="008076E8" w:rsidRDefault="00600198" w:rsidP="008076E8">
            <w:pPr>
              <w:spacing w:line="480" w:lineRule="auto"/>
              <w:jc w:val="both"/>
              <w:rPr>
                <w:lang w:val="en-US"/>
              </w:rPr>
            </w:pPr>
            <w:r w:rsidRPr="008076E8">
              <w:rPr>
                <w:lang w:val="en-US"/>
              </w:rPr>
              <w:t>7.79</w:t>
            </w:r>
          </w:p>
        </w:tc>
        <w:tc>
          <w:tcPr>
            <w:tcW w:w="1007" w:type="dxa"/>
          </w:tcPr>
          <w:p w14:paraId="1101FB7E" w14:textId="77777777" w:rsidR="00600198" w:rsidRPr="008076E8" w:rsidRDefault="00600198" w:rsidP="008076E8">
            <w:pPr>
              <w:spacing w:line="480" w:lineRule="auto"/>
              <w:jc w:val="both"/>
              <w:rPr>
                <w:lang w:val="en-US"/>
              </w:rPr>
            </w:pPr>
            <w:r w:rsidRPr="008076E8">
              <w:rPr>
                <w:lang w:val="en-US"/>
              </w:rPr>
              <w:t>4.32</w:t>
            </w:r>
          </w:p>
        </w:tc>
        <w:tc>
          <w:tcPr>
            <w:tcW w:w="1007" w:type="dxa"/>
          </w:tcPr>
          <w:p w14:paraId="1419CD18" w14:textId="77777777" w:rsidR="00600198" w:rsidRPr="008076E8" w:rsidRDefault="00600198" w:rsidP="008076E8">
            <w:pPr>
              <w:spacing w:line="480" w:lineRule="auto"/>
              <w:jc w:val="both"/>
              <w:rPr>
                <w:lang w:val="en-US"/>
              </w:rPr>
            </w:pPr>
            <w:r w:rsidRPr="008076E8">
              <w:rPr>
                <w:lang w:val="en-US"/>
              </w:rPr>
              <w:t>6.18</w:t>
            </w:r>
          </w:p>
        </w:tc>
        <w:tc>
          <w:tcPr>
            <w:tcW w:w="1007" w:type="dxa"/>
          </w:tcPr>
          <w:p w14:paraId="3CDDCDA9" w14:textId="77777777" w:rsidR="00600198" w:rsidRPr="008076E8" w:rsidRDefault="00600198" w:rsidP="008076E8">
            <w:pPr>
              <w:spacing w:line="480" w:lineRule="auto"/>
              <w:jc w:val="both"/>
              <w:rPr>
                <w:lang w:val="en-US"/>
              </w:rPr>
            </w:pPr>
            <w:r w:rsidRPr="008076E8">
              <w:rPr>
                <w:lang w:val="en-US"/>
              </w:rPr>
              <w:t>17.60</w:t>
            </w:r>
          </w:p>
        </w:tc>
      </w:tr>
      <w:tr w:rsidR="00600198" w:rsidRPr="008076E8" w14:paraId="6EB55EA1" w14:textId="77777777" w:rsidTr="008A781C">
        <w:tc>
          <w:tcPr>
            <w:tcW w:w="1006" w:type="dxa"/>
          </w:tcPr>
          <w:p w14:paraId="21ED08C7" w14:textId="77777777" w:rsidR="00600198" w:rsidRPr="008076E8" w:rsidRDefault="00600198" w:rsidP="008076E8">
            <w:pPr>
              <w:spacing w:line="480" w:lineRule="auto"/>
              <w:jc w:val="both"/>
              <w:rPr>
                <w:lang w:val="en-US"/>
              </w:rPr>
            </w:pPr>
            <w:r w:rsidRPr="008076E8">
              <w:rPr>
                <w:color w:val="333333"/>
                <w:lang w:val="en-US"/>
              </w:rPr>
              <w:t>Minimum</w:t>
            </w:r>
          </w:p>
        </w:tc>
        <w:tc>
          <w:tcPr>
            <w:tcW w:w="1007" w:type="dxa"/>
          </w:tcPr>
          <w:p w14:paraId="1D768C7E" w14:textId="77777777" w:rsidR="00600198" w:rsidRPr="008076E8" w:rsidRDefault="00600198" w:rsidP="008076E8">
            <w:pPr>
              <w:spacing w:line="480" w:lineRule="auto"/>
              <w:jc w:val="both"/>
              <w:rPr>
                <w:lang w:val="en-US"/>
              </w:rPr>
            </w:pPr>
            <w:r w:rsidRPr="008076E8">
              <w:rPr>
                <w:lang w:val="en-US"/>
              </w:rPr>
              <w:t>0.00</w:t>
            </w:r>
          </w:p>
        </w:tc>
        <w:tc>
          <w:tcPr>
            <w:tcW w:w="1007" w:type="dxa"/>
          </w:tcPr>
          <w:p w14:paraId="67F87B36" w14:textId="77777777" w:rsidR="00600198" w:rsidRPr="008076E8" w:rsidRDefault="00600198" w:rsidP="008076E8">
            <w:pPr>
              <w:spacing w:line="480" w:lineRule="auto"/>
              <w:jc w:val="both"/>
              <w:rPr>
                <w:lang w:val="en-US"/>
              </w:rPr>
            </w:pPr>
            <w:r w:rsidRPr="008076E8">
              <w:rPr>
                <w:lang w:val="en-US"/>
              </w:rPr>
              <w:t>0.00</w:t>
            </w:r>
          </w:p>
        </w:tc>
        <w:tc>
          <w:tcPr>
            <w:tcW w:w="1007" w:type="dxa"/>
          </w:tcPr>
          <w:p w14:paraId="429BC4B9" w14:textId="77777777" w:rsidR="00600198" w:rsidRPr="008076E8" w:rsidRDefault="00600198" w:rsidP="008076E8">
            <w:pPr>
              <w:spacing w:line="480" w:lineRule="auto"/>
              <w:jc w:val="both"/>
              <w:rPr>
                <w:lang w:val="en-US"/>
              </w:rPr>
            </w:pPr>
            <w:r w:rsidRPr="008076E8">
              <w:rPr>
                <w:lang w:val="en-US"/>
              </w:rPr>
              <w:t>0.00</w:t>
            </w:r>
          </w:p>
        </w:tc>
        <w:tc>
          <w:tcPr>
            <w:tcW w:w="1007" w:type="dxa"/>
          </w:tcPr>
          <w:p w14:paraId="6CD6BB94" w14:textId="77777777" w:rsidR="00600198" w:rsidRPr="008076E8" w:rsidRDefault="00600198" w:rsidP="008076E8">
            <w:pPr>
              <w:spacing w:line="480" w:lineRule="auto"/>
              <w:jc w:val="both"/>
              <w:rPr>
                <w:lang w:val="en-US"/>
              </w:rPr>
            </w:pPr>
            <w:r w:rsidRPr="008076E8">
              <w:rPr>
                <w:lang w:val="en-US"/>
              </w:rPr>
              <w:t>7.00</w:t>
            </w:r>
          </w:p>
        </w:tc>
        <w:tc>
          <w:tcPr>
            <w:tcW w:w="1007" w:type="dxa"/>
          </w:tcPr>
          <w:p w14:paraId="04E71CD2" w14:textId="77777777" w:rsidR="00600198" w:rsidRPr="008076E8" w:rsidRDefault="00600198" w:rsidP="008076E8">
            <w:pPr>
              <w:spacing w:line="480" w:lineRule="auto"/>
              <w:jc w:val="both"/>
              <w:rPr>
                <w:lang w:val="en-US"/>
              </w:rPr>
            </w:pPr>
            <w:r w:rsidRPr="008076E8">
              <w:rPr>
                <w:lang w:val="en-US"/>
              </w:rPr>
              <w:t>9.00</w:t>
            </w:r>
          </w:p>
        </w:tc>
        <w:tc>
          <w:tcPr>
            <w:tcW w:w="1007" w:type="dxa"/>
          </w:tcPr>
          <w:p w14:paraId="3149681A" w14:textId="77777777" w:rsidR="00600198" w:rsidRPr="008076E8" w:rsidRDefault="00600198" w:rsidP="008076E8">
            <w:pPr>
              <w:spacing w:line="480" w:lineRule="auto"/>
              <w:jc w:val="both"/>
              <w:rPr>
                <w:lang w:val="en-US"/>
              </w:rPr>
            </w:pPr>
            <w:r w:rsidRPr="008076E8">
              <w:rPr>
                <w:lang w:val="en-US"/>
              </w:rPr>
              <w:t>4.00</w:t>
            </w:r>
          </w:p>
        </w:tc>
        <w:tc>
          <w:tcPr>
            <w:tcW w:w="1007" w:type="dxa"/>
          </w:tcPr>
          <w:p w14:paraId="682B6FAE" w14:textId="77777777" w:rsidR="00600198" w:rsidRPr="008076E8" w:rsidRDefault="00600198" w:rsidP="008076E8">
            <w:pPr>
              <w:spacing w:line="480" w:lineRule="auto"/>
              <w:jc w:val="both"/>
              <w:rPr>
                <w:lang w:val="en-US"/>
              </w:rPr>
            </w:pPr>
            <w:r w:rsidRPr="008076E8">
              <w:rPr>
                <w:lang w:val="en-US"/>
              </w:rPr>
              <w:t>8.00</w:t>
            </w:r>
          </w:p>
        </w:tc>
        <w:tc>
          <w:tcPr>
            <w:tcW w:w="1007" w:type="dxa"/>
          </w:tcPr>
          <w:p w14:paraId="656855ED" w14:textId="77777777" w:rsidR="00600198" w:rsidRPr="008076E8" w:rsidRDefault="00600198" w:rsidP="008076E8">
            <w:pPr>
              <w:spacing w:line="480" w:lineRule="auto"/>
              <w:jc w:val="both"/>
              <w:rPr>
                <w:lang w:val="en-US"/>
              </w:rPr>
            </w:pPr>
            <w:r w:rsidRPr="008076E8">
              <w:rPr>
                <w:lang w:val="en-US"/>
              </w:rPr>
              <w:t>0.00</w:t>
            </w:r>
          </w:p>
        </w:tc>
      </w:tr>
      <w:tr w:rsidR="00600198" w:rsidRPr="008076E8" w14:paraId="1C6CE2AC" w14:textId="77777777" w:rsidTr="008A781C">
        <w:tc>
          <w:tcPr>
            <w:tcW w:w="1006" w:type="dxa"/>
          </w:tcPr>
          <w:p w14:paraId="3EFC3828" w14:textId="77777777" w:rsidR="00600198" w:rsidRPr="008076E8" w:rsidRDefault="00600198" w:rsidP="008076E8">
            <w:pPr>
              <w:spacing w:line="480" w:lineRule="auto"/>
              <w:jc w:val="both"/>
              <w:rPr>
                <w:lang w:val="en-US"/>
              </w:rPr>
            </w:pPr>
            <w:r w:rsidRPr="008076E8">
              <w:rPr>
                <w:color w:val="333333"/>
                <w:lang w:val="en-US"/>
              </w:rPr>
              <w:t>Maximum</w:t>
            </w:r>
          </w:p>
        </w:tc>
        <w:tc>
          <w:tcPr>
            <w:tcW w:w="1007" w:type="dxa"/>
          </w:tcPr>
          <w:p w14:paraId="6D031F22" w14:textId="77777777" w:rsidR="00600198" w:rsidRPr="008076E8" w:rsidRDefault="00600198" w:rsidP="008076E8">
            <w:pPr>
              <w:spacing w:line="480" w:lineRule="auto"/>
              <w:jc w:val="both"/>
              <w:rPr>
                <w:lang w:val="en-US"/>
              </w:rPr>
            </w:pPr>
            <w:r w:rsidRPr="008076E8">
              <w:rPr>
                <w:lang w:val="en-US"/>
              </w:rPr>
              <w:t>21.00</w:t>
            </w:r>
          </w:p>
        </w:tc>
        <w:tc>
          <w:tcPr>
            <w:tcW w:w="1007" w:type="dxa"/>
          </w:tcPr>
          <w:p w14:paraId="2BCE5BEE" w14:textId="77777777" w:rsidR="00600198" w:rsidRPr="008076E8" w:rsidRDefault="00600198" w:rsidP="008076E8">
            <w:pPr>
              <w:spacing w:line="480" w:lineRule="auto"/>
              <w:jc w:val="both"/>
              <w:rPr>
                <w:lang w:val="en-US"/>
              </w:rPr>
            </w:pPr>
            <w:r w:rsidRPr="008076E8">
              <w:rPr>
                <w:lang w:val="en-US"/>
              </w:rPr>
              <w:t>21.00</w:t>
            </w:r>
          </w:p>
        </w:tc>
        <w:tc>
          <w:tcPr>
            <w:tcW w:w="1007" w:type="dxa"/>
          </w:tcPr>
          <w:p w14:paraId="26A9879D" w14:textId="77777777" w:rsidR="00600198" w:rsidRPr="008076E8" w:rsidRDefault="00600198" w:rsidP="008076E8">
            <w:pPr>
              <w:spacing w:line="480" w:lineRule="auto"/>
              <w:jc w:val="both"/>
              <w:rPr>
                <w:lang w:val="en-US"/>
              </w:rPr>
            </w:pPr>
            <w:r w:rsidRPr="008076E8">
              <w:rPr>
                <w:lang w:val="en-US"/>
              </w:rPr>
              <w:t>21.00</w:t>
            </w:r>
          </w:p>
        </w:tc>
        <w:tc>
          <w:tcPr>
            <w:tcW w:w="1007" w:type="dxa"/>
          </w:tcPr>
          <w:p w14:paraId="50C456D2" w14:textId="77777777" w:rsidR="00600198" w:rsidRPr="008076E8" w:rsidRDefault="00600198" w:rsidP="008076E8">
            <w:pPr>
              <w:spacing w:line="480" w:lineRule="auto"/>
              <w:jc w:val="both"/>
              <w:rPr>
                <w:lang w:val="en-US"/>
              </w:rPr>
            </w:pPr>
            <w:r w:rsidRPr="008076E8">
              <w:rPr>
                <w:lang w:val="en-US"/>
              </w:rPr>
              <w:t>49.00</w:t>
            </w:r>
          </w:p>
        </w:tc>
        <w:tc>
          <w:tcPr>
            <w:tcW w:w="1007" w:type="dxa"/>
          </w:tcPr>
          <w:p w14:paraId="17438664" w14:textId="77777777" w:rsidR="00600198" w:rsidRPr="008076E8" w:rsidRDefault="00600198" w:rsidP="008076E8">
            <w:pPr>
              <w:spacing w:line="480" w:lineRule="auto"/>
              <w:jc w:val="both"/>
              <w:rPr>
                <w:lang w:val="en-US"/>
              </w:rPr>
            </w:pPr>
            <w:r w:rsidRPr="008076E8">
              <w:rPr>
                <w:lang w:val="en-US"/>
              </w:rPr>
              <w:t>45.00</w:t>
            </w:r>
          </w:p>
        </w:tc>
        <w:tc>
          <w:tcPr>
            <w:tcW w:w="1007" w:type="dxa"/>
          </w:tcPr>
          <w:p w14:paraId="1487647A" w14:textId="77777777" w:rsidR="00600198" w:rsidRPr="008076E8" w:rsidRDefault="00600198" w:rsidP="008076E8">
            <w:pPr>
              <w:spacing w:line="480" w:lineRule="auto"/>
              <w:jc w:val="both"/>
              <w:rPr>
                <w:lang w:val="en-US"/>
              </w:rPr>
            </w:pPr>
            <w:r w:rsidRPr="008076E8">
              <w:rPr>
                <w:lang w:val="en-US"/>
              </w:rPr>
              <w:t>25.00</w:t>
            </w:r>
          </w:p>
        </w:tc>
        <w:tc>
          <w:tcPr>
            <w:tcW w:w="1007" w:type="dxa"/>
          </w:tcPr>
          <w:p w14:paraId="29264E00" w14:textId="77777777" w:rsidR="00600198" w:rsidRPr="008076E8" w:rsidRDefault="00600198" w:rsidP="008076E8">
            <w:pPr>
              <w:spacing w:line="480" w:lineRule="auto"/>
              <w:jc w:val="both"/>
              <w:rPr>
                <w:lang w:val="en-US"/>
              </w:rPr>
            </w:pPr>
            <w:r w:rsidRPr="008076E8">
              <w:rPr>
                <w:lang w:val="en-US"/>
              </w:rPr>
              <w:t>40.00</w:t>
            </w:r>
          </w:p>
        </w:tc>
        <w:tc>
          <w:tcPr>
            <w:tcW w:w="1007" w:type="dxa"/>
          </w:tcPr>
          <w:p w14:paraId="3D8B19E3" w14:textId="77777777" w:rsidR="00600198" w:rsidRPr="008076E8" w:rsidRDefault="00600198" w:rsidP="008076E8">
            <w:pPr>
              <w:spacing w:line="480" w:lineRule="auto"/>
              <w:jc w:val="both"/>
              <w:rPr>
                <w:lang w:val="en-US"/>
              </w:rPr>
            </w:pPr>
            <w:r w:rsidRPr="008076E8">
              <w:rPr>
                <w:lang w:val="en-US"/>
              </w:rPr>
              <w:t>110.00</w:t>
            </w:r>
          </w:p>
        </w:tc>
      </w:tr>
    </w:tbl>
    <w:p w14:paraId="1840A5B9" w14:textId="77777777" w:rsidR="00600198" w:rsidRPr="008076E8" w:rsidRDefault="00600198" w:rsidP="008076E8">
      <w:pPr>
        <w:spacing w:line="480" w:lineRule="auto"/>
        <w:jc w:val="both"/>
        <w:rPr>
          <w:sz w:val="22"/>
          <w:szCs w:val="22"/>
          <w:lang w:val="en-US"/>
        </w:rPr>
      </w:pPr>
    </w:p>
    <w:p w14:paraId="03225765" w14:textId="77777777" w:rsidR="00600198" w:rsidRPr="008076E8" w:rsidRDefault="00600198" w:rsidP="008076E8">
      <w:pPr>
        <w:spacing w:line="480" w:lineRule="auto"/>
        <w:jc w:val="both"/>
        <w:rPr>
          <w:sz w:val="22"/>
          <w:szCs w:val="22"/>
          <w:lang w:val="en-US"/>
        </w:rPr>
      </w:pPr>
    </w:p>
    <w:p w14:paraId="577F5F1C" w14:textId="77777777" w:rsidR="00600198" w:rsidRPr="008076E8" w:rsidRDefault="00600198" w:rsidP="008076E8">
      <w:pPr>
        <w:spacing w:line="480" w:lineRule="auto"/>
        <w:jc w:val="both"/>
        <w:rPr>
          <w:b/>
          <w:bCs/>
          <w:color w:val="000000" w:themeColor="text1"/>
          <w:sz w:val="22"/>
          <w:szCs w:val="22"/>
          <w:lang w:val="en-US"/>
        </w:rPr>
      </w:pPr>
    </w:p>
    <w:p w14:paraId="4C708F76" w14:textId="77777777" w:rsidR="00600198" w:rsidRPr="008076E8" w:rsidRDefault="00600198" w:rsidP="008076E8">
      <w:pPr>
        <w:spacing w:line="480" w:lineRule="auto"/>
        <w:jc w:val="both"/>
        <w:rPr>
          <w:b/>
          <w:bCs/>
          <w:color w:val="000000" w:themeColor="text1"/>
          <w:sz w:val="22"/>
          <w:szCs w:val="22"/>
          <w:lang w:val="en-US"/>
        </w:rPr>
      </w:pPr>
    </w:p>
    <w:p w14:paraId="153C8DFE" w14:textId="77777777" w:rsidR="00600198" w:rsidRPr="008076E8" w:rsidRDefault="00600198" w:rsidP="008076E8">
      <w:pPr>
        <w:spacing w:line="480" w:lineRule="auto"/>
        <w:jc w:val="both"/>
        <w:rPr>
          <w:b/>
          <w:bCs/>
          <w:color w:val="000000" w:themeColor="text1"/>
          <w:sz w:val="22"/>
          <w:szCs w:val="22"/>
          <w:lang w:val="en-US"/>
        </w:rPr>
      </w:pPr>
    </w:p>
    <w:p w14:paraId="4F2000DF" w14:textId="77777777" w:rsidR="00600198" w:rsidRPr="008076E8" w:rsidRDefault="00600198" w:rsidP="008076E8">
      <w:pPr>
        <w:spacing w:line="480" w:lineRule="auto"/>
        <w:jc w:val="both"/>
        <w:rPr>
          <w:b/>
          <w:bCs/>
          <w:color w:val="000000" w:themeColor="text1"/>
          <w:sz w:val="22"/>
          <w:szCs w:val="22"/>
          <w:lang w:val="en-US"/>
        </w:rPr>
      </w:pPr>
    </w:p>
    <w:p w14:paraId="19CE3C50" w14:textId="77777777" w:rsidR="00600198" w:rsidRPr="008076E8" w:rsidRDefault="00600198" w:rsidP="008076E8">
      <w:pPr>
        <w:spacing w:line="480" w:lineRule="auto"/>
        <w:jc w:val="both"/>
        <w:rPr>
          <w:b/>
          <w:bCs/>
          <w:color w:val="000000" w:themeColor="text1"/>
          <w:sz w:val="22"/>
          <w:szCs w:val="22"/>
          <w:lang w:val="en-US"/>
        </w:rPr>
      </w:pPr>
    </w:p>
    <w:p w14:paraId="17EC7F9D" w14:textId="77777777" w:rsidR="00600198" w:rsidRPr="008076E8" w:rsidRDefault="00600198" w:rsidP="008076E8">
      <w:pPr>
        <w:spacing w:line="480" w:lineRule="auto"/>
        <w:jc w:val="both"/>
        <w:rPr>
          <w:b/>
          <w:bCs/>
          <w:color w:val="000000" w:themeColor="text1"/>
          <w:sz w:val="22"/>
          <w:szCs w:val="22"/>
          <w:lang w:val="en-US"/>
        </w:rPr>
      </w:pPr>
    </w:p>
    <w:p w14:paraId="66E86680" w14:textId="77777777" w:rsidR="00600198" w:rsidRPr="008076E8" w:rsidRDefault="00600198" w:rsidP="008076E8">
      <w:pPr>
        <w:spacing w:line="480" w:lineRule="auto"/>
        <w:jc w:val="both"/>
        <w:rPr>
          <w:b/>
          <w:bCs/>
          <w:color w:val="000000" w:themeColor="text1"/>
          <w:sz w:val="22"/>
          <w:szCs w:val="22"/>
          <w:lang w:val="en-US"/>
        </w:rPr>
      </w:pPr>
    </w:p>
    <w:p w14:paraId="7CB12CBD" w14:textId="77777777" w:rsidR="00600198" w:rsidRPr="008076E8" w:rsidRDefault="00600198" w:rsidP="008076E8">
      <w:pPr>
        <w:spacing w:line="480" w:lineRule="auto"/>
        <w:jc w:val="both"/>
        <w:rPr>
          <w:b/>
          <w:bCs/>
          <w:color w:val="000000" w:themeColor="text1"/>
          <w:sz w:val="22"/>
          <w:szCs w:val="22"/>
          <w:lang w:val="en-US"/>
        </w:rPr>
      </w:pPr>
    </w:p>
    <w:p w14:paraId="340E529C" w14:textId="77777777" w:rsidR="00600198" w:rsidRPr="008076E8" w:rsidRDefault="00600198" w:rsidP="008076E8">
      <w:pPr>
        <w:spacing w:line="480" w:lineRule="auto"/>
        <w:jc w:val="both"/>
        <w:rPr>
          <w:b/>
          <w:bCs/>
          <w:color w:val="000000" w:themeColor="text1"/>
          <w:sz w:val="22"/>
          <w:szCs w:val="22"/>
          <w:lang w:val="en-US"/>
        </w:rPr>
      </w:pPr>
    </w:p>
    <w:p w14:paraId="2483FF91" w14:textId="77777777" w:rsidR="00600198" w:rsidRPr="008076E8" w:rsidRDefault="00600198" w:rsidP="008076E8">
      <w:pPr>
        <w:spacing w:line="480" w:lineRule="auto"/>
        <w:jc w:val="both"/>
        <w:rPr>
          <w:b/>
          <w:bCs/>
          <w:color w:val="000000" w:themeColor="text1"/>
          <w:sz w:val="22"/>
          <w:szCs w:val="22"/>
          <w:lang w:val="en-US"/>
        </w:rPr>
      </w:pPr>
    </w:p>
    <w:p w14:paraId="76F02FCB" w14:textId="77777777" w:rsidR="00600198" w:rsidRPr="008076E8" w:rsidRDefault="00600198" w:rsidP="008076E8">
      <w:pPr>
        <w:spacing w:line="480" w:lineRule="auto"/>
        <w:jc w:val="both"/>
        <w:rPr>
          <w:b/>
          <w:bCs/>
          <w:color w:val="000000" w:themeColor="text1"/>
          <w:sz w:val="22"/>
          <w:szCs w:val="22"/>
          <w:lang w:val="en-US"/>
        </w:rPr>
      </w:pPr>
    </w:p>
    <w:p w14:paraId="776681F1" w14:textId="77777777" w:rsidR="00600198" w:rsidRPr="008076E8" w:rsidRDefault="00600198" w:rsidP="008076E8">
      <w:pPr>
        <w:spacing w:line="480" w:lineRule="auto"/>
        <w:jc w:val="both"/>
        <w:rPr>
          <w:b/>
          <w:bCs/>
          <w:color w:val="000000" w:themeColor="text1"/>
          <w:sz w:val="22"/>
          <w:szCs w:val="22"/>
          <w:lang w:val="en-US"/>
        </w:rPr>
      </w:pPr>
    </w:p>
    <w:p w14:paraId="5D76F58D" w14:textId="77777777" w:rsidR="00C67CC7" w:rsidRPr="008076E8" w:rsidRDefault="00C67CC7" w:rsidP="008076E8">
      <w:pPr>
        <w:spacing w:line="480" w:lineRule="auto"/>
        <w:jc w:val="both"/>
        <w:rPr>
          <w:b/>
          <w:bCs/>
          <w:color w:val="000000" w:themeColor="text1"/>
          <w:sz w:val="22"/>
          <w:szCs w:val="22"/>
          <w:lang w:val="en-US"/>
        </w:rPr>
      </w:pPr>
    </w:p>
    <w:p w14:paraId="01CE450A" w14:textId="77777777" w:rsidR="00C67CC7" w:rsidRPr="008076E8" w:rsidRDefault="00C67CC7" w:rsidP="008076E8">
      <w:pPr>
        <w:spacing w:line="480" w:lineRule="auto"/>
        <w:jc w:val="both"/>
        <w:rPr>
          <w:b/>
          <w:bCs/>
          <w:color w:val="000000" w:themeColor="text1"/>
          <w:sz w:val="22"/>
          <w:szCs w:val="22"/>
          <w:lang w:val="en-US"/>
        </w:rPr>
      </w:pPr>
    </w:p>
    <w:p w14:paraId="3B48E57B" w14:textId="77777777" w:rsidR="00C67CC7" w:rsidRPr="008076E8" w:rsidRDefault="00C67CC7" w:rsidP="008076E8">
      <w:pPr>
        <w:spacing w:line="480" w:lineRule="auto"/>
        <w:jc w:val="both"/>
        <w:rPr>
          <w:b/>
          <w:bCs/>
          <w:color w:val="000000" w:themeColor="text1"/>
          <w:sz w:val="22"/>
          <w:szCs w:val="22"/>
          <w:lang w:val="en-US"/>
        </w:rPr>
      </w:pPr>
    </w:p>
    <w:p w14:paraId="5466653C" w14:textId="77777777" w:rsidR="00C67CC7" w:rsidRPr="008076E8" w:rsidRDefault="00C67CC7" w:rsidP="008076E8">
      <w:pPr>
        <w:spacing w:line="480" w:lineRule="auto"/>
        <w:jc w:val="both"/>
        <w:rPr>
          <w:b/>
          <w:bCs/>
          <w:color w:val="000000" w:themeColor="text1"/>
          <w:sz w:val="22"/>
          <w:szCs w:val="22"/>
          <w:lang w:val="en-US"/>
        </w:rPr>
      </w:pPr>
    </w:p>
    <w:p w14:paraId="3293FCDA" w14:textId="49AA077E" w:rsidR="00600198" w:rsidRPr="008076E8" w:rsidRDefault="00600198" w:rsidP="008076E8">
      <w:pPr>
        <w:spacing w:line="480" w:lineRule="auto"/>
        <w:jc w:val="both"/>
        <w:rPr>
          <w:sz w:val="22"/>
          <w:szCs w:val="22"/>
          <w:lang w:val="en-US"/>
        </w:rPr>
      </w:pPr>
      <w:r w:rsidRPr="008076E8">
        <w:rPr>
          <w:b/>
          <w:bCs/>
          <w:color w:val="000000" w:themeColor="text1"/>
          <w:sz w:val="22"/>
          <w:szCs w:val="22"/>
          <w:lang w:val="en-US"/>
        </w:rPr>
        <w:lastRenderedPageBreak/>
        <w:t xml:space="preserve">Table 3. </w:t>
      </w:r>
      <w:r w:rsidR="00F62897" w:rsidRPr="008076E8">
        <w:rPr>
          <w:color w:val="000000" w:themeColor="text1"/>
          <w:sz w:val="22"/>
          <w:szCs w:val="22"/>
          <w:lang w:val="en-US"/>
        </w:rPr>
        <w:t>The spearman’s</w:t>
      </w:r>
      <w:r w:rsidRPr="008076E8">
        <w:rPr>
          <w:color w:val="000000" w:themeColor="text1"/>
          <w:sz w:val="22"/>
          <w:szCs w:val="22"/>
          <w:lang w:val="en-US"/>
        </w:rPr>
        <w:t xml:space="preserve"> </w:t>
      </w:r>
      <w:r w:rsidR="00F62897" w:rsidRPr="008076E8">
        <w:rPr>
          <w:color w:val="000000" w:themeColor="text1"/>
          <w:sz w:val="22"/>
          <w:szCs w:val="22"/>
          <w:lang w:val="en-US"/>
        </w:rPr>
        <w:t>c</w:t>
      </w:r>
      <w:r w:rsidRPr="008076E8">
        <w:rPr>
          <w:color w:val="000000" w:themeColor="text1"/>
          <w:sz w:val="22"/>
          <w:szCs w:val="22"/>
          <w:lang w:val="en-US"/>
        </w:rPr>
        <w:t xml:space="preserve">orrelation </w:t>
      </w:r>
      <w:r w:rsidR="00F62897" w:rsidRPr="008076E8">
        <w:rPr>
          <w:color w:val="000000" w:themeColor="text1"/>
          <w:sz w:val="22"/>
          <w:szCs w:val="22"/>
          <w:lang w:val="en-US"/>
        </w:rPr>
        <w:t>a</w:t>
      </w:r>
      <w:r w:rsidRPr="008076E8">
        <w:rPr>
          <w:color w:val="000000" w:themeColor="text1"/>
          <w:sz w:val="22"/>
          <w:szCs w:val="22"/>
          <w:lang w:val="en-US"/>
        </w:rPr>
        <w:t>nalysis of age, psychological and environmental parameters with burnout levels</w:t>
      </w:r>
    </w:p>
    <w:p w14:paraId="72580C3C" w14:textId="77777777" w:rsidR="00600198" w:rsidRPr="008076E8" w:rsidRDefault="00600198" w:rsidP="008076E8">
      <w:pPr>
        <w:spacing w:line="480" w:lineRule="auto"/>
        <w:jc w:val="both"/>
        <w:rPr>
          <w:sz w:val="22"/>
          <w:szCs w:val="22"/>
          <w:lang w:val="en-US"/>
        </w:rPr>
      </w:pPr>
    </w:p>
    <w:tbl>
      <w:tblPr>
        <w:tblStyle w:val="TabloKlavuzu"/>
        <w:tblW w:w="10959" w:type="dxa"/>
        <w:tblInd w:w="-953" w:type="dxa"/>
        <w:tblLook w:val="04A0" w:firstRow="1" w:lastRow="0" w:firstColumn="1" w:lastColumn="0" w:noHBand="0" w:noVBand="1"/>
      </w:tblPr>
      <w:tblGrid>
        <w:gridCol w:w="1259"/>
        <w:gridCol w:w="1041"/>
        <w:gridCol w:w="1041"/>
        <w:gridCol w:w="1041"/>
        <w:gridCol w:w="1041"/>
        <w:gridCol w:w="1041"/>
        <w:gridCol w:w="1041"/>
        <w:gridCol w:w="1325"/>
        <w:gridCol w:w="1086"/>
        <w:gridCol w:w="1043"/>
      </w:tblGrid>
      <w:tr w:rsidR="00600198" w:rsidRPr="008076E8" w14:paraId="75BF3F6B" w14:textId="77777777" w:rsidTr="008A781C">
        <w:trPr>
          <w:trHeight w:val="562"/>
        </w:trPr>
        <w:tc>
          <w:tcPr>
            <w:tcW w:w="1293" w:type="dxa"/>
          </w:tcPr>
          <w:p w14:paraId="36DA6038" w14:textId="77777777" w:rsidR="00600198" w:rsidRPr="008076E8" w:rsidRDefault="00600198" w:rsidP="008076E8">
            <w:pPr>
              <w:spacing w:line="480" w:lineRule="auto"/>
              <w:jc w:val="both"/>
              <w:rPr>
                <w:lang w:val="en-US"/>
              </w:rPr>
            </w:pPr>
          </w:p>
        </w:tc>
        <w:tc>
          <w:tcPr>
            <w:tcW w:w="1024" w:type="dxa"/>
            <w:vAlign w:val="center"/>
          </w:tcPr>
          <w:p w14:paraId="72AA1916" w14:textId="401DDD78" w:rsidR="00600198" w:rsidRPr="008076E8" w:rsidRDefault="00600198" w:rsidP="008076E8">
            <w:pPr>
              <w:spacing w:line="480" w:lineRule="auto"/>
              <w:jc w:val="both"/>
              <w:rPr>
                <w:lang w:val="en-US"/>
              </w:rPr>
            </w:pPr>
            <w:r w:rsidRPr="008076E8">
              <w:rPr>
                <w:b/>
                <w:bCs/>
                <w:color w:val="333333"/>
                <w:lang w:val="en-US"/>
              </w:rPr>
              <w:t>MB</w:t>
            </w:r>
            <w:r w:rsidR="00F62897" w:rsidRPr="008076E8">
              <w:rPr>
                <w:b/>
                <w:bCs/>
                <w:color w:val="333333"/>
                <w:lang w:val="en-US"/>
              </w:rPr>
              <w:t>I</w:t>
            </w:r>
            <w:r w:rsidRPr="008076E8">
              <w:rPr>
                <w:b/>
                <w:bCs/>
                <w:color w:val="333333"/>
                <w:lang w:val="en-US"/>
              </w:rPr>
              <w:t>-T</w:t>
            </w:r>
          </w:p>
        </w:tc>
        <w:tc>
          <w:tcPr>
            <w:tcW w:w="1024" w:type="dxa"/>
            <w:vAlign w:val="center"/>
          </w:tcPr>
          <w:p w14:paraId="02914B8B" w14:textId="77777777" w:rsidR="00600198" w:rsidRPr="008076E8" w:rsidRDefault="00600198" w:rsidP="008076E8">
            <w:pPr>
              <w:spacing w:line="480" w:lineRule="auto"/>
              <w:jc w:val="both"/>
              <w:rPr>
                <w:lang w:val="en-US"/>
              </w:rPr>
            </w:pPr>
            <w:r w:rsidRPr="008076E8">
              <w:rPr>
                <w:b/>
                <w:bCs/>
                <w:color w:val="333333"/>
                <w:lang w:val="en-US"/>
              </w:rPr>
              <w:t>DASS-D</w:t>
            </w:r>
          </w:p>
        </w:tc>
        <w:tc>
          <w:tcPr>
            <w:tcW w:w="1024" w:type="dxa"/>
            <w:vAlign w:val="center"/>
          </w:tcPr>
          <w:p w14:paraId="1B0BD25D" w14:textId="77777777" w:rsidR="00600198" w:rsidRPr="008076E8" w:rsidRDefault="00600198" w:rsidP="008076E8">
            <w:pPr>
              <w:spacing w:line="480" w:lineRule="auto"/>
              <w:jc w:val="both"/>
              <w:rPr>
                <w:lang w:val="en-US"/>
              </w:rPr>
            </w:pPr>
            <w:r w:rsidRPr="008076E8">
              <w:rPr>
                <w:b/>
                <w:bCs/>
                <w:color w:val="333333"/>
                <w:lang w:val="en-US"/>
              </w:rPr>
              <w:t>DASS-A</w:t>
            </w:r>
          </w:p>
        </w:tc>
        <w:tc>
          <w:tcPr>
            <w:tcW w:w="1024" w:type="dxa"/>
            <w:vAlign w:val="center"/>
          </w:tcPr>
          <w:p w14:paraId="2F91FC7A" w14:textId="77777777" w:rsidR="00600198" w:rsidRPr="008076E8" w:rsidRDefault="00600198" w:rsidP="008076E8">
            <w:pPr>
              <w:spacing w:line="480" w:lineRule="auto"/>
              <w:jc w:val="both"/>
              <w:rPr>
                <w:lang w:val="en-US"/>
              </w:rPr>
            </w:pPr>
            <w:r w:rsidRPr="008076E8">
              <w:rPr>
                <w:b/>
                <w:bCs/>
                <w:color w:val="333333"/>
                <w:lang w:val="en-US"/>
              </w:rPr>
              <w:t>DASS-St</w:t>
            </w:r>
          </w:p>
        </w:tc>
        <w:tc>
          <w:tcPr>
            <w:tcW w:w="1024" w:type="dxa"/>
            <w:vAlign w:val="center"/>
          </w:tcPr>
          <w:p w14:paraId="0E8F91C4" w14:textId="77777777" w:rsidR="00600198" w:rsidRPr="008076E8" w:rsidRDefault="00600198" w:rsidP="008076E8">
            <w:pPr>
              <w:spacing w:line="480" w:lineRule="auto"/>
              <w:jc w:val="both"/>
              <w:rPr>
                <w:lang w:val="en-US"/>
              </w:rPr>
            </w:pPr>
            <w:r w:rsidRPr="008076E8">
              <w:rPr>
                <w:b/>
                <w:bCs/>
                <w:color w:val="333333"/>
                <w:lang w:val="en-US"/>
              </w:rPr>
              <w:t>AAQ-II</w:t>
            </w:r>
          </w:p>
        </w:tc>
        <w:tc>
          <w:tcPr>
            <w:tcW w:w="1024" w:type="dxa"/>
            <w:vAlign w:val="center"/>
          </w:tcPr>
          <w:p w14:paraId="34D7BD95" w14:textId="77777777" w:rsidR="00600198" w:rsidRPr="008076E8" w:rsidRDefault="00600198" w:rsidP="008076E8">
            <w:pPr>
              <w:spacing w:line="480" w:lineRule="auto"/>
              <w:jc w:val="both"/>
              <w:rPr>
                <w:lang w:val="en-US"/>
              </w:rPr>
            </w:pPr>
            <w:r w:rsidRPr="008076E8">
              <w:rPr>
                <w:b/>
                <w:bCs/>
                <w:color w:val="333333"/>
                <w:lang w:val="en-US"/>
              </w:rPr>
              <w:t>Age</w:t>
            </w:r>
          </w:p>
        </w:tc>
        <w:tc>
          <w:tcPr>
            <w:tcW w:w="1366" w:type="dxa"/>
            <w:vAlign w:val="center"/>
          </w:tcPr>
          <w:p w14:paraId="5390CB81" w14:textId="77777777" w:rsidR="00600198" w:rsidRPr="008076E8" w:rsidRDefault="00600198" w:rsidP="008076E8">
            <w:pPr>
              <w:spacing w:line="480" w:lineRule="auto"/>
              <w:jc w:val="both"/>
              <w:rPr>
                <w:lang w:val="en-US"/>
              </w:rPr>
            </w:pPr>
            <w:r w:rsidRPr="008076E8">
              <w:rPr>
                <w:b/>
                <w:bCs/>
                <w:color w:val="333333"/>
                <w:lang w:val="en-US"/>
              </w:rPr>
              <w:t>Working experience</w:t>
            </w:r>
          </w:p>
        </w:tc>
        <w:tc>
          <w:tcPr>
            <w:tcW w:w="1096" w:type="dxa"/>
            <w:vAlign w:val="center"/>
          </w:tcPr>
          <w:p w14:paraId="74DBED8D" w14:textId="77777777" w:rsidR="00600198" w:rsidRPr="008076E8" w:rsidRDefault="00600198" w:rsidP="008076E8">
            <w:pPr>
              <w:spacing w:line="480" w:lineRule="auto"/>
              <w:jc w:val="both"/>
              <w:rPr>
                <w:lang w:val="en-US"/>
              </w:rPr>
            </w:pPr>
            <w:r w:rsidRPr="008076E8">
              <w:rPr>
                <w:b/>
                <w:bCs/>
                <w:color w:val="333333"/>
                <w:lang w:val="en-US"/>
              </w:rPr>
              <w:t>Working days</w:t>
            </w:r>
          </w:p>
        </w:tc>
        <w:tc>
          <w:tcPr>
            <w:tcW w:w="1060" w:type="dxa"/>
            <w:vAlign w:val="center"/>
          </w:tcPr>
          <w:p w14:paraId="34352452" w14:textId="77777777" w:rsidR="00600198" w:rsidRPr="008076E8" w:rsidRDefault="00600198" w:rsidP="008076E8">
            <w:pPr>
              <w:spacing w:line="480" w:lineRule="auto"/>
              <w:jc w:val="both"/>
              <w:rPr>
                <w:lang w:val="en-US"/>
              </w:rPr>
            </w:pPr>
            <w:r w:rsidRPr="008076E8">
              <w:rPr>
                <w:b/>
                <w:bCs/>
                <w:color w:val="333333"/>
                <w:lang w:val="en-US"/>
              </w:rPr>
              <w:t xml:space="preserve">Daily working hours </w:t>
            </w:r>
          </w:p>
        </w:tc>
      </w:tr>
      <w:tr w:rsidR="00600198" w:rsidRPr="008076E8" w14:paraId="1E1239F0" w14:textId="77777777" w:rsidTr="008A781C">
        <w:trPr>
          <w:trHeight w:val="281"/>
        </w:trPr>
        <w:tc>
          <w:tcPr>
            <w:tcW w:w="1293" w:type="dxa"/>
            <w:vAlign w:val="center"/>
          </w:tcPr>
          <w:p w14:paraId="44F0DFB6" w14:textId="77777777" w:rsidR="00600198" w:rsidRPr="008076E8" w:rsidRDefault="00600198" w:rsidP="008076E8">
            <w:pPr>
              <w:spacing w:line="480" w:lineRule="auto"/>
              <w:jc w:val="both"/>
              <w:rPr>
                <w:vertAlign w:val="superscript"/>
                <w:lang w:val="en-US"/>
              </w:rPr>
            </w:pPr>
            <w:r w:rsidRPr="008076E8">
              <w:rPr>
                <w:color w:val="333333"/>
                <w:lang w:val="en-US"/>
              </w:rPr>
              <w:t>MIB-T</w:t>
            </w:r>
            <w:r w:rsidRPr="008076E8">
              <w:rPr>
                <w:color w:val="333333"/>
                <w:vertAlign w:val="superscript"/>
                <w:lang w:val="en-US"/>
              </w:rPr>
              <w:t>‡</w:t>
            </w:r>
          </w:p>
        </w:tc>
        <w:tc>
          <w:tcPr>
            <w:tcW w:w="1024" w:type="dxa"/>
            <w:vAlign w:val="center"/>
          </w:tcPr>
          <w:p w14:paraId="67C31C10" w14:textId="77777777" w:rsidR="00600198" w:rsidRPr="008076E8" w:rsidRDefault="00600198" w:rsidP="008076E8">
            <w:pPr>
              <w:spacing w:line="480" w:lineRule="auto"/>
              <w:jc w:val="both"/>
              <w:rPr>
                <w:lang w:val="en-US"/>
              </w:rPr>
            </w:pPr>
            <w:r w:rsidRPr="008076E8">
              <w:rPr>
                <w:color w:val="333333"/>
                <w:lang w:val="en-US"/>
              </w:rPr>
              <w:t>—</w:t>
            </w:r>
          </w:p>
        </w:tc>
        <w:tc>
          <w:tcPr>
            <w:tcW w:w="1024" w:type="dxa"/>
            <w:vAlign w:val="center"/>
          </w:tcPr>
          <w:p w14:paraId="43186E93" w14:textId="77777777" w:rsidR="00600198" w:rsidRPr="008076E8" w:rsidRDefault="00600198" w:rsidP="008076E8">
            <w:pPr>
              <w:spacing w:line="480" w:lineRule="auto"/>
              <w:jc w:val="both"/>
              <w:rPr>
                <w:lang w:val="en-US"/>
              </w:rPr>
            </w:pPr>
          </w:p>
        </w:tc>
        <w:tc>
          <w:tcPr>
            <w:tcW w:w="1024" w:type="dxa"/>
          </w:tcPr>
          <w:p w14:paraId="1B56D24C" w14:textId="77777777" w:rsidR="00600198" w:rsidRPr="008076E8" w:rsidRDefault="00600198" w:rsidP="008076E8">
            <w:pPr>
              <w:spacing w:line="480" w:lineRule="auto"/>
              <w:jc w:val="both"/>
              <w:rPr>
                <w:lang w:val="en-US"/>
              </w:rPr>
            </w:pPr>
          </w:p>
        </w:tc>
        <w:tc>
          <w:tcPr>
            <w:tcW w:w="1024" w:type="dxa"/>
          </w:tcPr>
          <w:p w14:paraId="6CCE7FBA" w14:textId="77777777" w:rsidR="00600198" w:rsidRPr="008076E8" w:rsidRDefault="00600198" w:rsidP="008076E8">
            <w:pPr>
              <w:spacing w:line="480" w:lineRule="auto"/>
              <w:jc w:val="both"/>
              <w:rPr>
                <w:lang w:val="en-US"/>
              </w:rPr>
            </w:pPr>
          </w:p>
        </w:tc>
        <w:tc>
          <w:tcPr>
            <w:tcW w:w="1024" w:type="dxa"/>
          </w:tcPr>
          <w:p w14:paraId="490705C5" w14:textId="77777777" w:rsidR="00600198" w:rsidRPr="008076E8" w:rsidRDefault="00600198" w:rsidP="008076E8">
            <w:pPr>
              <w:spacing w:line="480" w:lineRule="auto"/>
              <w:jc w:val="both"/>
              <w:rPr>
                <w:lang w:val="en-US"/>
              </w:rPr>
            </w:pPr>
          </w:p>
        </w:tc>
        <w:tc>
          <w:tcPr>
            <w:tcW w:w="1024" w:type="dxa"/>
          </w:tcPr>
          <w:p w14:paraId="2D753281" w14:textId="77777777" w:rsidR="00600198" w:rsidRPr="008076E8" w:rsidRDefault="00600198" w:rsidP="008076E8">
            <w:pPr>
              <w:spacing w:line="480" w:lineRule="auto"/>
              <w:jc w:val="both"/>
              <w:rPr>
                <w:lang w:val="en-US"/>
              </w:rPr>
            </w:pPr>
          </w:p>
        </w:tc>
        <w:tc>
          <w:tcPr>
            <w:tcW w:w="1366" w:type="dxa"/>
          </w:tcPr>
          <w:p w14:paraId="041F53D6" w14:textId="77777777" w:rsidR="00600198" w:rsidRPr="008076E8" w:rsidRDefault="00600198" w:rsidP="008076E8">
            <w:pPr>
              <w:spacing w:line="480" w:lineRule="auto"/>
              <w:jc w:val="both"/>
              <w:rPr>
                <w:lang w:val="en-US"/>
              </w:rPr>
            </w:pPr>
          </w:p>
        </w:tc>
        <w:tc>
          <w:tcPr>
            <w:tcW w:w="1096" w:type="dxa"/>
          </w:tcPr>
          <w:p w14:paraId="40DFEB78" w14:textId="77777777" w:rsidR="00600198" w:rsidRPr="008076E8" w:rsidRDefault="00600198" w:rsidP="008076E8">
            <w:pPr>
              <w:spacing w:line="480" w:lineRule="auto"/>
              <w:jc w:val="both"/>
              <w:rPr>
                <w:lang w:val="en-US"/>
              </w:rPr>
            </w:pPr>
          </w:p>
        </w:tc>
        <w:tc>
          <w:tcPr>
            <w:tcW w:w="1060" w:type="dxa"/>
          </w:tcPr>
          <w:p w14:paraId="6959334F" w14:textId="77777777" w:rsidR="00600198" w:rsidRPr="008076E8" w:rsidRDefault="00600198" w:rsidP="008076E8">
            <w:pPr>
              <w:spacing w:line="480" w:lineRule="auto"/>
              <w:jc w:val="both"/>
              <w:rPr>
                <w:lang w:val="en-US"/>
              </w:rPr>
            </w:pPr>
          </w:p>
        </w:tc>
      </w:tr>
      <w:tr w:rsidR="00600198" w:rsidRPr="008076E8" w14:paraId="5BD6FFA1" w14:textId="77777777" w:rsidTr="008A781C">
        <w:trPr>
          <w:trHeight w:val="281"/>
        </w:trPr>
        <w:tc>
          <w:tcPr>
            <w:tcW w:w="1293" w:type="dxa"/>
            <w:vAlign w:val="center"/>
          </w:tcPr>
          <w:p w14:paraId="3C4576AB" w14:textId="77777777" w:rsidR="00600198" w:rsidRPr="008076E8" w:rsidRDefault="00600198" w:rsidP="008076E8">
            <w:pPr>
              <w:spacing w:line="480" w:lineRule="auto"/>
              <w:jc w:val="both"/>
              <w:rPr>
                <w:lang w:val="en-US"/>
              </w:rPr>
            </w:pPr>
            <w:r w:rsidRPr="008076E8">
              <w:rPr>
                <w:color w:val="333333"/>
                <w:lang w:val="en-US"/>
              </w:rPr>
              <w:t>DASS-D</w:t>
            </w:r>
            <w:r w:rsidRPr="008076E8">
              <w:rPr>
                <w:color w:val="222222"/>
                <w:vertAlign w:val="superscript"/>
                <w:lang w:val="en-US"/>
              </w:rPr>
              <w:t>§</w:t>
            </w:r>
          </w:p>
        </w:tc>
        <w:tc>
          <w:tcPr>
            <w:tcW w:w="1024" w:type="dxa"/>
            <w:vAlign w:val="center"/>
          </w:tcPr>
          <w:p w14:paraId="4FE646BA" w14:textId="77777777" w:rsidR="00600198" w:rsidRPr="008076E8" w:rsidRDefault="00600198" w:rsidP="008076E8">
            <w:pPr>
              <w:spacing w:line="480" w:lineRule="auto"/>
              <w:jc w:val="both"/>
              <w:rPr>
                <w:lang w:val="en-US"/>
              </w:rPr>
            </w:pPr>
            <w:r w:rsidRPr="008076E8">
              <w:rPr>
                <w:color w:val="333333"/>
                <w:lang w:val="en-US"/>
              </w:rPr>
              <w:t>0.529***</w:t>
            </w:r>
          </w:p>
        </w:tc>
        <w:tc>
          <w:tcPr>
            <w:tcW w:w="1024" w:type="dxa"/>
            <w:vAlign w:val="center"/>
          </w:tcPr>
          <w:p w14:paraId="503427C9" w14:textId="77777777" w:rsidR="00600198" w:rsidRPr="008076E8" w:rsidRDefault="00600198" w:rsidP="008076E8">
            <w:pPr>
              <w:spacing w:line="480" w:lineRule="auto"/>
              <w:jc w:val="both"/>
              <w:rPr>
                <w:lang w:val="en-US"/>
              </w:rPr>
            </w:pPr>
            <w:r w:rsidRPr="008076E8">
              <w:rPr>
                <w:color w:val="333333"/>
                <w:lang w:val="en-US"/>
              </w:rPr>
              <w:t>—</w:t>
            </w:r>
          </w:p>
        </w:tc>
        <w:tc>
          <w:tcPr>
            <w:tcW w:w="1024" w:type="dxa"/>
            <w:vAlign w:val="center"/>
          </w:tcPr>
          <w:p w14:paraId="7BE7182B" w14:textId="77777777" w:rsidR="00600198" w:rsidRPr="008076E8" w:rsidRDefault="00600198" w:rsidP="008076E8">
            <w:pPr>
              <w:spacing w:line="480" w:lineRule="auto"/>
              <w:jc w:val="both"/>
              <w:rPr>
                <w:lang w:val="en-US"/>
              </w:rPr>
            </w:pPr>
          </w:p>
        </w:tc>
        <w:tc>
          <w:tcPr>
            <w:tcW w:w="1024" w:type="dxa"/>
          </w:tcPr>
          <w:p w14:paraId="6B9714C4" w14:textId="77777777" w:rsidR="00600198" w:rsidRPr="008076E8" w:rsidRDefault="00600198" w:rsidP="008076E8">
            <w:pPr>
              <w:spacing w:line="480" w:lineRule="auto"/>
              <w:jc w:val="both"/>
              <w:rPr>
                <w:lang w:val="en-US"/>
              </w:rPr>
            </w:pPr>
          </w:p>
        </w:tc>
        <w:tc>
          <w:tcPr>
            <w:tcW w:w="1024" w:type="dxa"/>
          </w:tcPr>
          <w:p w14:paraId="1E0499D1" w14:textId="77777777" w:rsidR="00600198" w:rsidRPr="008076E8" w:rsidRDefault="00600198" w:rsidP="008076E8">
            <w:pPr>
              <w:spacing w:line="480" w:lineRule="auto"/>
              <w:jc w:val="both"/>
              <w:rPr>
                <w:lang w:val="en-US"/>
              </w:rPr>
            </w:pPr>
          </w:p>
        </w:tc>
        <w:tc>
          <w:tcPr>
            <w:tcW w:w="1024" w:type="dxa"/>
          </w:tcPr>
          <w:p w14:paraId="318DAF15" w14:textId="77777777" w:rsidR="00600198" w:rsidRPr="008076E8" w:rsidRDefault="00600198" w:rsidP="008076E8">
            <w:pPr>
              <w:spacing w:line="480" w:lineRule="auto"/>
              <w:jc w:val="both"/>
              <w:rPr>
                <w:lang w:val="en-US"/>
              </w:rPr>
            </w:pPr>
          </w:p>
        </w:tc>
        <w:tc>
          <w:tcPr>
            <w:tcW w:w="1366" w:type="dxa"/>
          </w:tcPr>
          <w:p w14:paraId="23828F66" w14:textId="77777777" w:rsidR="00600198" w:rsidRPr="008076E8" w:rsidRDefault="00600198" w:rsidP="008076E8">
            <w:pPr>
              <w:spacing w:line="480" w:lineRule="auto"/>
              <w:jc w:val="both"/>
              <w:rPr>
                <w:lang w:val="en-US"/>
              </w:rPr>
            </w:pPr>
          </w:p>
        </w:tc>
        <w:tc>
          <w:tcPr>
            <w:tcW w:w="1096" w:type="dxa"/>
          </w:tcPr>
          <w:p w14:paraId="62C3FC91" w14:textId="77777777" w:rsidR="00600198" w:rsidRPr="008076E8" w:rsidRDefault="00600198" w:rsidP="008076E8">
            <w:pPr>
              <w:spacing w:line="480" w:lineRule="auto"/>
              <w:jc w:val="both"/>
              <w:rPr>
                <w:lang w:val="en-US"/>
              </w:rPr>
            </w:pPr>
          </w:p>
        </w:tc>
        <w:tc>
          <w:tcPr>
            <w:tcW w:w="1060" w:type="dxa"/>
          </w:tcPr>
          <w:p w14:paraId="13BD2F94" w14:textId="77777777" w:rsidR="00600198" w:rsidRPr="008076E8" w:rsidRDefault="00600198" w:rsidP="008076E8">
            <w:pPr>
              <w:spacing w:line="480" w:lineRule="auto"/>
              <w:jc w:val="both"/>
              <w:rPr>
                <w:lang w:val="en-US"/>
              </w:rPr>
            </w:pPr>
          </w:p>
        </w:tc>
      </w:tr>
      <w:tr w:rsidR="00600198" w:rsidRPr="008076E8" w14:paraId="0C807FB9" w14:textId="77777777" w:rsidTr="008A781C">
        <w:trPr>
          <w:trHeight w:val="265"/>
        </w:trPr>
        <w:tc>
          <w:tcPr>
            <w:tcW w:w="1293" w:type="dxa"/>
            <w:vAlign w:val="center"/>
          </w:tcPr>
          <w:p w14:paraId="6219AC89" w14:textId="77777777" w:rsidR="00600198" w:rsidRPr="008076E8" w:rsidRDefault="00600198" w:rsidP="008076E8">
            <w:pPr>
              <w:spacing w:line="480" w:lineRule="auto"/>
              <w:jc w:val="both"/>
              <w:rPr>
                <w:lang w:val="en-US"/>
              </w:rPr>
            </w:pPr>
            <w:r w:rsidRPr="008076E8">
              <w:rPr>
                <w:color w:val="333333"/>
                <w:lang w:val="en-US"/>
              </w:rPr>
              <w:t>DASS-A</w:t>
            </w:r>
          </w:p>
        </w:tc>
        <w:tc>
          <w:tcPr>
            <w:tcW w:w="1024" w:type="dxa"/>
            <w:vAlign w:val="center"/>
          </w:tcPr>
          <w:p w14:paraId="0DFCF6F0" w14:textId="77777777" w:rsidR="00600198" w:rsidRPr="008076E8" w:rsidRDefault="00600198" w:rsidP="008076E8">
            <w:pPr>
              <w:spacing w:line="480" w:lineRule="auto"/>
              <w:jc w:val="both"/>
              <w:rPr>
                <w:lang w:val="en-US"/>
              </w:rPr>
            </w:pPr>
            <w:r w:rsidRPr="008076E8">
              <w:rPr>
                <w:color w:val="333333"/>
                <w:lang w:val="en-US"/>
              </w:rPr>
              <w:t>0.459***</w:t>
            </w:r>
          </w:p>
        </w:tc>
        <w:tc>
          <w:tcPr>
            <w:tcW w:w="1024" w:type="dxa"/>
            <w:vAlign w:val="center"/>
          </w:tcPr>
          <w:p w14:paraId="3C9A0FA2" w14:textId="77777777" w:rsidR="00600198" w:rsidRPr="008076E8" w:rsidRDefault="00600198" w:rsidP="008076E8">
            <w:pPr>
              <w:spacing w:line="480" w:lineRule="auto"/>
              <w:jc w:val="both"/>
              <w:rPr>
                <w:lang w:val="en-US"/>
              </w:rPr>
            </w:pPr>
            <w:r w:rsidRPr="008076E8">
              <w:rPr>
                <w:color w:val="333333"/>
                <w:lang w:val="en-US"/>
              </w:rPr>
              <w:t>0.762***</w:t>
            </w:r>
          </w:p>
        </w:tc>
        <w:tc>
          <w:tcPr>
            <w:tcW w:w="1024" w:type="dxa"/>
            <w:vAlign w:val="center"/>
          </w:tcPr>
          <w:p w14:paraId="7D568766" w14:textId="77777777" w:rsidR="00600198" w:rsidRPr="008076E8" w:rsidRDefault="00600198" w:rsidP="008076E8">
            <w:pPr>
              <w:spacing w:line="480" w:lineRule="auto"/>
              <w:jc w:val="both"/>
              <w:rPr>
                <w:lang w:val="en-US"/>
              </w:rPr>
            </w:pPr>
            <w:r w:rsidRPr="008076E8">
              <w:rPr>
                <w:color w:val="333333"/>
                <w:lang w:val="en-US"/>
              </w:rPr>
              <w:t>—</w:t>
            </w:r>
          </w:p>
        </w:tc>
        <w:tc>
          <w:tcPr>
            <w:tcW w:w="1024" w:type="dxa"/>
            <w:vAlign w:val="center"/>
          </w:tcPr>
          <w:p w14:paraId="7B95542E" w14:textId="77777777" w:rsidR="00600198" w:rsidRPr="008076E8" w:rsidRDefault="00600198" w:rsidP="008076E8">
            <w:pPr>
              <w:spacing w:line="480" w:lineRule="auto"/>
              <w:jc w:val="both"/>
              <w:rPr>
                <w:lang w:val="en-US"/>
              </w:rPr>
            </w:pPr>
          </w:p>
        </w:tc>
        <w:tc>
          <w:tcPr>
            <w:tcW w:w="1024" w:type="dxa"/>
          </w:tcPr>
          <w:p w14:paraId="2ACB59EE" w14:textId="77777777" w:rsidR="00600198" w:rsidRPr="008076E8" w:rsidRDefault="00600198" w:rsidP="008076E8">
            <w:pPr>
              <w:spacing w:line="480" w:lineRule="auto"/>
              <w:jc w:val="both"/>
              <w:rPr>
                <w:lang w:val="en-US"/>
              </w:rPr>
            </w:pPr>
          </w:p>
        </w:tc>
        <w:tc>
          <w:tcPr>
            <w:tcW w:w="1024" w:type="dxa"/>
          </w:tcPr>
          <w:p w14:paraId="5645C49E" w14:textId="77777777" w:rsidR="00600198" w:rsidRPr="008076E8" w:rsidRDefault="00600198" w:rsidP="008076E8">
            <w:pPr>
              <w:spacing w:line="480" w:lineRule="auto"/>
              <w:jc w:val="both"/>
              <w:rPr>
                <w:lang w:val="en-US"/>
              </w:rPr>
            </w:pPr>
          </w:p>
        </w:tc>
        <w:tc>
          <w:tcPr>
            <w:tcW w:w="1366" w:type="dxa"/>
          </w:tcPr>
          <w:p w14:paraId="4D94D457" w14:textId="77777777" w:rsidR="00600198" w:rsidRPr="008076E8" w:rsidRDefault="00600198" w:rsidP="008076E8">
            <w:pPr>
              <w:spacing w:line="480" w:lineRule="auto"/>
              <w:jc w:val="both"/>
              <w:rPr>
                <w:lang w:val="en-US"/>
              </w:rPr>
            </w:pPr>
          </w:p>
        </w:tc>
        <w:tc>
          <w:tcPr>
            <w:tcW w:w="1096" w:type="dxa"/>
          </w:tcPr>
          <w:p w14:paraId="61A2D982" w14:textId="77777777" w:rsidR="00600198" w:rsidRPr="008076E8" w:rsidRDefault="00600198" w:rsidP="008076E8">
            <w:pPr>
              <w:spacing w:line="480" w:lineRule="auto"/>
              <w:jc w:val="both"/>
              <w:rPr>
                <w:lang w:val="en-US"/>
              </w:rPr>
            </w:pPr>
          </w:p>
        </w:tc>
        <w:tc>
          <w:tcPr>
            <w:tcW w:w="1060" w:type="dxa"/>
          </w:tcPr>
          <w:p w14:paraId="3F7F2A24" w14:textId="77777777" w:rsidR="00600198" w:rsidRPr="008076E8" w:rsidRDefault="00600198" w:rsidP="008076E8">
            <w:pPr>
              <w:spacing w:line="480" w:lineRule="auto"/>
              <w:jc w:val="both"/>
              <w:rPr>
                <w:lang w:val="en-US"/>
              </w:rPr>
            </w:pPr>
          </w:p>
        </w:tc>
      </w:tr>
      <w:tr w:rsidR="00600198" w:rsidRPr="008076E8" w14:paraId="35666B00" w14:textId="77777777" w:rsidTr="008A781C">
        <w:trPr>
          <w:trHeight w:val="281"/>
        </w:trPr>
        <w:tc>
          <w:tcPr>
            <w:tcW w:w="1293" w:type="dxa"/>
            <w:vAlign w:val="center"/>
          </w:tcPr>
          <w:p w14:paraId="38B08B1D" w14:textId="77777777" w:rsidR="00600198" w:rsidRPr="008076E8" w:rsidRDefault="00600198" w:rsidP="008076E8">
            <w:pPr>
              <w:spacing w:line="480" w:lineRule="auto"/>
              <w:jc w:val="both"/>
              <w:rPr>
                <w:lang w:val="en-US"/>
              </w:rPr>
            </w:pPr>
            <w:r w:rsidRPr="008076E8">
              <w:rPr>
                <w:color w:val="333333"/>
                <w:lang w:val="en-US"/>
              </w:rPr>
              <w:t>DASS-St</w:t>
            </w:r>
          </w:p>
        </w:tc>
        <w:tc>
          <w:tcPr>
            <w:tcW w:w="1024" w:type="dxa"/>
            <w:vAlign w:val="center"/>
          </w:tcPr>
          <w:p w14:paraId="67D5A622" w14:textId="77777777" w:rsidR="00600198" w:rsidRPr="008076E8" w:rsidRDefault="00600198" w:rsidP="008076E8">
            <w:pPr>
              <w:spacing w:line="480" w:lineRule="auto"/>
              <w:jc w:val="both"/>
              <w:rPr>
                <w:lang w:val="en-US"/>
              </w:rPr>
            </w:pPr>
            <w:r w:rsidRPr="008076E8">
              <w:rPr>
                <w:color w:val="333333"/>
                <w:lang w:val="en-US"/>
              </w:rPr>
              <w:t>0.556***</w:t>
            </w:r>
          </w:p>
        </w:tc>
        <w:tc>
          <w:tcPr>
            <w:tcW w:w="1024" w:type="dxa"/>
            <w:vAlign w:val="center"/>
          </w:tcPr>
          <w:p w14:paraId="0A5354F3" w14:textId="77777777" w:rsidR="00600198" w:rsidRPr="008076E8" w:rsidRDefault="00600198" w:rsidP="008076E8">
            <w:pPr>
              <w:spacing w:line="480" w:lineRule="auto"/>
              <w:jc w:val="both"/>
              <w:rPr>
                <w:lang w:val="en-US"/>
              </w:rPr>
            </w:pPr>
            <w:r w:rsidRPr="008076E8">
              <w:rPr>
                <w:color w:val="333333"/>
                <w:lang w:val="en-US"/>
              </w:rPr>
              <w:t>0.855***</w:t>
            </w:r>
          </w:p>
        </w:tc>
        <w:tc>
          <w:tcPr>
            <w:tcW w:w="1024" w:type="dxa"/>
            <w:vAlign w:val="center"/>
          </w:tcPr>
          <w:p w14:paraId="39EEA5A6" w14:textId="77777777" w:rsidR="00600198" w:rsidRPr="008076E8" w:rsidRDefault="00600198" w:rsidP="008076E8">
            <w:pPr>
              <w:spacing w:line="480" w:lineRule="auto"/>
              <w:jc w:val="both"/>
              <w:rPr>
                <w:lang w:val="en-US"/>
              </w:rPr>
            </w:pPr>
            <w:r w:rsidRPr="008076E8">
              <w:rPr>
                <w:color w:val="333333"/>
                <w:lang w:val="en-US"/>
              </w:rPr>
              <w:t>0.769***</w:t>
            </w:r>
          </w:p>
        </w:tc>
        <w:tc>
          <w:tcPr>
            <w:tcW w:w="1024" w:type="dxa"/>
            <w:vAlign w:val="center"/>
          </w:tcPr>
          <w:p w14:paraId="1355B410" w14:textId="77777777" w:rsidR="00600198" w:rsidRPr="008076E8" w:rsidRDefault="00600198" w:rsidP="008076E8">
            <w:pPr>
              <w:spacing w:line="480" w:lineRule="auto"/>
              <w:jc w:val="both"/>
              <w:rPr>
                <w:lang w:val="en-US"/>
              </w:rPr>
            </w:pPr>
            <w:r w:rsidRPr="008076E8">
              <w:rPr>
                <w:color w:val="333333"/>
                <w:lang w:val="en-US"/>
              </w:rPr>
              <w:t>—</w:t>
            </w:r>
          </w:p>
        </w:tc>
        <w:tc>
          <w:tcPr>
            <w:tcW w:w="1024" w:type="dxa"/>
            <w:vAlign w:val="center"/>
          </w:tcPr>
          <w:p w14:paraId="59E98CB9" w14:textId="77777777" w:rsidR="00600198" w:rsidRPr="008076E8" w:rsidRDefault="00600198" w:rsidP="008076E8">
            <w:pPr>
              <w:spacing w:line="480" w:lineRule="auto"/>
              <w:jc w:val="both"/>
              <w:rPr>
                <w:lang w:val="en-US"/>
              </w:rPr>
            </w:pPr>
          </w:p>
        </w:tc>
        <w:tc>
          <w:tcPr>
            <w:tcW w:w="1024" w:type="dxa"/>
          </w:tcPr>
          <w:p w14:paraId="6FC876E9" w14:textId="77777777" w:rsidR="00600198" w:rsidRPr="008076E8" w:rsidRDefault="00600198" w:rsidP="008076E8">
            <w:pPr>
              <w:spacing w:line="480" w:lineRule="auto"/>
              <w:jc w:val="both"/>
              <w:rPr>
                <w:lang w:val="en-US"/>
              </w:rPr>
            </w:pPr>
          </w:p>
        </w:tc>
        <w:tc>
          <w:tcPr>
            <w:tcW w:w="1366" w:type="dxa"/>
          </w:tcPr>
          <w:p w14:paraId="7886C373" w14:textId="77777777" w:rsidR="00600198" w:rsidRPr="008076E8" w:rsidRDefault="00600198" w:rsidP="008076E8">
            <w:pPr>
              <w:spacing w:line="480" w:lineRule="auto"/>
              <w:jc w:val="both"/>
              <w:rPr>
                <w:lang w:val="en-US"/>
              </w:rPr>
            </w:pPr>
          </w:p>
        </w:tc>
        <w:tc>
          <w:tcPr>
            <w:tcW w:w="1096" w:type="dxa"/>
          </w:tcPr>
          <w:p w14:paraId="650507E3" w14:textId="77777777" w:rsidR="00600198" w:rsidRPr="008076E8" w:rsidRDefault="00600198" w:rsidP="008076E8">
            <w:pPr>
              <w:spacing w:line="480" w:lineRule="auto"/>
              <w:jc w:val="both"/>
              <w:rPr>
                <w:lang w:val="en-US"/>
              </w:rPr>
            </w:pPr>
          </w:p>
        </w:tc>
        <w:tc>
          <w:tcPr>
            <w:tcW w:w="1060" w:type="dxa"/>
          </w:tcPr>
          <w:p w14:paraId="0D0C8C13" w14:textId="77777777" w:rsidR="00600198" w:rsidRPr="008076E8" w:rsidRDefault="00600198" w:rsidP="008076E8">
            <w:pPr>
              <w:spacing w:line="480" w:lineRule="auto"/>
              <w:jc w:val="both"/>
              <w:rPr>
                <w:lang w:val="en-US"/>
              </w:rPr>
            </w:pPr>
          </w:p>
        </w:tc>
      </w:tr>
      <w:tr w:rsidR="00600198" w:rsidRPr="008076E8" w14:paraId="598A3AAD" w14:textId="77777777" w:rsidTr="008A781C">
        <w:trPr>
          <w:trHeight w:val="265"/>
        </w:trPr>
        <w:tc>
          <w:tcPr>
            <w:tcW w:w="1293" w:type="dxa"/>
            <w:vAlign w:val="center"/>
          </w:tcPr>
          <w:p w14:paraId="3523BE62" w14:textId="77777777" w:rsidR="00600198" w:rsidRPr="008076E8" w:rsidRDefault="00600198" w:rsidP="008076E8">
            <w:pPr>
              <w:spacing w:line="480" w:lineRule="auto"/>
              <w:jc w:val="both"/>
              <w:rPr>
                <w:lang w:val="en-US"/>
              </w:rPr>
            </w:pPr>
            <w:r w:rsidRPr="008076E8">
              <w:rPr>
                <w:color w:val="333333"/>
                <w:lang w:val="en-US"/>
              </w:rPr>
              <w:t>AAQ-II</w:t>
            </w:r>
            <w:r w:rsidRPr="008076E8">
              <w:rPr>
                <w:color w:val="222222"/>
                <w:vertAlign w:val="superscript"/>
                <w:lang w:val="en-US"/>
              </w:rPr>
              <w:t>¶</w:t>
            </w:r>
          </w:p>
        </w:tc>
        <w:tc>
          <w:tcPr>
            <w:tcW w:w="1024" w:type="dxa"/>
            <w:vAlign w:val="center"/>
          </w:tcPr>
          <w:p w14:paraId="374B9835" w14:textId="77777777" w:rsidR="00600198" w:rsidRPr="008076E8" w:rsidRDefault="00600198" w:rsidP="008076E8">
            <w:pPr>
              <w:spacing w:line="480" w:lineRule="auto"/>
              <w:jc w:val="both"/>
              <w:rPr>
                <w:lang w:val="en-US"/>
              </w:rPr>
            </w:pPr>
            <w:r w:rsidRPr="008076E8">
              <w:rPr>
                <w:color w:val="333333"/>
                <w:lang w:val="en-US"/>
              </w:rPr>
              <w:t>0.507***</w:t>
            </w:r>
          </w:p>
        </w:tc>
        <w:tc>
          <w:tcPr>
            <w:tcW w:w="1024" w:type="dxa"/>
            <w:vAlign w:val="center"/>
          </w:tcPr>
          <w:p w14:paraId="6A1B0497" w14:textId="77777777" w:rsidR="00600198" w:rsidRPr="008076E8" w:rsidRDefault="00600198" w:rsidP="008076E8">
            <w:pPr>
              <w:spacing w:line="480" w:lineRule="auto"/>
              <w:jc w:val="both"/>
              <w:rPr>
                <w:lang w:val="en-US"/>
              </w:rPr>
            </w:pPr>
            <w:r w:rsidRPr="008076E8">
              <w:rPr>
                <w:color w:val="333333"/>
                <w:lang w:val="en-US"/>
              </w:rPr>
              <w:t>0.610***</w:t>
            </w:r>
          </w:p>
        </w:tc>
        <w:tc>
          <w:tcPr>
            <w:tcW w:w="1024" w:type="dxa"/>
            <w:vAlign w:val="center"/>
          </w:tcPr>
          <w:p w14:paraId="298BFECE" w14:textId="77777777" w:rsidR="00600198" w:rsidRPr="008076E8" w:rsidRDefault="00600198" w:rsidP="008076E8">
            <w:pPr>
              <w:spacing w:line="480" w:lineRule="auto"/>
              <w:jc w:val="both"/>
              <w:rPr>
                <w:lang w:val="en-US"/>
              </w:rPr>
            </w:pPr>
            <w:r w:rsidRPr="008076E8">
              <w:rPr>
                <w:color w:val="333333"/>
                <w:lang w:val="en-US"/>
              </w:rPr>
              <w:t>0.608***</w:t>
            </w:r>
          </w:p>
        </w:tc>
        <w:tc>
          <w:tcPr>
            <w:tcW w:w="1024" w:type="dxa"/>
            <w:vAlign w:val="center"/>
          </w:tcPr>
          <w:p w14:paraId="7ABAF887" w14:textId="77777777" w:rsidR="00600198" w:rsidRPr="008076E8" w:rsidRDefault="00600198" w:rsidP="008076E8">
            <w:pPr>
              <w:spacing w:line="480" w:lineRule="auto"/>
              <w:jc w:val="both"/>
              <w:rPr>
                <w:lang w:val="en-US"/>
              </w:rPr>
            </w:pPr>
            <w:r w:rsidRPr="008076E8">
              <w:rPr>
                <w:color w:val="333333"/>
                <w:lang w:val="en-US"/>
              </w:rPr>
              <w:t>0.627***</w:t>
            </w:r>
          </w:p>
        </w:tc>
        <w:tc>
          <w:tcPr>
            <w:tcW w:w="1024" w:type="dxa"/>
            <w:vAlign w:val="center"/>
          </w:tcPr>
          <w:p w14:paraId="71DD4F1F" w14:textId="77777777" w:rsidR="00600198" w:rsidRPr="008076E8" w:rsidRDefault="00600198" w:rsidP="008076E8">
            <w:pPr>
              <w:spacing w:line="480" w:lineRule="auto"/>
              <w:jc w:val="both"/>
              <w:rPr>
                <w:lang w:val="en-US"/>
              </w:rPr>
            </w:pPr>
            <w:r w:rsidRPr="008076E8">
              <w:rPr>
                <w:color w:val="333333"/>
                <w:lang w:val="en-US"/>
              </w:rPr>
              <w:t>—</w:t>
            </w:r>
          </w:p>
        </w:tc>
        <w:tc>
          <w:tcPr>
            <w:tcW w:w="1024" w:type="dxa"/>
            <w:vAlign w:val="center"/>
          </w:tcPr>
          <w:p w14:paraId="523150AC" w14:textId="77777777" w:rsidR="00600198" w:rsidRPr="008076E8" w:rsidRDefault="00600198" w:rsidP="008076E8">
            <w:pPr>
              <w:spacing w:line="480" w:lineRule="auto"/>
              <w:jc w:val="both"/>
              <w:rPr>
                <w:lang w:val="en-US"/>
              </w:rPr>
            </w:pPr>
          </w:p>
        </w:tc>
        <w:tc>
          <w:tcPr>
            <w:tcW w:w="1366" w:type="dxa"/>
          </w:tcPr>
          <w:p w14:paraId="48F0AC6D" w14:textId="77777777" w:rsidR="00600198" w:rsidRPr="008076E8" w:rsidRDefault="00600198" w:rsidP="008076E8">
            <w:pPr>
              <w:spacing w:line="480" w:lineRule="auto"/>
              <w:jc w:val="both"/>
              <w:rPr>
                <w:lang w:val="en-US"/>
              </w:rPr>
            </w:pPr>
          </w:p>
        </w:tc>
        <w:tc>
          <w:tcPr>
            <w:tcW w:w="1096" w:type="dxa"/>
          </w:tcPr>
          <w:p w14:paraId="5413B88C" w14:textId="77777777" w:rsidR="00600198" w:rsidRPr="008076E8" w:rsidRDefault="00600198" w:rsidP="008076E8">
            <w:pPr>
              <w:spacing w:line="480" w:lineRule="auto"/>
              <w:jc w:val="both"/>
              <w:rPr>
                <w:lang w:val="en-US"/>
              </w:rPr>
            </w:pPr>
          </w:p>
        </w:tc>
        <w:tc>
          <w:tcPr>
            <w:tcW w:w="1060" w:type="dxa"/>
          </w:tcPr>
          <w:p w14:paraId="139BC2BB" w14:textId="77777777" w:rsidR="00600198" w:rsidRPr="008076E8" w:rsidRDefault="00600198" w:rsidP="008076E8">
            <w:pPr>
              <w:spacing w:line="480" w:lineRule="auto"/>
              <w:jc w:val="both"/>
              <w:rPr>
                <w:lang w:val="en-US"/>
              </w:rPr>
            </w:pPr>
          </w:p>
        </w:tc>
      </w:tr>
      <w:tr w:rsidR="00600198" w:rsidRPr="008076E8" w14:paraId="54048C4D" w14:textId="77777777" w:rsidTr="008A781C">
        <w:trPr>
          <w:trHeight w:val="390"/>
        </w:trPr>
        <w:tc>
          <w:tcPr>
            <w:tcW w:w="1293" w:type="dxa"/>
            <w:vAlign w:val="center"/>
          </w:tcPr>
          <w:p w14:paraId="26F9E846" w14:textId="77777777" w:rsidR="00600198" w:rsidRPr="008076E8" w:rsidRDefault="00600198" w:rsidP="008076E8">
            <w:pPr>
              <w:spacing w:line="480" w:lineRule="auto"/>
              <w:jc w:val="both"/>
              <w:rPr>
                <w:lang w:val="en-US"/>
              </w:rPr>
            </w:pPr>
            <w:r w:rsidRPr="008076E8">
              <w:rPr>
                <w:color w:val="333333"/>
                <w:lang w:val="en-US"/>
              </w:rPr>
              <w:t>Age</w:t>
            </w:r>
          </w:p>
        </w:tc>
        <w:tc>
          <w:tcPr>
            <w:tcW w:w="1024" w:type="dxa"/>
            <w:vAlign w:val="center"/>
          </w:tcPr>
          <w:p w14:paraId="5C508EB5" w14:textId="77777777" w:rsidR="00600198" w:rsidRPr="008076E8" w:rsidRDefault="00600198" w:rsidP="008076E8">
            <w:pPr>
              <w:spacing w:line="480" w:lineRule="auto"/>
              <w:jc w:val="both"/>
              <w:rPr>
                <w:lang w:val="en-US"/>
              </w:rPr>
            </w:pPr>
            <w:r w:rsidRPr="008076E8">
              <w:rPr>
                <w:color w:val="333333"/>
                <w:lang w:val="en-US"/>
              </w:rPr>
              <w:t>-0.220***</w:t>
            </w:r>
          </w:p>
        </w:tc>
        <w:tc>
          <w:tcPr>
            <w:tcW w:w="1024" w:type="dxa"/>
            <w:vAlign w:val="center"/>
          </w:tcPr>
          <w:p w14:paraId="197FA852" w14:textId="77777777" w:rsidR="00600198" w:rsidRPr="008076E8" w:rsidRDefault="00600198" w:rsidP="008076E8">
            <w:pPr>
              <w:spacing w:line="480" w:lineRule="auto"/>
              <w:jc w:val="both"/>
              <w:rPr>
                <w:lang w:val="en-US"/>
              </w:rPr>
            </w:pPr>
            <w:r w:rsidRPr="008076E8">
              <w:rPr>
                <w:color w:val="333333"/>
                <w:lang w:val="en-US"/>
              </w:rPr>
              <w:t>-0.185**</w:t>
            </w:r>
          </w:p>
        </w:tc>
        <w:tc>
          <w:tcPr>
            <w:tcW w:w="1024" w:type="dxa"/>
            <w:vAlign w:val="center"/>
          </w:tcPr>
          <w:p w14:paraId="51692136" w14:textId="77777777" w:rsidR="00600198" w:rsidRPr="008076E8" w:rsidRDefault="00600198" w:rsidP="008076E8">
            <w:pPr>
              <w:spacing w:line="480" w:lineRule="auto"/>
              <w:jc w:val="both"/>
              <w:rPr>
                <w:lang w:val="en-US"/>
              </w:rPr>
            </w:pPr>
            <w:r w:rsidRPr="008076E8">
              <w:rPr>
                <w:color w:val="333333"/>
                <w:lang w:val="en-US"/>
              </w:rPr>
              <w:t>-0.196**</w:t>
            </w:r>
          </w:p>
        </w:tc>
        <w:tc>
          <w:tcPr>
            <w:tcW w:w="1024" w:type="dxa"/>
            <w:vAlign w:val="center"/>
          </w:tcPr>
          <w:p w14:paraId="492C0323" w14:textId="77777777" w:rsidR="00600198" w:rsidRPr="008076E8" w:rsidRDefault="00600198" w:rsidP="008076E8">
            <w:pPr>
              <w:spacing w:line="480" w:lineRule="auto"/>
              <w:jc w:val="both"/>
              <w:rPr>
                <w:lang w:val="en-US"/>
              </w:rPr>
            </w:pPr>
            <w:r w:rsidRPr="008076E8">
              <w:rPr>
                <w:color w:val="333333"/>
                <w:lang w:val="en-US"/>
              </w:rPr>
              <w:t>-0.234***</w:t>
            </w:r>
          </w:p>
        </w:tc>
        <w:tc>
          <w:tcPr>
            <w:tcW w:w="1024" w:type="dxa"/>
            <w:vAlign w:val="center"/>
          </w:tcPr>
          <w:p w14:paraId="38812C7C" w14:textId="77777777" w:rsidR="00600198" w:rsidRPr="008076E8" w:rsidRDefault="00600198" w:rsidP="008076E8">
            <w:pPr>
              <w:spacing w:line="480" w:lineRule="auto"/>
              <w:jc w:val="both"/>
              <w:rPr>
                <w:lang w:val="en-US"/>
              </w:rPr>
            </w:pPr>
            <w:r w:rsidRPr="008076E8">
              <w:rPr>
                <w:color w:val="333333"/>
                <w:lang w:val="en-US"/>
              </w:rPr>
              <w:t>-0.216***</w:t>
            </w:r>
          </w:p>
        </w:tc>
        <w:tc>
          <w:tcPr>
            <w:tcW w:w="1024" w:type="dxa"/>
            <w:vAlign w:val="center"/>
          </w:tcPr>
          <w:p w14:paraId="4E94518F" w14:textId="77777777" w:rsidR="00600198" w:rsidRPr="008076E8" w:rsidRDefault="00600198" w:rsidP="008076E8">
            <w:pPr>
              <w:spacing w:line="480" w:lineRule="auto"/>
              <w:jc w:val="both"/>
              <w:rPr>
                <w:lang w:val="en-US"/>
              </w:rPr>
            </w:pPr>
            <w:r w:rsidRPr="008076E8">
              <w:rPr>
                <w:color w:val="333333"/>
                <w:lang w:val="en-US"/>
              </w:rPr>
              <w:t>—</w:t>
            </w:r>
          </w:p>
        </w:tc>
        <w:tc>
          <w:tcPr>
            <w:tcW w:w="1366" w:type="dxa"/>
            <w:vAlign w:val="center"/>
          </w:tcPr>
          <w:p w14:paraId="2B09C3DA" w14:textId="77777777" w:rsidR="00600198" w:rsidRPr="008076E8" w:rsidRDefault="00600198" w:rsidP="008076E8">
            <w:pPr>
              <w:spacing w:line="480" w:lineRule="auto"/>
              <w:jc w:val="both"/>
              <w:rPr>
                <w:lang w:val="en-US"/>
              </w:rPr>
            </w:pPr>
          </w:p>
        </w:tc>
        <w:tc>
          <w:tcPr>
            <w:tcW w:w="1096" w:type="dxa"/>
          </w:tcPr>
          <w:p w14:paraId="30AB4110" w14:textId="77777777" w:rsidR="00600198" w:rsidRPr="008076E8" w:rsidRDefault="00600198" w:rsidP="008076E8">
            <w:pPr>
              <w:spacing w:line="480" w:lineRule="auto"/>
              <w:jc w:val="both"/>
              <w:rPr>
                <w:lang w:val="en-US"/>
              </w:rPr>
            </w:pPr>
          </w:p>
        </w:tc>
        <w:tc>
          <w:tcPr>
            <w:tcW w:w="1060" w:type="dxa"/>
          </w:tcPr>
          <w:p w14:paraId="34EBC580" w14:textId="77777777" w:rsidR="00600198" w:rsidRPr="008076E8" w:rsidRDefault="00600198" w:rsidP="008076E8">
            <w:pPr>
              <w:spacing w:line="480" w:lineRule="auto"/>
              <w:jc w:val="both"/>
              <w:rPr>
                <w:lang w:val="en-US"/>
              </w:rPr>
            </w:pPr>
          </w:p>
        </w:tc>
      </w:tr>
      <w:tr w:rsidR="00600198" w:rsidRPr="008076E8" w14:paraId="62749CDE" w14:textId="77777777" w:rsidTr="008A781C">
        <w:trPr>
          <w:trHeight w:val="374"/>
        </w:trPr>
        <w:tc>
          <w:tcPr>
            <w:tcW w:w="1293" w:type="dxa"/>
            <w:vAlign w:val="center"/>
          </w:tcPr>
          <w:p w14:paraId="4D8746C8" w14:textId="77777777" w:rsidR="00600198" w:rsidRPr="008076E8" w:rsidRDefault="00600198" w:rsidP="008076E8">
            <w:pPr>
              <w:spacing w:line="480" w:lineRule="auto"/>
              <w:jc w:val="both"/>
              <w:rPr>
                <w:lang w:val="en-US"/>
              </w:rPr>
            </w:pPr>
            <w:r w:rsidRPr="008076E8">
              <w:rPr>
                <w:color w:val="333333"/>
                <w:lang w:val="en-US"/>
              </w:rPr>
              <w:t>Years of experience</w:t>
            </w:r>
          </w:p>
        </w:tc>
        <w:tc>
          <w:tcPr>
            <w:tcW w:w="1024" w:type="dxa"/>
            <w:vAlign w:val="center"/>
          </w:tcPr>
          <w:p w14:paraId="59B33435" w14:textId="77777777" w:rsidR="00600198" w:rsidRPr="008076E8" w:rsidRDefault="00600198" w:rsidP="008076E8">
            <w:pPr>
              <w:spacing w:line="480" w:lineRule="auto"/>
              <w:jc w:val="both"/>
              <w:rPr>
                <w:lang w:val="en-US"/>
              </w:rPr>
            </w:pPr>
            <w:r w:rsidRPr="008076E8">
              <w:rPr>
                <w:color w:val="333333"/>
                <w:lang w:val="en-US"/>
              </w:rPr>
              <w:t>-0.260***</w:t>
            </w:r>
          </w:p>
        </w:tc>
        <w:tc>
          <w:tcPr>
            <w:tcW w:w="1024" w:type="dxa"/>
            <w:vAlign w:val="center"/>
          </w:tcPr>
          <w:p w14:paraId="4AE6AF05" w14:textId="77777777" w:rsidR="00600198" w:rsidRPr="008076E8" w:rsidRDefault="00600198" w:rsidP="008076E8">
            <w:pPr>
              <w:spacing w:line="480" w:lineRule="auto"/>
              <w:jc w:val="both"/>
              <w:rPr>
                <w:lang w:val="en-US"/>
              </w:rPr>
            </w:pPr>
            <w:r w:rsidRPr="008076E8">
              <w:rPr>
                <w:color w:val="333333"/>
                <w:lang w:val="en-US"/>
              </w:rPr>
              <w:t>-0.178**</w:t>
            </w:r>
          </w:p>
        </w:tc>
        <w:tc>
          <w:tcPr>
            <w:tcW w:w="1024" w:type="dxa"/>
            <w:vAlign w:val="center"/>
          </w:tcPr>
          <w:p w14:paraId="0ED51D86" w14:textId="77777777" w:rsidR="00600198" w:rsidRPr="008076E8" w:rsidRDefault="00600198" w:rsidP="008076E8">
            <w:pPr>
              <w:spacing w:line="480" w:lineRule="auto"/>
              <w:jc w:val="both"/>
              <w:rPr>
                <w:lang w:val="en-US"/>
              </w:rPr>
            </w:pPr>
            <w:r w:rsidRPr="008076E8">
              <w:rPr>
                <w:color w:val="333333"/>
                <w:lang w:val="en-US"/>
              </w:rPr>
              <w:t>-0.210***</w:t>
            </w:r>
          </w:p>
        </w:tc>
        <w:tc>
          <w:tcPr>
            <w:tcW w:w="1024" w:type="dxa"/>
            <w:vAlign w:val="center"/>
          </w:tcPr>
          <w:p w14:paraId="20DA54D4" w14:textId="77777777" w:rsidR="00600198" w:rsidRPr="008076E8" w:rsidRDefault="00600198" w:rsidP="008076E8">
            <w:pPr>
              <w:spacing w:line="480" w:lineRule="auto"/>
              <w:jc w:val="both"/>
              <w:rPr>
                <w:lang w:val="en-US"/>
              </w:rPr>
            </w:pPr>
            <w:r w:rsidRPr="008076E8">
              <w:rPr>
                <w:color w:val="333333"/>
                <w:lang w:val="en-US"/>
              </w:rPr>
              <w:t>-0.232***</w:t>
            </w:r>
          </w:p>
        </w:tc>
        <w:tc>
          <w:tcPr>
            <w:tcW w:w="1024" w:type="dxa"/>
            <w:vAlign w:val="center"/>
          </w:tcPr>
          <w:p w14:paraId="72F516DD" w14:textId="77777777" w:rsidR="00600198" w:rsidRPr="008076E8" w:rsidRDefault="00600198" w:rsidP="008076E8">
            <w:pPr>
              <w:spacing w:line="480" w:lineRule="auto"/>
              <w:jc w:val="both"/>
              <w:rPr>
                <w:lang w:val="en-US"/>
              </w:rPr>
            </w:pPr>
            <w:r w:rsidRPr="008076E8">
              <w:rPr>
                <w:color w:val="333333"/>
                <w:lang w:val="en-US"/>
              </w:rPr>
              <w:t>-0.247***</w:t>
            </w:r>
          </w:p>
        </w:tc>
        <w:tc>
          <w:tcPr>
            <w:tcW w:w="1024" w:type="dxa"/>
            <w:vAlign w:val="center"/>
          </w:tcPr>
          <w:p w14:paraId="3F7B11EC" w14:textId="77777777" w:rsidR="00600198" w:rsidRPr="008076E8" w:rsidRDefault="00600198" w:rsidP="008076E8">
            <w:pPr>
              <w:spacing w:line="480" w:lineRule="auto"/>
              <w:jc w:val="both"/>
              <w:rPr>
                <w:lang w:val="en-US"/>
              </w:rPr>
            </w:pPr>
            <w:r w:rsidRPr="008076E8">
              <w:rPr>
                <w:color w:val="333333"/>
                <w:lang w:val="en-US"/>
              </w:rPr>
              <w:t>0.867***</w:t>
            </w:r>
          </w:p>
        </w:tc>
        <w:tc>
          <w:tcPr>
            <w:tcW w:w="1366" w:type="dxa"/>
            <w:vAlign w:val="center"/>
          </w:tcPr>
          <w:p w14:paraId="6F6B6B77" w14:textId="77777777" w:rsidR="00600198" w:rsidRPr="008076E8" w:rsidRDefault="00600198" w:rsidP="008076E8">
            <w:pPr>
              <w:spacing w:line="480" w:lineRule="auto"/>
              <w:jc w:val="both"/>
              <w:rPr>
                <w:lang w:val="en-US"/>
              </w:rPr>
            </w:pPr>
            <w:r w:rsidRPr="008076E8">
              <w:rPr>
                <w:color w:val="333333"/>
                <w:lang w:val="en-US"/>
              </w:rPr>
              <w:t>—</w:t>
            </w:r>
          </w:p>
        </w:tc>
        <w:tc>
          <w:tcPr>
            <w:tcW w:w="1096" w:type="dxa"/>
            <w:vAlign w:val="center"/>
          </w:tcPr>
          <w:p w14:paraId="0706A12E" w14:textId="77777777" w:rsidR="00600198" w:rsidRPr="008076E8" w:rsidRDefault="00600198" w:rsidP="008076E8">
            <w:pPr>
              <w:spacing w:line="480" w:lineRule="auto"/>
              <w:jc w:val="both"/>
              <w:rPr>
                <w:lang w:val="en-US"/>
              </w:rPr>
            </w:pPr>
          </w:p>
        </w:tc>
        <w:tc>
          <w:tcPr>
            <w:tcW w:w="1060" w:type="dxa"/>
          </w:tcPr>
          <w:p w14:paraId="24621962" w14:textId="77777777" w:rsidR="00600198" w:rsidRPr="008076E8" w:rsidRDefault="00600198" w:rsidP="008076E8">
            <w:pPr>
              <w:spacing w:line="480" w:lineRule="auto"/>
              <w:jc w:val="both"/>
              <w:rPr>
                <w:lang w:val="en-US"/>
              </w:rPr>
            </w:pPr>
          </w:p>
        </w:tc>
      </w:tr>
      <w:tr w:rsidR="00600198" w:rsidRPr="008076E8" w14:paraId="5BD6EC92" w14:textId="77777777" w:rsidTr="008A781C">
        <w:trPr>
          <w:trHeight w:val="374"/>
        </w:trPr>
        <w:tc>
          <w:tcPr>
            <w:tcW w:w="1293" w:type="dxa"/>
            <w:vAlign w:val="center"/>
          </w:tcPr>
          <w:p w14:paraId="2EB2C971" w14:textId="77777777" w:rsidR="00600198" w:rsidRPr="008076E8" w:rsidRDefault="00600198" w:rsidP="008076E8">
            <w:pPr>
              <w:spacing w:line="480" w:lineRule="auto"/>
              <w:jc w:val="both"/>
              <w:rPr>
                <w:color w:val="333333"/>
                <w:lang w:val="en-US"/>
              </w:rPr>
            </w:pPr>
            <w:r w:rsidRPr="008076E8">
              <w:rPr>
                <w:color w:val="333333"/>
                <w:lang w:val="en-US"/>
              </w:rPr>
              <w:t>Working days</w:t>
            </w:r>
          </w:p>
        </w:tc>
        <w:tc>
          <w:tcPr>
            <w:tcW w:w="1024" w:type="dxa"/>
            <w:vAlign w:val="center"/>
          </w:tcPr>
          <w:p w14:paraId="1BE6B0E5" w14:textId="77777777" w:rsidR="00600198" w:rsidRPr="008076E8" w:rsidRDefault="00600198" w:rsidP="008076E8">
            <w:pPr>
              <w:spacing w:line="480" w:lineRule="auto"/>
              <w:jc w:val="both"/>
              <w:rPr>
                <w:lang w:val="en-US"/>
              </w:rPr>
            </w:pPr>
            <w:r w:rsidRPr="008076E8">
              <w:rPr>
                <w:color w:val="333333"/>
                <w:lang w:val="en-US"/>
              </w:rPr>
              <w:t>-0.082</w:t>
            </w:r>
          </w:p>
        </w:tc>
        <w:tc>
          <w:tcPr>
            <w:tcW w:w="1024" w:type="dxa"/>
            <w:vAlign w:val="center"/>
          </w:tcPr>
          <w:p w14:paraId="7C1D078C" w14:textId="77777777" w:rsidR="00600198" w:rsidRPr="008076E8" w:rsidRDefault="00600198" w:rsidP="008076E8">
            <w:pPr>
              <w:spacing w:line="480" w:lineRule="auto"/>
              <w:jc w:val="both"/>
              <w:rPr>
                <w:lang w:val="en-US"/>
              </w:rPr>
            </w:pPr>
            <w:r w:rsidRPr="008076E8">
              <w:rPr>
                <w:color w:val="333333"/>
                <w:lang w:val="en-US"/>
              </w:rPr>
              <w:t>-0.066</w:t>
            </w:r>
          </w:p>
        </w:tc>
        <w:tc>
          <w:tcPr>
            <w:tcW w:w="1024" w:type="dxa"/>
            <w:vAlign w:val="center"/>
          </w:tcPr>
          <w:p w14:paraId="00B77535" w14:textId="77777777" w:rsidR="00600198" w:rsidRPr="008076E8" w:rsidRDefault="00600198" w:rsidP="008076E8">
            <w:pPr>
              <w:spacing w:line="480" w:lineRule="auto"/>
              <w:jc w:val="both"/>
              <w:rPr>
                <w:lang w:val="en-US"/>
              </w:rPr>
            </w:pPr>
            <w:r w:rsidRPr="008076E8">
              <w:rPr>
                <w:color w:val="333333"/>
                <w:lang w:val="en-US"/>
              </w:rPr>
              <w:t>-0.079</w:t>
            </w:r>
          </w:p>
        </w:tc>
        <w:tc>
          <w:tcPr>
            <w:tcW w:w="1024" w:type="dxa"/>
            <w:vAlign w:val="center"/>
          </w:tcPr>
          <w:p w14:paraId="191822BC" w14:textId="77777777" w:rsidR="00600198" w:rsidRPr="008076E8" w:rsidRDefault="00600198" w:rsidP="008076E8">
            <w:pPr>
              <w:spacing w:line="480" w:lineRule="auto"/>
              <w:jc w:val="both"/>
              <w:rPr>
                <w:lang w:val="en-US"/>
              </w:rPr>
            </w:pPr>
            <w:r w:rsidRPr="008076E8">
              <w:rPr>
                <w:color w:val="333333"/>
                <w:lang w:val="en-US"/>
              </w:rPr>
              <w:t>-0.088</w:t>
            </w:r>
          </w:p>
        </w:tc>
        <w:tc>
          <w:tcPr>
            <w:tcW w:w="1024" w:type="dxa"/>
            <w:vAlign w:val="center"/>
          </w:tcPr>
          <w:p w14:paraId="4DF94DC7" w14:textId="77777777" w:rsidR="00600198" w:rsidRPr="008076E8" w:rsidRDefault="00600198" w:rsidP="008076E8">
            <w:pPr>
              <w:spacing w:line="480" w:lineRule="auto"/>
              <w:jc w:val="both"/>
              <w:rPr>
                <w:lang w:val="en-US"/>
              </w:rPr>
            </w:pPr>
            <w:r w:rsidRPr="008076E8">
              <w:rPr>
                <w:color w:val="333333"/>
                <w:lang w:val="en-US"/>
              </w:rPr>
              <w:t>-0.101</w:t>
            </w:r>
          </w:p>
        </w:tc>
        <w:tc>
          <w:tcPr>
            <w:tcW w:w="1024" w:type="dxa"/>
            <w:vAlign w:val="center"/>
          </w:tcPr>
          <w:p w14:paraId="7029BB92" w14:textId="77777777" w:rsidR="00600198" w:rsidRPr="008076E8" w:rsidRDefault="00600198" w:rsidP="008076E8">
            <w:pPr>
              <w:spacing w:line="480" w:lineRule="auto"/>
              <w:jc w:val="both"/>
              <w:rPr>
                <w:lang w:val="en-US"/>
              </w:rPr>
            </w:pPr>
            <w:r w:rsidRPr="008076E8">
              <w:rPr>
                <w:color w:val="333333"/>
                <w:lang w:val="en-US"/>
              </w:rPr>
              <w:t>0.288***</w:t>
            </w:r>
          </w:p>
        </w:tc>
        <w:tc>
          <w:tcPr>
            <w:tcW w:w="1366" w:type="dxa"/>
            <w:vAlign w:val="center"/>
          </w:tcPr>
          <w:p w14:paraId="0C0DC455" w14:textId="77777777" w:rsidR="00600198" w:rsidRPr="008076E8" w:rsidRDefault="00600198" w:rsidP="008076E8">
            <w:pPr>
              <w:spacing w:line="480" w:lineRule="auto"/>
              <w:jc w:val="both"/>
              <w:rPr>
                <w:lang w:val="en-US"/>
              </w:rPr>
            </w:pPr>
            <w:r w:rsidRPr="008076E8">
              <w:rPr>
                <w:color w:val="333333"/>
                <w:lang w:val="en-US"/>
              </w:rPr>
              <w:t>0.276***</w:t>
            </w:r>
          </w:p>
        </w:tc>
        <w:tc>
          <w:tcPr>
            <w:tcW w:w="1096" w:type="dxa"/>
            <w:vAlign w:val="center"/>
          </w:tcPr>
          <w:p w14:paraId="0731A0C3" w14:textId="77777777" w:rsidR="00600198" w:rsidRPr="008076E8" w:rsidRDefault="00600198" w:rsidP="008076E8">
            <w:pPr>
              <w:spacing w:line="480" w:lineRule="auto"/>
              <w:jc w:val="both"/>
              <w:rPr>
                <w:lang w:val="en-US"/>
              </w:rPr>
            </w:pPr>
            <w:r w:rsidRPr="008076E8">
              <w:rPr>
                <w:color w:val="333333"/>
                <w:lang w:val="en-US"/>
              </w:rPr>
              <w:t>—</w:t>
            </w:r>
          </w:p>
        </w:tc>
        <w:tc>
          <w:tcPr>
            <w:tcW w:w="1060" w:type="dxa"/>
            <w:vAlign w:val="center"/>
          </w:tcPr>
          <w:p w14:paraId="15F10EF1" w14:textId="77777777" w:rsidR="00600198" w:rsidRPr="008076E8" w:rsidRDefault="00600198" w:rsidP="008076E8">
            <w:pPr>
              <w:spacing w:line="480" w:lineRule="auto"/>
              <w:jc w:val="both"/>
              <w:rPr>
                <w:lang w:val="en-US"/>
              </w:rPr>
            </w:pPr>
          </w:p>
        </w:tc>
      </w:tr>
      <w:tr w:rsidR="00600198" w:rsidRPr="008076E8" w14:paraId="2BE97F0F" w14:textId="77777777" w:rsidTr="008A781C">
        <w:trPr>
          <w:trHeight w:val="562"/>
        </w:trPr>
        <w:tc>
          <w:tcPr>
            <w:tcW w:w="1293" w:type="dxa"/>
            <w:vAlign w:val="center"/>
          </w:tcPr>
          <w:p w14:paraId="5F3E7FA5" w14:textId="77777777" w:rsidR="00600198" w:rsidRPr="008076E8" w:rsidRDefault="00600198" w:rsidP="008076E8">
            <w:pPr>
              <w:spacing w:line="480" w:lineRule="auto"/>
              <w:jc w:val="both"/>
              <w:rPr>
                <w:color w:val="333333"/>
                <w:lang w:val="en-US"/>
              </w:rPr>
            </w:pPr>
            <w:r w:rsidRPr="008076E8">
              <w:rPr>
                <w:color w:val="333333"/>
                <w:lang w:val="en-US"/>
              </w:rPr>
              <w:t>Daily working hours</w:t>
            </w:r>
          </w:p>
        </w:tc>
        <w:tc>
          <w:tcPr>
            <w:tcW w:w="1024" w:type="dxa"/>
            <w:vAlign w:val="center"/>
          </w:tcPr>
          <w:p w14:paraId="7BB3B847" w14:textId="77777777" w:rsidR="00600198" w:rsidRPr="008076E8" w:rsidRDefault="00600198" w:rsidP="008076E8">
            <w:pPr>
              <w:spacing w:line="480" w:lineRule="auto"/>
              <w:jc w:val="both"/>
              <w:rPr>
                <w:lang w:val="en-US"/>
              </w:rPr>
            </w:pPr>
            <w:r w:rsidRPr="008076E8">
              <w:rPr>
                <w:color w:val="333333"/>
                <w:lang w:val="en-US"/>
              </w:rPr>
              <w:t>0.274***</w:t>
            </w:r>
          </w:p>
        </w:tc>
        <w:tc>
          <w:tcPr>
            <w:tcW w:w="1024" w:type="dxa"/>
            <w:vAlign w:val="center"/>
          </w:tcPr>
          <w:p w14:paraId="38B165BE" w14:textId="77777777" w:rsidR="00600198" w:rsidRPr="008076E8" w:rsidRDefault="00600198" w:rsidP="008076E8">
            <w:pPr>
              <w:spacing w:line="480" w:lineRule="auto"/>
              <w:jc w:val="both"/>
              <w:rPr>
                <w:lang w:val="en-US"/>
              </w:rPr>
            </w:pPr>
            <w:r w:rsidRPr="008076E8">
              <w:rPr>
                <w:color w:val="333333"/>
                <w:lang w:val="en-US"/>
              </w:rPr>
              <w:t>0.177***</w:t>
            </w:r>
          </w:p>
        </w:tc>
        <w:tc>
          <w:tcPr>
            <w:tcW w:w="1024" w:type="dxa"/>
            <w:vAlign w:val="center"/>
          </w:tcPr>
          <w:p w14:paraId="0898FDDF" w14:textId="77777777" w:rsidR="00600198" w:rsidRPr="008076E8" w:rsidRDefault="00600198" w:rsidP="008076E8">
            <w:pPr>
              <w:spacing w:line="480" w:lineRule="auto"/>
              <w:jc w:val="both"/>
              <w:rPr>
                <w:lang w:val="en-US"/>
              </w:rPr>
            </w:pPr>
            <w:r w:rsidRPr="008076E8">
              <w:rPr>
                <w:color w:val="333333"/>
                <w:lang w:val="en-US"/>
              </w:rPr>
              <w:t>0.192**</w:t>
            </w:r>
          </w:p>
        </w:tc>
        <w:tc>
          <w:tcPr>
            <w:tcW w:w="1024" w:type="dxa"/>
            <w:vAlign w:val="center"/>
          </w:tcPr>
          <w:p w14:paraId="7050114D" w14:textId="77777777" w:rsidR="00600198" w:rsidRPr="008076E8" w:rsidRDefault="00600198" w:rsidP="008076E8">
            <w:pPr>
              <w:spacing w:line="480" w:lineRule="auto"/>
              <w:jc w:val="both"/>
              <w:rPr>
                <w:lang w:val="en-US"/>
              </w:rPr>
            </w:pPr>
            <w:r w:rsidRPr="008076E8">
              <w:rPr>
                <w:color w:val="333333"/>
                <w:lang w:val="en-US"/>
              </w:rPr>
              <w:t>0.226***</w:t>
            </w:r>
          </w:p>
        </w:tc>
        <w:tc>
          <w:tcPr>
            <w:tcW w:w="1024" w:type="dxa"/>
            <w:vAlign w:val="center"/>
          </w:tcPr>
          <w:p w14:paraId="4AB4A724" w14:textId="77777777" w:rsidR="00600198" w:rsidRPr="008076E8" w:rsidRDefault="00600198" w:rsidP="008076E8">
            <w:pPr>
              <w:spacing w:line="480" w:lineRule="auto"/>
              <w:jc w:val="both"/>
              <w:rPr>
                <w:lang w:val="en-US"/>
              </w:rPr>
            </w:pPr>
            <w:r w:rsidRPr="008076E8">
              <w:rPr>
                <w:color w:val="333333"/>
                <w:lang w:val="en-US"/>
              </w:rPr>
              <w:t>0.097</w:t>
            </w:r>
          </w:p>
        </w:tc>
        <w:tc>
          <w:tcPr>
            <w:tcW w:w="1024" w:type="dxa"/>
            <w:vAlign w:val="center"/>
          </w:tcPr>
          <w:p w14:paraId="0F7CE6C6" w14:textId="77777777" w:rsidR="00600198" w:rsidRPr="008076E8" w:rsidRDefault="00600198" w:rsidP="008076E8">
            <w:pPr>
              <w:spacing w:line="480" w:lineRule="auto"/>
              <w:jc w:val="both"/>
              <w:rPr>
                <w:lang w:val="en-US"/>
              </w:rPr>
            </w:pPr>
            <w:r w:rsidRPr="008076E8">
              <w:rPr>
                <w:color w:val="333333"/>
                <w:lang w:val="en-US"/>
              </w:rPr>
              <w:t>-0.447***</w:t>
            </w:r>
          </w:p>
        </w:tc>
        <w:tc>
          <w:tcPr>
            <w:tcW w:w="1366" w:type="dxa"/>
            <w:vAlign w:val="center"/>
          </w:tcPr>
          <w:p w14:paraId="45ADF379" w14:textId="77777777" w:rsidR="00600198" w:rsidRPr="008076E8" w:rsidRDefault="00600198" w:rsidP="008076E8">
            <w:pPr>
              <w:spacing w:line="480" w:lineRule="auto"/>
              <w:jc w:val="both"/>
              <w:rPr>
                <w:lang w:val="en-US"/>
              </w:rPr>
            </w:pPr>
            <w:r w:rsidRPr="008076E8">
              <w:rPr>
                <w:color w:val="333333"/>
                <w:lang w:val="en-US"/>
              </w:rPr>
              <w:t>-0.521***</w:t>
            </w:r>
          </w:p>
        </w:tc>
        <w:tc>
          <w:tcPr>
            <w:tcW w:w="1096" w:type="dxa"/>
            <w:vAlign w:val="center"/>
          </w:tcPr>
          <w:p w14:paraId="3D6255FA" w14:textId="77777777" w:rsidR="00600198" w:rsidRPr="008076E8" w:rsidRDefault="00600198" w:rsidP="008076E8">
            <w:pPr>
              <w:spacing w:line="480" w:lineRule="auto"/>
              <w:jc w:val="both"/>
              <w:rPr>
                <w:lang w:val="en-US"/>
              </w:rPr>
            </w:pPr>
            <w:r w:rsidRPr="008076E8">
              <w:rPr>
                <w:color w:val="333333"/>
                <w:lang w:val="en-US"/>
              </w:rPr>
              <w:t>-0.211***</w:t>
            </w:r>
          </w:p>
        </w:tc>
        <w:tc>
          <w:tcPr>
            <w:tcW w:w="1060" w:type="dxa"/>
            <w:vAlign w:val="center"/>
          </w:tcPr>
          <w:p w14:paraId="00893CAE" w14:textId="77777777" w:rsidR="00600198" w:rsidRPr="008076E8" w:rsidRDefault="00600198" w:rsidP="008076E8">
            <w:pPr>
              <w:spacing w:line="480" w:lineRule="auto"/>
              <w:jc w:val="both"/>
              <w:rPr>
                <w:lang w:val="en-US"/>
              </w:rPr>
            </w:pPr>
            <w:r w:rsidRPr="008076E8">
              <w:rPr>
                <w:color w:val="333333"/>
                <w:lang w:val="en-US"/>
              </w:rPr>
              <w:t>—</w:t>
            </w:r>
          </w:p>
        </w:tc>
      </w:tr>
    </w:tbl>
    <w:p w14:paraId="37BC1D7F" w14:textId="77777777" w:rsidR="00600198" w:rsidRPr="008076E8" w:rsidRDefault="00600198" w:rsidP="008076E8">
      <w:pPr>
        <w:spacing w:line="480" w:lineRule="auto"/>
        <w:jc w:val="both"/>
        <w:rPr>
          <w:sz w:val="22"/>
          <w:szCs w:val="22"/>
          <w:lang w:val="en-US"/>
        </w:rPr>
      </w:pPr>
    </w:p>
    <w:p w14:paraId="46C45536" w14:textId="7E506F15" w:rsidR="00600198" w:rsidRPr="008076E8" w:rsidRDefault="00600198" w:rsidP="008076E8">
      <w:pPr>
        <w:spacing w:line="480" w:lineRule="auto"/>
        <w:jc w:val="both"/>
        <w:rPr>
          <w:color w:val="333333"/>
          <w:sz w:val="22"/>
          <w:szCs w:val="22"/>
          <w:lang w:val="en-US"/>
        </w:rPr>
      </w:pPr>
      <w:r w:rsidRPr="008076E8">
        <w:rPr>
          <w:color w:val="333333"/>
          <w:sz w:val="22"/>
          <w:szCs w:val="22"/>
          <w:lang w:val="en-US"/>
        </w:rPr>
        <w:t>* p &lt; .05, ** p &lt; .01, *** p &lt; .001</w:t>
      </w:r>
    </w:p>
    <w:p w14:paraId="7505C019" w14:textId="5D36A0D1" w:rsidR="00600198" w:rsidRPr="008076E8" w:rsidRDefault="00600198" w:rsidP="008076E8">
      <w:pPr>
        <w:spacing w:line="480" w:lineRule="auto"/>
        <w:jc w:val="both"/>
        <w:rPr>
          <w:color w:val="333333"/>
          <w:sz w:val="22"/>
          <w:szCs w:val="22"/>
          <w:lang w:val="en-US"/>
        </w:rPr>
      </w:pPr>
      <w:r w:rsidRPr="008076E8">
        <w:rPr>
          <w:color w:val="333333"/>
          <w:sz w:val="22"/>
          <w:szCs w:val="22"/>
          <w:lang w:val="en-US"/>
        </w:rPr>
        <w:t>‡ MB</w:t>
      </w:r>
      <w:r w:rsidR="00F62897" w:rsidRPr="008076E8">
        <w:rPr>
          <w:color w:val="333333"/>
          <w:sz w:val="22"/>
          <w:szCs w:val="22"/>
          <w:lang w:val="en-US"/>
        </w:rPr>
        <w:t>I</w:t>
      </w:r>
      <w:r w:rsidRPr="008076E8">
        <w:rPr>
          <w:color w:val="333333"/>
          <w:sz w:val="22"/>
          <w:szCs w:val="22"/>
          <w:lang w:val="en-US"/>
        </w:rPr>
        <w:t xml:space="preserve">-T </w:t>
      </w:r>
      <w:r w:rsidRPr="008076E8">
        <w:rPr>
          <w:color w:val="000000" w:themeColor="text1"/>
          <w:sz w:val="22"/>
          <w:szCs w:val="22"/>
          <w:lang w:val="en-US"/>
        </w:rPr>
        <w:t xml:space="preserve">Maslach Burnout Inventory </w:t>
      </w:r>
      <w:r w:rsidRPr="008076E8">
        <w:rPr>
          <w:color w:val="333333"/>
          <w:sz w:val="22"/>
          <w:szCs w:val="22"/>
          <w:lang w:val="en-US"/>
        </w:rPr>
        <w:t>total scores</w:t>
      </w:r>
    </w:p>
    <w:p w14:paraId="78A763DC" w14:textId="76A41393" w:rsidR="00600198" w:rsidRPr="008076E8" w:rsidRDefault="00600198" w:rsidP="008076E8">
      <w:pPr>
        <w:spacing w:line="480" w:lineRule="auto"/>
        <w:jc w:val="both"/>
        <w:rPr>
          <w:color w:val="333333"/>
          <w:sz w:val="22"/>
          <w:szCs w:val="22"/>
          <w:lang w:val="en-US"/>
        </w:rPr>
      </w:pPr>
      <w:r w:rsidRPr="008076E8">
        <w:rPr>
          <w:color w:val="222222"/>
          <w:sz w:val="22"/>
          <w:szCs w:val="22"/>
          <w:lang w:val="en-US"/>
        </w:rPr>
        <w:t xml:space="preserve">§ </w:t>
      </w:r>
      <w:r w:rsidRPr="008076E8">
        <w:rPr>
          <w:color w:val="333333"/>
          <w:sz w:val="22"/>
          <w:szCs w:val="22"/>
          <w:lang w:val="en-US"/>
        </w:rPr>
        <w:t>DASS-D</w:t>
      </w:r>
      <w:r w:rsidR="00F62897" w:rsidRPr="008076E8">
        <w:rPr>
          <w:color w:val="333333"/>
          <w:sz w:val="22"/>
          <w:szCs w:val="22"/>
          <w:lang w:val="en-US"/>
        </w:rPr>
        <w:t>-</w:t>
      </w:r>
      <w:r w:rsidRPr="008076E8">
        <w:rPr>
          <w:color w:val="333333"/>
          <w:sz w:val="22"/>
          <w:szCs w:val="22"/>
          <w:lang w:val="en-US"/>
        </w:rPr>
        <w:t>A</w:t>
      </w:r>
      <w:r w:rsidR="00F62897" w:rsidRPr="008076E8">
        <w:rPr>
          <w:color w:val="333333"/>
          <w:sz w:val="22"/>
          <w:szCs w:val="22"/>
          <w:lang w:val="en-US"/>
        </w:rPr>
        <w:t>-</w:t>
      </w:r>
      <w:r w:rsidRPr="008076E8">
        <w:rPr>
          <w:color w:val="333333"/>
          <w:sz w:val="22"/>
          <w:szCs w:val="22"/>
          <w:lang w:val="en-US"/>
        </w:rPr>
        <w:t>St: D</w:t>
      </w:r>
      <w:r w:rsidR="00F62897" w:rsidRPr="008076E8">
        <w:rPr>
          <w:color w:val="333333"/>
          <w:sz w:val="22"/>
          <w:szCs w:val="22"/>
          <w:lang w:val="en-US"/>
        </w:rPr>
        <w:t xml:space="preserve">epression, </w:t>
      </w:r>
      <w:r w:rsidRPr="008076E8">
        <w:rPr>
          <w:color w:val="333333"/>
          <w:sz w:val="22"/>
          <w:szCs w:val="22"/>
          <w:lang w:val="en-US"/>
        </w:rPr>
        <w:t xml:space="preserve">Anxiety, </w:t>
      </w:r>
      <w:r w:rsidR="00F62897" w:rsidRPr="008076E8">
        <w:rPr>
          <w:color w:val="333333"/>
          <w:sz w:val="22"/>
          <w:szCs w:val="22"/>
          <w:lang w:val="en-US"/>
        </w:rPr>
        <w:t>Stress Scale-</w:t>
      </w:r>
      <w:r w:rsidRPr="008076E8">
        <w:rPr>
          <w:color w:val="333333"/>
          <w:sz w:val="22"/>
          <w:szCs w:val="22"/>
          <w:lang w:val="en-US"/>
        </w:rPr>
        <w:t>Depression</w:t>
      </w:r>
      <w:r w:rsidR="00F62897" w:rsidRPr="008076E8">
        <w:rPr>
          <w:color w:val="333333"/>
          <w:sz w:val="22"/>
          <w:szCs w:val="22"/>
          <w:lang w:val="en-US"/>
        </w:rPr>
        <w:t>-Anxiety-</w:t>
      </w:r>
      <w:r w:rsidRPr="008076E8">
        <w:rPr>
          <w:color w:val="333333"/>
          <w:sz w:val="22"/>
          <w:szCs w:val="22"/>
          <w:lang w:val="en-US"/>
        </w:rPr>
        <w:t xml:space="preserve"> Stress</w:t>
      </w:r>
    </w:p>
    <w:p w14:paraId="48AED499" w14:textId="77777777" w:rsidR="00600198" w:rsidRPr="008076E8" w:rsidRDefault="00600198" w:rsidP="008076E8">
      <w:pPr>
        <w:spacing w:line="480" w:lineRule="auto"/>
        <w:jc w:val="both"/>
        <w:rPr>
          <w:color w:val="333333"/>
          <w:sz w:val="22"/>
          <w:szCs w:val="22"/>
          <w:lang w:val="en-US"/>
        </w:rPr>
      </w:pPr>
      <w:r w:rsidRPr="008076E8">
        <w:rPr>
          <w:color w:val="222222"/>
          <w:sz w:val="22"/>
          <w:szCs w:val="22"/>
          <w:lang w:val="en-US"/>
        </w:rPr>
        <w:t xml:space="preserve">¶ </w:t>
      </w:r>
      <w:r w:rsidRPr="008076E8">
        <w:rPr>
          <w:color w:val="333333"/>
          <w:sz w:val="22"/>
          <w:szCs w:val="22"/>
          <w:lang w:val="en-US"/>
        </w:rPr>
        <w:t xml:space="preserve">AAQ-II: </w:t>
      </w:r>
      <w:r w:rsidRPr="008076E8">
        <w:rPr>
          <w:color w:val="000000" w:themeColor="text1"/>
          <w:sz w:val="22"/>
          <w:szCs w:val="22"/>
          <w:lang w:val="en-US"/>
        </w:rPr>
        <w:t>Acceptance and Action Questionnaire-II</w:t>
      </w:r>
    </w:p>
    <w:p w14:paraId="6B86BDC2" w14:textId="77777777" w:rsidR="00C67CC7" w:rsidRPr="008076E8" w:rsidRDefault="00C67CC7" w:rsidP="008076E8">
      <w:pPr>
        <w:spacing w:line="480" w:lineRule="auto"/>
        <w:jc w:val="both"/>
        <w:rPr>
          <w:b/>
          <w:bCs/>
          <w:sz w:val="22"/>
          <w:szCs w:val="22"/>
          <w:lang w:val="en-US"/>
        </w:rPr>
      </w:pPr>
    </w:p>
    <w:p w14:paraId="2071DF57" w14:textId="77777777" w:rsidR="00C67CC7" w:rsidRPr="008076E8" w:rsidRDefault="00C67CC7" w:rsidP="008076E8">
      <w:pPr>
        <w:spacing w:line="480" w:lineRule="auto"/>
        <w:jc w:val="both"/>
        <w:rPr>
          <w:b/>
          <w:bCs/>
          <w:sz w:val="22"/>
          <w:szCs w:val="22"/>
          <w:lang w:val="en-US"/>
        </w:rPr>
      </w:pPr>
    </w:p>
    <w:p w14:paraId="761EDE26" w14:textId="14393C39" w:rsidR="00600198" w:rsidRPr="008076E8" w:rsidRDefault="00600198" w:rsidP="008076E8">
      <w:pPr>
        <w:spacing w:line="480" w:lineRule="auto"/>
        <w:jc w:val="both"/>
        <w:rPr>
          <w:sz w:val="22"/>
          <w:szCs w:val="22"/>
          <w:lang w:val="en-US"/>
        </w:rPr>
      </w:pPr>
      <w:r w:rsidRPr="008076E8">
        <w:rPr>
          <w:b/>
          <w:bCs/>
          <w:sz w:val="22"/>
          <w:szCs w:val="22"/>
          <w:lang w:val="en-US"/>
        </w:rPr>
        <w:lastRenderedPageBreak/>
        <w:t>Table 4;</w:t>
      </w:r>
      <w:r w:rsidRPr="008076E8">
        <w:rPr>
          <w:sz w:val="22"/>
          <w:szCs w:val="22"/>
          <w:lang w:val="en-US"/>
        </w:rPr>
        <w:t xml:space="preserve"> Multiple regression analysis regarding the predictive effect of age, working </w:t>
      </w:r>
      <w:r w:rsidR="00F62897" w:rsidRPr="008076E8">
        <w:rPr>
          <w:sz w:val="22"/>
          <w:szCs w:val="22"/>
          <w:lang w:val="en-US"/>
        </w:rPr>
        <w:t xml:space="preserve">conditions </w:t>
      </w:r>
      <w:r w:rsidR="007A0951" w:rsidRPr="008076E8">
        <w:rPr>
          <w:sz w:val="22"/>
          <w:szCs w:val="22"/>
          <w:lang w:val="en-US"/>
        </w:rPr>
        <w:t>and,</w:t>
      </w:r>
      <w:r w:rsidRPr="008076E8">
        <w:rPr>
          <w:sz w:val="22"/>
          <w:szCs w:val="22"/>
          <w:lang w:val="en-US"/>
        </w:rPr>
        <w:t xml:space="preserve"> </w:t>
      </w:r>
      <w:r w:rsidR="007A0951" w:rsidRPr="008076E8">
        <w:rPr>
          <w:sz w:val="22"/>
          <w:szCs w:val="22"/>
          <w:lang w:val="en-US"/>
        </w:rPr>
        <w:t xml:space="preserve">psychological parameters </w:t>
      </w:r>
      <w:r w:rsidRPr="008076E8">
        <w:rPr>
          <w:sz w:val="22"/>
          <w:szCs w:val="22"/>
          <w:lang w:val="en-US"/>
        </w:rPr>
        <w:t>on Maslach Burnout Inventory</w:t>
      </w:r>
    </w:p>
    <w:p w14:paraId="193D5F94" w14:textId="77777777" w:rsidR="00600198" w:rsidRPr="008076E8" w:rsidRDefault="00600198" w:rsidP="008076E8">
      <w:pPr>
        <w:spacing w:line="480" w:lineRule="auto"/>
        <w:jc w:val="both"/>
        <w:rPr>
          <w:color w:val="333333"/>
          <w:sz w:val="22"/>
          <w:szCs w:val="22"/>
          <w:lang w:val="en-US"/>
        </w:rPr>
      </w:pPr>
    </w:p>
    <w:tbl>
      <w:tblPr>
        <w:tblStyle w:val="TabloKlavuzu"/>
        <w:tblW w:w="0" w:type="auto"/>
        <w:tblLook w:val="04A0" w:firstRow="1" w:lastRow="0" w:firstColumn="1" w:lastColumn="0" w:noHBand="0" w:noVBand="1"/>
      </w:tblPr>
      <w:tblGrid>
        <w:gridCol w:w="1509"/>
        <w:gridCol w:w="1509"/>
        <w:gridCol w:w="1509"/>
        <w:gridCol w:w="1509"/>
        <w:gridCol w:w="1510"/>
        <w:gridCol w:w="1510"/>
      </w:tblGrid>
      <w:tr w:rsidR="00600198" w:rsidRPr="008076E8" w14:paraId="4A503CCE" w14:textId="77777777" w:rsidTr="007A0951">
        <w:tc>
          <w:tcPr>
            <w:tcW w:w="1509" w:type="dxa"/>
          </w:tcPr>
          <w:p w14:paraId="62886956" w14:textId="77777777" w:rsidR="00600198" w:rsidRPr="008076E8" w:rsidRDefault="00600198" w:rsidP="008076E8">
            <w:pPr>
              <w:spacing w:line="480" w:lineRule="auto"/>
              <w:jc w:val="both"/>
              <w:rPr>
                <w:lang w:val="en-US"/>
              </w:rPr>
            </w:pPr>
            <w:r w:rsidRPr="008076E8">
              <w:rPr>
                <w:color w:val="333333"/>
                <w:lang w:val="en-US"/>
              </w:rPr>
              <w:t>Predictor</w:t>
            </w:r>
          </w:p>
        </w:tc>
        <w:tc>
          <w:tcPr>
            <w:tcW w:w="1509" w:type="dxa"/>
          </w:tcPr>
          <w:p w14:paraId="263DE767" w14:textId="77777777" w:rsidR="00600198" w:rsidRPr="008076E8" w:rsidRDefault="00600198" w:rsidP="008076E8">
            <w:pPr>
              <w:spacing w:line="480" w:lineRule="auto"/>
              <w:jc w:val="both"/>
              <w:rPr>
                <w:lang w:val="en-US"/>
              </w:rPr>
            </w:pPr>
            <w:r w:rsidRPr="008076E8">
              <w:rPr>
                <w:color w:val="333333"/>
                <w:lang w:val="en-US"/>
              </w:rPr>
              <w:t>Estimate</w:t>
            </w:r>
          </w:p>
        </w:tc>
        <w:tc>
          <w:tcPr>
            <w:tcW w:w="1509" w:type="dxa"/>
          </w:tcPr>
          <w:p w14:paraId="2FE3281F" w14:textId="77777777" w:rsidR="00600198" w:rsidRPr="008076E8" w:rsidRDefault="00600198" w:rsidP="008076E8">
            <w:pPr>
              <w:spacing w:line="480" w:lineRule="auto"/>
              <w:jc w:val="both"/>
              <w:rPr>
                <w:lang w:val="en-US"/>
              </w:rPr>
            </w:pPr>
            <w:r w:rsidRPr="008076E8">
              <w:rPr>
                <w:color w:val="333333"/>
                <w:lang w:val="en-US"/>
              </w:rPr>
              <w:t>SE</w:t>
            </w:r>
          </w:p>
        </w:tc>
        <w:tc>
          <w:tcPr>
            <w:tcW w:w="1509" w:type="dxa"/>
          </w:tcPr>
          <w:p w14:paraId="3886EE9A" w14:textId="77777777" w:rsidR="00600198" w:rsidRPr="008076E8" w:rsidRDefault="00600198" w:rsidP="008076E8">
            <w:pPr>
              <w:spacing w:line="480" w:lineRule="auto"/>
              <w:jc w:val="both"/>
              <w:rPr>
                <w:lang w:val="en-US"/>
              </w:rPr>
            </w:pPr>
            <w:r w:rsidRPr="008076E8">
              <w:rPr>
                <w:color w:val="333333"/>
                <w:lang w:val="en-US"/>
              </w:rPr>
              <w:t>t</w:t>
            </w:r>
          </w:p>
        </w:tc>
        <w:tc>
          <w:tcPr>
            <w:tcW w:w="1510" w:type="dxa"/>
          </w:tcPr>
          <w:p w14:paraId="2B7C4C69" w14:textId="77777777" w:rsidR="00600198" w:rsidRPr="008076E8" w:rsidRDefault="00600198" w:rsidP="008076E8">
            <w:pPr>
              <w:spacing w:line="480" w:lineRule="auto"/>
              <w:jc w:val="both"/>
              <w:rPr>
                <w:lang w:val="en-US"/>
              </w:rPr>
            </w:pPr>
            <w:r w:rsidRPr="008076E8">
              <w:rPr>
                <w:color w:val="333333"/>
                <w:lang w:val="en-US"/>
              </w:rPr>
              <w:t>p</w:t>
            </w:r>
          </w:p>
        </w:tc>
        <w:tc>
          <w:tcPr>
            <w:tcW w:w="1510" w:type="dxa"/>
          </w:tcPr>
          <w:p w14:paraId="5A8C100A" w14:textId="77777777" w:rsidR="00600198" w:rsidRPr="008076E8" w:rsidRDefault="00600198" w:rsidP="008076E8">
            <w:pPr>
              <w:spacing w:line="480" w:lineRule="auto"/>
              <w:jc w:val="both"/>
              <w:rPr>
                <w:lang w:val="en-US"/>
              </w:rPr>
            </w:pPr>
            <w:r w:rsidRPr="008076E8">
              <w:rPr>
                <w:color w:val="333333"/>
                <w:lang w:val="en-US"/>
              </w:rPr>
              <w:t>Stand. Estimate</w:t>
            </w:r>
          </w:p>
        </w:tc>
      </w:tr>
      <w:tr w:rsidR="007A0951" w:rsidRPr="008076E8" w14:paraId="67233FAF" w14:textId="77777777" w:rsidTr="002F07AD">
        <w:tc>
          <w:tcPr>
            <w:tcW w:w="1509" w:type="dxa"/>
          </w:tcPr>
          <w:p w14:paraId="03397744" w14:textId="77777777" w:rsidR="007A0951" w:rsidRPr="008076E8" w:rsidRDefault="007A0951" w:rsidP="008076E8">
            <w:pPr>
              <w:spacing w:line="480" w:lineRule="auto"/>
              <w:jc w:val="both"/>
              <w:rPr>
                <w:lang w:val="en-US"/>
              </w:rPr>
            </w:pPr>
            <w:r w:rsidRPr="008076E8">
              <w:rPr>
                <w:color w:val="333333"/>
                <w:lang w:val="en-US"/>
              </w:rPr>
              <w:t>Intercept</w:t>
            </w:r>
          </w:p>
        </w:tc>
        <w:tc>
          <w:tcPr>
            <w:tcW w:w="1509" w:type="dxa"/>
            <w:vAlign w:val="center"/>
          </w:tcPr>
          <w:p w14:paraId="4EA129AB" w14:textId="1EF8DD7C" w:rsidR="007A0951" w:rsidRPr="008076E8" w:rsidRDefault="007A0951" w:rsidP="008076E8">
            <w:pPr>
              <w:spacing w:line="480" w:lineRule="auto"/>
              <w:jc w:val="both"/>
              <w:rPr>
                <w:highlight w:val="yellow"/>
                <w:lang w:val="en-US"/>
              </w:rPr>
            </w:pPr>
            <w:r w:rsidRPr="008076E8">
              <w:rPr>
                <w:color w:val="333333"/>
                <w:highlight w:val="yellow"/>
              </w:rPr>
              <w:t>37.48670</w:t>
            </w:r>
          </w:p>
        </w:tc>
        <w:tc>
          <w:tcPr>
            <w:tcW w:w="1509" w:type="dxa"/>
            <w:vAlign w:val="center"/>
          </w:tcPr>
          <w:p w14:paraId="17C86748" w14:textId="0B1398EF" w:rsidR="007A0951" w:rsidRPr="008076E8" w:rsidRDefault="007A0951" w:rsidP="008076E8">
            <w:pPr>
              <w:spacing w:line="480" w:lineRule="auto"/>
              <w:jc w:val="both"/>
              <w:rPr>
                <w:highlight w:val="yellow"/>
                <w:lang w:val="en-US"/>
              </w:rPr>
            </w:pPr>
            <w:r w:rsidRPr="008076E8">
              <w:rPr>
                <w:color w:val="333333"/>
                <w:highlight w:val="yellow"/>
              </w:rPr>
              <w:t>5.3752</w:t>
            </w:r>
          </w:p>
        </w:tc>
        <w:tc>
          <w:tcPr>
            <w:tcW w:w="1509" w:type="dxa"/>
            <w:vAlign w:val="center"/>
          </w:tcPr>
          <w:p w14:paraId="7E2EFDAF" w14:textId="69D45C8A" w:rsidR="007A0951" w:rsidRPr="008076E8" w:rsidRDefault="007A0951" w:rsidP="008076E8">
            <w:pPr>
              <w:spacing w:line="480" w:lineRule="auto"/>
              <w:jc w:val="both"/>
              <w:rPr>
                <w:highlight w:val="yellow"/>
                <w:lang w:val="en-US"/>
              </w:rPr>
            </w:pPr>
            <w:r w:rsidRPr="008076E8">
              <w:rPr>
                <w:color w:val="333333"/>
                <w:highlight w:val="yellow"/>
              </w:rPr>
              <w:t>6.9740</w:t>
            </w:r>
          </w:p>
        </w:tc>
        <w:tc>
          <w:tcPr>
            <w:tcW w:w="1510" w:type="dxa"/>
            <w:vAlign w:val="center"/>
          </w:tcPr>
          <w:p w14:paraId="6BC71C2E" w14:textId="1C7026DC" w:rsidR="007A0951" w:rsidRPr="008076E8" w:rsidRDefault="007A0951" w:rsidP="008076E8">
            <w:pPr>
              <w:spacing w:line="480" w:lineRule="auto"/>
              <w:jc w:val="both"/>
              <w:rPr>
                <w:highlight w:val="yellow"/>
                <w:lang w:val="en-US"/>
              </w:rPr>
            </w:pPr>
            <w:proofErr w:type="gramStart"/>
            <w:r w:rsidRPr="008076E8">
              <w:rPr>
                <w:color w:val="333333"/>
                <w:highlight w:val="yellow"/>
              </w:rPr>
              <w:t>&lt; .</w:t>
            </w:r>
            <w:proofErr w:type="gramEnd"/>
            <w:r w:rsidRPr="008076E8">
              <w:rPr>
                <w:color w:val="333333"/>
                <w:highlight w:val="yellow"/>
              </w:rPr>
              <w:t>001</w:t>
            </w:r>
          </w:p>
        </w:tc>
        <w:tc>
          <w:tcPr>
            <w:tcW w:w="1510" w:type="dxa"/>
          </w:tcPr>
          <w:p w14:paraId="5091096B" w14:textId="77777777" w:rsidR="007A0951" w:rsidRPr="008076E8" w:rsidRDefault="007A0951" w:rsidP="008076E8">
            <w:pPr>
              <w:spacing w:line="480" w:lineRule="auto"/>
              <w:jc w:val="both"/>
              <w:rPr>
                <w:highlight w:val="yellow"/>
                <w:lang w:val="en-US"/>
              </w:rPr>
            </w:pPr>
          </w:p>
        </w:tc>
      </w:tr>
      <w:tr w:rsidR="007A0951" w:rsidRPr="008076E8" w14:paraId="7DABC0BA" w14:textId="77777777" w:rsidTr="002F07AD">
        <w:tc>
          <w:tcPr>
            <w:tcW w:w="1509" w:type="dxa"/>
          </w:tcPr>
          <w:p w14:paraId="4E4F1967" w14:textId="77777777" w:rsidR="007A0951" w:rsidRPr="008076E8" w:rsidRDefault="007A0951" w:rsidP="008076E8">
            <w:pPr>
              <w:spacing w:line="480" w:lineRule="auto"/>
              <w:jc w:val="both"/>
              <w:rPr>
                <w:lang w:val="en-US"/>
              </w:rPr>
            </w:pPr>
            <w:r w:rsidRPr="008076E8">
              <w:rPr>
                <w:color w:val="333333"/>
                <w:lang w:val="en-US"/>
              </w:rPr>
              <w:t>Working year</w:t>
            </w:r>
          </w:p>
        </w:tc>
        <w:tc>
          <w:tcPr>
            <w:tcW w:w="1509" w:type="dxa"/>
            <w:vAlign w:val="center"/>
          </w:tcPr>
          <w:p w14:paraId="4B8E75C9" w14:textId="0B93FE25" w:rsidR="007A0951" w:rsidRPr="008076E8" w:rsidRDefault="007A0951" w:rsidP="008076E8">
            <w:pPr>
              <w:spacing w:line="480" w:lineRule="auto"/>
              <w:jc w:val="both"/>
              <w:rPr>
                <w:highlight w:val="yellow"/>
                <w:lang w:val="en-US"/>
              </w:rPr>
            </w:pPr>
            <w:r w:rsidRPr="008076E8">
              <w:rPr>
                <w:color w:val="333333"/>
                <w:highlight w:val="yellow"/>
              </w:rPr>
              <w:t>-0.11920</w:t>
            </w:r>
          </w:p>
        </w:tc>
        <w:tc>
          <w:tcPr>
            <w:tcW w:w="1509" w:type="dxa"/>
            <w:vAlign w:val="center"/>
          </w:tcPr>
          <w:p w14:paraId="3349730B" w14:textId="416921F4" w:rsidR="007A0951" w:rsidRPr="008076E8" w:rsidRDefault="007A0951" w:rsidP="008076E8">
            <w:pPr>
              <w:spacing w:line="480" w:lineRule="auto"/>
              <w:jc w:val="both"/>
              <w:rPr>
                <w:highlight w:val="yellow"/>
                <w:lang w:val="en-US"/>
              </w:rPr>
            </w:pPr>
            <w:r w:rsidRPr="008076E8">
              <w:rPr>
                <w:color w:val="333333"/>
                <w:highlight w:val="yellow"/>
              </w:rPr>
              <w:t>0.1827</w:t>
            </w:r>
          </w:p>
        </w:tc>
        <w:tc>
          <w:tcPr>
            <w:tcW w:w="1509" w:type="dxa"/>
            <w:vAlign w:val="center"/>
          </w:tcPr>
          <w:p w14:paraId="23CF2A5D" w14:textId="79E36623" w:rsidR="007A0951" w:rsidRPr="008076E8" w:rsidRDefault="007A0951" w:rsidP="008076E8">
            <w:pPr>
              <w:spacing w:line="480" w:lineRule="auto"/>
              <w:jc w:val="both"/>
              <w:rPr>
                <w:highlight w:val="yellow"/>
                <w:lang w:val="en-US"/>
              </w:rPr>
            </w:pPr>
            <w:r w:rsidRPr="008076E8">
              <w:rPr>
                <w:color w:val="333333"/>
                <w:highlight w:val="yellow"/>
              </w:rPr>
              <w:t>-0.6525</w:t>
            </w:r>
          </w:p>
        </w:tc>
        <w:tc>
          <w:tcPr>
            <w:tcW w:w="1510" w:type="dxa"/>
            <w:vAlign w:val="center"/>
          </w:tcPr>
          <w:p w14:paraId="5D99028E" w14:textId="3DEE9BAE" w:rsidR="007A0951" w:rsidRPr="008076E8" w:rsidRDefault="007A0951" w:rsidP="008076E8">
            <w:pPr>
              <w:spacing w:line="480" w:lineRule="auto"/>
              <w:jc w:val="both"/>
              <w:rPr>
                <w:highlight w:val="yellow"/>
                <w:lang w:val="en-US"/>
              </w:rPr>
            </w:pPr>
            <w:r w:rsidRPr="008076E8">
              <w:rPr>
                <w:color w:val="333333"/>
                <w:highlight w:val="yellow"/>
              </w:rPr>
              <w:t>0.515</w:t>
            </w:r>
          </w:p>
        </w:tc>
        <w:tc>
          <w:tcPr>
            <w:tcW w:w="1510" w:type="dxa"/>
            <w:vAlign w:val="center"/>
          </w:tcPr>
          <w:p w14:paraId="5203FA72" w14:textId="730E9E9C" w:rsidR="007A0951" w:rsidRPr="008076E8" w:rsidRDefault="007A0951" w:rsidP="008076E8">
            <w:pPr>
              <w:spacing w:line="480" w:lineRule="auto"/>
              <w:jc w:val="both"/>
              <w:rPr>
                <w:highlight w:val="yellow"/>
                <w:lang w:val="en-US"/>
              </w:rPr>
            </w:pPr>
            <w:r w:rsidRPr="008076E8">
              <w:rPr>
                <w:color w:val="333333"/>
                <w:highlight w:val="yellow"/>
              </w:rPr>
              <w:t>-0.07587</w:t>
            </w:r>
          </w:p>
        </w:tc>
      </w:tr>
      <w:tr w:rsidR="007A0951" w:rsidRPr="008076E8" w14:paraId="6E229F2E" w14:textId="77777777" w:rsidTr="002F07AD">
        <w:tc>
          <w:tcPr>
            <w:tcW w:w="1509" w:type="dxa"/>
          </w:tcPr>
          <w:p w14:paraId="410D8D31" w14:textId="77777777" w:rsidR="007A0951" w:rsidRPr="008076E8" w:rsidRDefault="007A0951" w:rsidP="008076E8">
            <w:pPr>
              <w:spacing w:line="480" w:lineRule="auto"/>
              <w:jc w:val="both"/>
              <w:rPr>
                <w:lang w:val="en-US"/>
              </w:rPr>
            </w:pPr>
            <w:r w:rsidRPr="008076E8">
              <w:rPr>
                <w:color w:val="333333"/>
                <w:lang w:val="en-US"/>
              </w:rPr>
              <w:t>Age</w:t>
            </w:r>
          </w:p>
        </w:tc>
        <w:tc>
          <w:tcPr>
            <w:tcW w:w="1509" w:type="dxa"/>
            <w:vAlign w:val="center"/>
          </w:tcPr>
          <w:p w14:paraId="3FEE60C0" w14:textId="03DF247A" w:rsidR="007A0951" w:rsidRPr="008076E8" w:rsidRDefault="007A0951" w:rsidP="008076E8">
            <w:pPr>
              <w:spacing w:line="480" w:lineRule="auto"/>
              <w:jc w:val="both"/>
              <w:rPr>
                <w:highlight w:val="yellow"/>
                <w:lang w:val="en-US"/>
              </w:rPr>
            </w:pPr>
            <w:r w:rsidRPr="008076E8">
              <w:rPr>
                <w:color w:val="333333"/>
                <w:highlight w:val="yellow"/>
              </w:rPr>
              <w:t>-0.1302</w:t>
            </w:r>
          </w:p>
        </w:tc>
        <w:tc>
          <w:tcPr>
            <w:tcW w:w="1509" w:type="dxa"/>
            <w:vAlign w:val="center"/>
          </w:tcPr>
          <w:p w14:paraId="37027852" w14:textId="6B37DA06" w:rsidR="007A0951" w:rsidRPr="008076E8" w:rsidRDefault="007A0951" w:rsidP="008076E8">
            <w:pPr>
              <w:spacing w:line="480" w:lineRule="auto"/>
              <w:jc w:val="both"/>
              <w:rPr>
                <w:highlight w:val="yellow"/>
                <w:lang w:val="en-US"/>
              </w:rPr>
            </w:pPr>
            <w:r w:rsidRPr="008076E8">
              <w:rPr>
                <w:color w:val="333333"/>
                <w:highlight w:val="yellow"/>
              </w:rPr>
              <w:t>0.1856</w:t>
            </w:r>
          </w:p>
        </w:tc>
        <w:tc>
          <w:tcPr>
            <w:tcW w:w="1509" w:type="dxa"/>
            <w:vAlign w:val="center"/>
          </w:tcPr>
          <w:p w14:paraId="74CEC212" w14:textId="5217D092" w:rsidR="007A0951" w:rsidRPr="008076E8" w:rsidRDefault="007A0951" w:rsidP="008076E8">
            <w:pPr>
              <w:spacing w:line="480" w:lineRule="auto"/>
              <w:jc w:val="both"/>
              <w:rPr>
                <w:highlight w:val="yellow"/>
                <w:lang w:val="en-US"/>
              </w:rPr>
            </w:pPr>
            <w:r w:rsidRPr="008076E8">
              <w:rPr>
                <w:color w:val="333333"/>
                <w:highlight w:val="yellow"/>
              </w:rPr>
              <w:t>-0.701</w:t>
            </w:r>
          </w:p>
        </w:tc>
        <w:tc>
          <w:tcPr>
            <w:tcW w:w="1510" w:type="dxa"/>
            <w:vAlign w:val="center"/>
          </w:tcPr>
          <w:p w14:paraId="3AF8160A" w14:textId="2F18DA06" w:rsidR="007A0951" w:rsidRPr="008076E8" w:rsidRDefault="007A0951" w:rsidP="008076E8">
            <w:pPr>
              <w:spacing w:line="480" w:lineRule="auto"/>
              <w:jc w:val="both"/>
              <w:rPr>
                <w:highlight w:val="yellow"/>
                <w:lang w:val="en-US"/>
              </w:rPr>
            </w:pPr>
            <w:r w:rsidRPr="008076E8">
              <w:rPr>
                <w:color w:val="333333"/>
                <w:highlight w:val="yellow"/>
              </w:rPr>
              <w:t>0.484</w:t>
            </w:r>
          </w:p>
        </w:tc>
        <w:tc>
          <w:tcPr>
            <w:tcW w:w="1510" w:type="dxa"/>
            <w:vAlign w:val="center"/>
          </w:tcPr>
          <w:p w14:paraId="5A724DE1" w14:textId="5F7ABFEB" w:rsidR="007A0951" w:rsidRPr="008076E8" w:rsidRDefault="007A0951" w:rsidP="008076E8">
            <w:pPr>
              <w:spacing w:line="480" w:lineRule="auto"/>
              <w:jc w:val="both"/>
              <w:rPr>
                <w:highlight w:val="yellow"/>
                <w:lang w:val="en-US"/>
              </w:rPr>
            </w:pPr>
            <w:r w:rsidRPr="008076E8">
              <w:rPr>
                <w:color w:val="333333"/>
                <w:highlight w:val="yellow"/>
              </w:rPr>
              <w:t>-0.0944</w:t>
            </w:r>
          </w:p>
        </w:tc>
      </w:tr>
      <w:tr w:rsidR="007A0951" w:rsidRPr="008076E8" w14:paraId="73CBFC0B" w14:textId="77777777" w:rsidTr="002F07AD">
        <w:tc>
          <w:tcPr>
            <w:tcW w:w="1509" w:type="dxa"/>
          </w:tcPr>
          <w:p w14:paraId="41419DE0" w14:textId="77777777" w:rsidR="007A0951" w:rsidRPr="008076E8" w:rsidRDefault="007A0951" w:rsidP="008076E8">
            <w:pPr>
              <w:spacing w:line="480" w:lineRule="auto"/>
              <w:jc w:val="both"/>
              <w:rPr>
                <w:lang w:val="en-US"/>
              </w:rPr>
            </w:pPr>
            <w:r w:rsidRPr="008076E8">
              <w:rPr>
                <w:color w:val="333333"/>
                <w:lang w:val="en-US"/>
              </w:rPr>
              <w:t>Working Day</w:t>
            </w:r>
          </w:p>
        </w:tc>
        <w:tc>
          <w:tcPr>
            <w:tcW w:w="1509" w:type="dxa"/>
            <w:vAlign w:val="center"/>
          </w:tcPr>
          <w:p w14:paraId="0D525F16" w14:textId="3008F2B8" w:rsidR="007A0951" w:rsidRPr="008076E8" w:rsidRDefault="007A0951" w:rsidP="008076E8">
            <w:pPr>
              <w:spacing w:line="480" w:lineRule="auto"/>
              <w:jc w:val="both"/>
              <w:rPr>
                <w:highlight w:val="yellow"/>
                <w:lang w:val="en-US"/>
              </w:rPr>
            </w:pPr>
            <w:r w:rsidRPr="008076E8">
              <w:rPr>
                <w:color w:val="333333"/>
                <w:highlight w:val="yellow"/>
              </w:rPr>
              <w:t>-0.48426</w:t>
            </w:r>
          </w:p>
        </w:tc>
        <w:tc>
          <w:tcPr>
            <w:tcW w:w="1509" w:type="dxa"/>
            <w:vAlign w:val="center"/>
          </w:tcPr>
          <w:p w14:paraId="2C169820" w14:textId="0DC25440" w:rsidR="007A0951" w:rsidRPr="008076E8" w:rsidRDefault="007A0951" w:rsidP="008076E8">
            <w:pPr>
              <w:spacing w:line="480" w:lineRule="auto"/>
              <w:jc w:val="both"/>
              <w:rPr>
                <w:highlight w:val="yellow"/>
                <w:lang w:val="en-US"/>
              </w:rPr>
            </w:pPr>
            <w:r w:rsidRPr="008076E8">
              <w:rPr>
                <w:color w:val="333333"/>
                <w:highlight w:val="yellow"/>
              </w:rPr>
              <w:t>0.5907</w:t>
            </w:r>
          </w:p>
        </w:tc>
        <w:tc>
          <w:tcPr>
            <w:tcW w:w="1509" w:type="dxa"/>
            <w:vAlign w:val="center"/>
          </w:tcPr>
          <w:p w14:paraId="79D6C1E3" w14:textId="592E79F3" w:rsidR="007A0951" w:rsidRPr="008076E8" w:rsidRDefault="007A0951" w:rsidP="008076E8">
            <w:pPr>
              <w:spacing w:line="480" w:lineRule="auto"/>
              <w:jc w:val="both"/>
              <w:rPr>
                <w:highlight w:val="yellow"/>
                <w:lang w:val="en-US"/>
              </w:rPr>
            </w:pPr>
            <w:r w:rsidRPr="008076E8">
              <w:rPr>
                <w:color w:val="333333"/>
                <w:highlight w:val="yellow"/>
              </w:rPr>
              <w:t>-0.8198</w:t>
            </w:r>
          </w:p>
        </w:tc>
        <w:tc>
          <w:tcPr>
            <w:tcW w:w="1510" w:type="dxa"/>
            <w:vAlign w:val="center"/>
          </w:tcPr>
          <w:p w14:paraId="3ED91F7F" w14:textId="6F94C2EE" w:rsidR="007A0951" w:rsidRPr="008076E8" w:rsidRDefault="007A0951" w:rsidP="008076E8">
            <w:pPr>
              <w:spacing w:line="480" w:lineRule="auto"/>
              <w:jc w:val="both"/>
              <w:rPr>
                <w:highlight w:val="yellow"/>
                <w:lang w:val="en-US"/>
              </w:rPr>
            </w:pPr>
            <w:r w:rsidRPr="008076E8">
              <w:rPr>
                <w:color w:val="333333"/>
                <w:highlight w:val="yellow"/>
              </w:rPr>
              <w:t>0.413</w:t>
            </w:r>
          </w:p>
        </w:tc>
        <w:tc>
          <w:tcPr>
            <w:tcW w:w="1510" w:type="dxa"/>
            <w:vAlign w:val="center"/>
          </w:tcPr>
          <w:p w14:paraId="2A9A12B2" w14:textId="376B16A8" w:rsidR="007A0951" w:rsidRPr="008076E8" w:rsidRDefault="007A0951" w:rsidP="008076E8">
            <w:pPr>
              <w:spacing w:line="480" w:lineRule="auto"/>
              <w:jc w:val="both"/>
              <w:rPr>
                <w:highlight w:val="yellow"/>
                <w:lang w:val="en-US"/>
              </w:rPr>
            </w:pPr>
            <w:r w:rsidRPr="008076E8">
              <w:rPr>
                <w:color w:val="333333"/>
                <w:highlight w:val="yellow"/>
              </w:rPr>
              <w:t>-0.04280</w:t>
            </w:r>
          </w:p>
        </w:tc>
      </w:tr>
      <w:tr w:rsidR="007A0951" w:rsidRPr="008076E8" w14:paraId="7F950941" w14:textId="77777777" w:rsidTr="002F07AD">
        <w:tc>
          <w:tcPr>
            <w:tcW w:w="1509" w:type="dxa"/>
          </w:tcPr>
          <w:p w14:paraId="739139D7" w14:textId="77777777" w:rsidR="007A0951" w:rsidRPr="008076E8" w:rsidRDefault="007A0951" w:rsidP="008076E8">
            <w:pPr>
              <w:spacing w:line="480" w:lineRule="auto"/>
              <w:jc w:val="both"/>
              <w:rPr>
                <w:lang w:val="en-US"/>
              </w:rPr>
            </w:pPr>
            <w:r w:rsidRPr="008076E8">
              <w:rPr>
                <w:color w:val="333333"/>
                <w:lang w:val="en-US"/>
              </w:rPr>
              <w:t>Working hour</w:t>
            </w:r>
          </w:p>
        </w:tc>
        <w:tc>
          <w:tcPr>
            <w:tcW w:w="1509" w:type="dxa"/>
            <w:vAlign w:val="center"/>
          </w:tcPr>
          <w:p w14:paraId="2564D316" w14:textId="53E83EC9" w:rsidR="007A0951" w:rsidRPr="008076E8" w:rsidRDefault="007A0951" w:rsidP="008076E8">
            <w:pPr>
              <w:spacing w:line="480" w:lineRule="auto"/>
              <w:jc w:val="both"/>
              <w:rPr>
                <w:highlight w:val="yellow"/>
                <w:lang w:val="en-US"/>
              </w:rPr>
            </w:pPr>
            <w:r w:rsidRPr="008076E8">
              <w:rPr>
                <w:color w:val="333333"/>
                <w:highlight w:val="yellow"/>
              </w:rPr>
              <w:t>0.13665</w:t>
            </w:r>
          </w:p>
        </w:tc>
        <w:tc>
          <w:tcPr>
            <w:tcW w:w="1509" w:type="dxa"/>
            <w:vAlign w:val="center"/>
          </w:tcPr>
          <w:p w14:paraId="2802AEB6" w14:textId="35C9853B" w:rsidR="007A0951" w:rsidRPr="008076E8" w:rsidRDefault="007A0951" w:rsidP="008076E8">
            <w:pPr>
              <w:spacing w:line="480" w:lineRule="auto"/>
              <w:jc w:val="both"/>
              <w:rPr>
                <w:highlight w:val="yellow"/>
                <w:lang w:val="en-US"/>
              </w:rPr>
            </w:pPr>
            <w:r w:rsidRPr="008076E8">
              <w:rPr>
                <w:color w:val="333333"/>
                <w:highlight w:val="yellow"/>
              </w:rPr>
              <w:t>0.0557</w:t>
            </w:r>
          </w:p>
        </w:tc>
        <w:tc>
          <w:tcPr>
            <w:tcW w:w="1509" w:type="dxa"/>
            <w:vAlign w:val="center"/>
          </w:tcPr>
          <w:p w14:paraId="09F54D0B" w14:textId="6AAFA53D" w:rsidR="007A0951" w:rsidRPr="008076E8" w:rsidRDefault="007A0951" w:rsidP="008076E8">
            <w:pPr>
              <w:spacing w:line="480" w:lineRule="auto"/>
              <w:jc w:val="both"/>
              <w:rPr>
                <w:highlight w:val="yellow"/>
                <w:lang w:val="en-US"/>
              </w:rPr>
            </w:pPr>
            <w:r w:rsidRPr="008076E8">
              <w:rPr>
                <w:color w:val="333333"/>
                <w:highlight w:val="yellow"/>
              </w:rPr>
              <w:t>2.4543</w:t>
            </w:r>
          </w:p>
        </w:tc>
        <w:tc>
          <w:tcPr>
            <w:tcW w:w="1510" w:type="dxa"/>
            <w:vAlign w:val="center"/>
          </w:tcPr>
          <w:p w14:paraId="22995911" w14:textId="60A94FDA" w:rsidR="007A0951" w:rsidRPr="008076E8" w:rsidRDefault="007A0951" w:rsidP="008076E8">
            <w:pPr>
              <w:spacing w:line="480" w:lineRule="auto"/>
              <w:jc w:val="both"/>
              <w:rPr>
                <w:highlight w:val="yellow"/>
                <w:lang w:val="en-US"/>
              </w:rPr>
            </w:pPr>
            <w:r w:rsidRPr="008076E8">
              <w:rPr>
                <w:color w:val="333333"/>
                <w:highlight w:val="yellow"/>
              </w:rPr>
              <w:t>0.015</w:t>
            </w:r>
          </w:p>
        </w:tc>
        <w:tc>
          <w:tcPr>
            <w:tcW w:w="1510" w:type="dxa"/>
            <w:vAlign w:val="center"/>
          </w:tcPr>
          <w:p w14:paraId="6FFAB23F" w14:textId="1A4B9B25" w:rsidR="007A0951" w:rsidRPr="008076E8" w:rsidRDefault="007A0951" w:rsidP="008076E8">
            <w:pPr>
              <w:spacing w:line="480" w:lineRule="auto"/>
              <w:jc w:val="both"/>
              <w:rPr>
                <w:highlight w:val="yellow"/>
                <w:lang w:val="en-US"/>
              </w:rPr>
            </w:pPr>
            <w:r w:rsidRPr="008076E8">
              <w:rPr>
                <w:color w:val="333333"/>
                <w:highlight w:val="yellow"/>
              </w:rPr>
              <w:t>0.14488</w:t>
            </w:r>
          </w:p>
        </w:tc>
      </w:tr>
      <w:tr w:rsidR="007A0951" w:rsidRPr="008076E8" w14:paraId="5344AC7E" w14:textId="77777777" w:rsidTr="002F07AD">
        <w:tc>
          <w:tcPr>
            <w:tcW w:w="1509" w:type="dxa"/>
          </w:tcPr>
          <w:p w14:paraId="65BAB625" w14:textId="77777777" w:rsidR="007A0951" w:rsidRPr="008076E8" w:rsidRDefault="007A0951" w:rsidP="008076E8">
            <w:pPr>
              <w:spacing w:line="480" w:lineRule="auto"/>
              <w:jc w:val="both"/>
              <w:rPr>
                <w:highlight w:val="yellow"/>
                <w:lang w:val="en-US"/>
              </w:rPr>
            </w:pPr>
            <w:r w:rsidRPr="008076E8">
              <w:rPr>
                <w:color w:val="333333"/>
                <w:highlight w:val="yellow"/>
                <w:lang w:val="en-US"/>
              </w:rPr>
              <w:t>DASS-D</w:t>
            </w:r>
          </w:p>
        </w:tc>
        <w:tc>
          <w:tcPr>
            <w:tcW w:w="1509" w:type="dxa"/>
            <w:vAlign w:val="center"/>
          </w:tcPr>
          <w:p w14:paraId="46EA9770" w14:textId="765EF112" w:rsidR="007A0951" w:rsidRPr="008076E8" w:rsidRDefault="007A0951" w:rsidP="008076E8">
            <w:pPr>
              <w:spacing w:line="480" w:lineRule="auto"/>
              <w:jc w:val="both"/>
              <w:rPr>
                <w:highlight w:val="yellow"/>
                <w:lang w:val="en-US"/>
              </w:rPr>
            </w:pPr>
            <w:r w:rsidRPr="008076E8">
              <w:rPr>
                <w:color w:val="333333"/>
                <w:highlight w:val="yellow"/>
              </w:rPr>
              <w:t>0.61082</w:t>
            </w:r>
          </w:p>
        </w:tc>
        <w:tc>
          <w:tcPr>
            <w:tcW w:w="1509" w:type="dxa"/>
            <w:vAlign w:val="center"/>
          </w:tcPr>
          <w:p w14:paraId="30C0700A" w14:textId="6627DA6E" w:rsidR="007A0951" w:rsidRPr="008076E8" w:rsidRDefault="007A0951" w:rsidP="008076E8">
            <w:pPr>
              <w:spacing w:line="480" w:lineRule="auto"/>
              <w:jc w:val="both"/>
              <w:rPr>
                <w:highlight w:val="yellow"/>
                <w:lang w:val="en-US"/>
              </w:rPr>
            </w:pPr>
            <w:r w:rsidRPr="008076E8">
              <w:rPr>
                <w:color w:val="333333"/>
                <w:highlight w:val="yellow"/>
              </w:rPr>
              <w:t>0.3242</w:t>
            </w:r>
          </w:p>
        </w:tc>
        <w:tc>
          <w:tcPr>
            <w:tcW w:w="1509" w:type="dxa"/>
            <w:vAlign w:val="center"/>
          </w:tcPr>
          <w:p w14:paraId="61970CFE" w14:textId="423B1BE1" w:rsidR="007A0951" w:rsidRPr="008076E8" w:rsidRDefault="007A0951" w:rsidP="008076E8">
            <w:pPr>
              <w:spacing w:line="480" w:lineRule="auto"/>
              <w:jc w:val="both"/>
              <w:rPr>
                <w:highlight w:val="yellow"/>
                <w:lang w:val="en-US"/>
              </w:rPr>
            </w:pPr>
            <w:r w:rsidRPr="008076E8">
              <w:rPr>
                <w:color w:val="333333"/>
                <w:highlight w:val="yellow"/>
              </w:rPr>
              <w:t>1.8839</w:t>
            </w:r>
          </w:p>
        </w:tc>
        <w:tc>
          <w:tcPr>
            <w:tcW w:w="1510" w:type="dxa"/>
            <w:vAlign w:val="center"/>
          </w:tcPr>
          <w:p w14:paraId="7ADA528C" w14:textId="1537F92C" w:rsidR="007A0951" w:rsidRPr="008076E8" w:rsidRDefault="007A0951" w:rsidP="008076E8">
            <w:pPr>
              <w:spacing w:line="480" w:lineRule="auto"/>
              <w:jc w:val="both"/>
              <w:rPr>
                <w:highlight w:val="yellow"/>
                <w:lang w:val="en-US"/>
              </w:rPr>
            </w:pPr>
            <w:r w:rsidRPr="008076E8">
              <w:rPr>
                <w:color w:val="333333"/>
                <w:highlight w:val="yellow"/>
              </w:rPr>
              <w:t>0.061</w:t>
            </w:r>
          </w:p>
        </w:tc>
        <w:tc>
          <w:tcPr>
            <w:tcW w:w="1510" w:type="dxa"/>
            <w:vAlign w:val="center"/>
          </w:tcPr>
          <w:p w14:paraId="249DC2BE" w14:textId="43B8EC0F" w:rsidR="007A0951" w:rsidRPr="008076E8" w:rsidRDefault="007A0951" w:rsidP="008076E8">
            <w:pPr>
              <w:spacing w:line="480" w:lineRule="auto"/>
              <w:jc w:val="both"/>
              <w:rPr>
                <w:highlight w:val="yellow"/>
                <w:lang w:val="en-US"/>
              </w:rPr>
            </w:pPr>
            <w:r w:rsidRPr="008076E8">
              <w:rPr>
                <w:color w:val="333333"/>
                <w:highlight w:val="yellow"/>
              </w:rPr>
              <w:t>0.21589</w:t>
            </w:r>
          </w:p>
        </w:tc>
      </w:tr>
      <w:tr w:rsidR="007A0951" w:rsidRPr="008076E8" w14:paraId="12D95FC2" w14:textId="77777777" w:rsidTr="002F07AD">
        <w:tc>
          <w:tcPr>
            <w:tcW w:w="1509" w:type="dxa"/>
          </w:tcPr>
          <w:p w14:paraId="0C9A43D4" w14:textId="77777777" w:rsidR="007A0951" w:rsidRPr="008076E8" w:rsidRDefault="007A0951" w:rsidP="008076E8">
            <w:pPr>
              <w:spacing w:line="480" w:lineRule="auto"/>
              <w:jc w:val="both"/>
              <w:rPr>
                <w:highlight w:val="yellow"/>
                <w:lang w:val="en-US"/>
              </w:rPr>
            </w:pPr>
            <w:r w:rsidRPr="008076E8">
              <w:rPr>
                <w:color w:val="333333"/>
                <w:highlight w:val="yellow"/>
                <w:lang w:val="en-US"/>
              </w:rPr>
              <w:t>DASS-A</w:t>
            </w:r>
          </w:p>
        </w:tc>
        <w:tc>
          <w:tcPr>
            <w:tcW w:w="1509" w:type="dxa"/>
            <w:vAlign w:val="center"/>
          </w:tcPr>
          <w:p w14:paraId="1528DEA1" w14:textId="19AA85D4" w:rsidR="007A0951" w:rsidRPr="008076E8" w:rsidRDefault="007A0951" w:rsidP="008076E8">
            <w:pPr>
              <w:spacing w:line="480" w:lineRule="auto"/>
              <w:jc w:val="both"/>
              <w:rPr>
                <w:highlight w:val="yellow"/>
                <w:lang w:val="en-US"/>
              </w:rPr>
            </w:pPr>
            <w:r w:rsidRPr="008076E8">
              <w:rPr>
                <w:color w:val="333333"/>
                <w:highlight w:val="yellow"/>
              </w:rPr>
              <w:t>-0.13085</w:t>
            </w:r>
          </w:p>
        </w:tc>
        <w:tc>
          <w:tcPr>
            <w:tcW w:w="1509" w:type="dxa"/>
            <w:vAlign w:val="center"/>
          </w:tcPr>
          <w:p w14:paraId="5BF18C52" w14:textId="18E0FBCD" w:rsidR="007A0951" w:rsidRPr="008076E8" w:rsidRDefault="007A0951" w:rsidP="008076E8">
            <w:pPr>
              <w:spacing w:line="480" w:lineRule="auto"/>
              <w:jc w:val="both"/>
              <w:rPr>
                <w:highlight w:val="yellow"/>
                <w:lang w:val="en-US"/>
              </w:rPr>
            </w:pPr>
            <w:r w:rsidRPr="008076E8">
              <w:rPr>
                <w:color w:val="333333"/>
                <w:highlight w:val="yellow"/>
              </w:rPr>
              <w:t>0.2960</w:t>
            </w:r>
          </w:p>
        </w:tc>
        <w:tc>
          <w:tcPr>
            <w:tcW w:w="1509" w:type="dxa"/>
            <w:vAlign w:val="center"/>
          </w:tcPr>
          <w:p w14:paraId="5CA10AB7" w14:textId="2B1EF422" w:rsidR="007A0951" w:rsidRPr="008076E8" w:rsidRDefault="007A0951" w:rsidP="008076E8">
            <w:pPr>
              <w:spacing w:line="480" w:lineRule="auto"/>
              <w:jc w:val="both"/>
              <w:rPr>
                <w:highlight w:val="yellow"/>
                <w:lang w:val="en-US"/>
              </w:rPr>
            </w:pPr>
            <w:r w:rsidRPr="008076E8">
              <w:rPr>
                <w:color w:val="333333"/>
                <w:highlight w:val="yellow"/>
              </w:rPr>
              <w:t>-0.4421</w:t>
            </w:r>
          </w:p>
        </w:tc>
        <w:tc>
          <w:tcPr>
            <w:tcW w:w="1510" w:type="dxa"/>
            <w:vAlign w:val="center"/>
          </w:tcPr>
          <w:p w14:paraId="29250206" w14:textId="12B68D46" w:rsidR="007A0951" w:rsidRPr="008076E8" w:rsidRDefault="007A0951" w:rsidP="008076E8">
            <w:pPr>
              <w:spacing w:line="480" w:lineRule="auto"/>
              <w:jc w:val="both"/>
              <w:rPr>
                <w:highlight w:val="yellow"/>
                <w:lang w:val="en-US"/>
              </w:rPr>
            </w:pPr>
            <w:r w:rsidRPr="008076E8">
              <w:rPr>
                <w:color w:val="333333"/>
                <w:highlight w:val="yellow"/>
              </w:rPr>
              <w:t>0.659</w:t>
            </w:r>
          </w:p>
        </w:tc>
        <w:tc>
          <w:tcPr>
            <w:tcW w:w="1510" w:type="dxa"/>
            <w:vAlign w:val="center"/>
          </w:tcPr>
          <w:p w14:paraId="0BCB571B" w14:textId="7224DBA8" w:rsidR="007A0951" w:rsidRPr="008076E8" w:rsidRDefault="007A0951" w:rsidP="008076E8">
            <w:pPr>
              <w:spacing w:line="480" w:lineRule="auto"/>
              <w:jc w:val="both"/>
              <w:rPr>
                <w:highlight w:val="yellow"/>
                <w:lang w:val="en-US"/>
              </w:rPr>
            </w:pPr>
            <w:r w:rsidRPr="008076E8">
              <w:rPr>
                <w:color w:val="333333"/>
                <w:highlight w:val="yellow"/>
              </w:rPr>
              <w:t>-0.04202</w:t>
            </w:r>
          </w:p>
        </w:tc>
      </w:tr>
      <w:tr w:rsidR="007A0951" w:rsidRPr="008076E8" w14:paraId="35996BEE" w14:textId="77777777" w:rsidTr="002F07AD">
        <w:tc>
          <w:tcPr>
            <w:tcW w:w="1509" w:type="dxa"/>
          </w:tcPr>
          <w:p w14:paraId="383B4AC0" w14:textId="77777777" w:rsidR="007A0951" w:rsidRPr="008076E8" w:rsidRDefault="007A0951" w:rsidP="008076E8">
            <w:pPr>
              <w:spacing w:line="480" w:lineRule="auto"/>
              <w:jc w:val="both"/>
              <w:rPr>
                <w:highlight w:val="yellow"/>
                <w:lang w:val="en-US"/>
              </w:rPr>
            </w:pPr>
            <w:r w:rsidRPr="008076E8">
              <w:rPr>
                <w:color w:val="333333"/>
                <w:highlight w:val="yellow"/>
                <w:lang w:val="en-US"/>
              </w:rPr>
              <w:t>DASS-ST</w:t>
            </w:r>
          </w:p>
        </w:tc>
        <w:tc>
          <w:tcPr>
            <w:tcW w:w="1509" w:type="dxa"/>
            <w:vAlign w:val="center"/>
          </w:tcPr>
          <w:p w14:paraId="55AF8735" w14:textId="5B080E7C" w:rsidR="007A0951" w:rsidRPr="008076E8" w:rsidRDefault="007A0951" w:rsidP="008076E8">
            <w:pPr>
              <w:spacing w:line="480" w:lineRule="auto"/>
              <w:jc w:val="both"/>
              <w:rPr>
                <w:highlight w:val="yellow"/>
                <w:lang w:val="en-US"/>
              </w:rPr>
            </w:pPr>
            <w:r w:rsidRPr="008076E8">
              <w:rPr>
                <w:color w:val="333333"/>
                <w:highlight w:val="yellow"/>
              </w:rPr>
              <w:t>0.69531</w:t>
            </w:r>
          </w:p>
        </w:tc>
        <w:tc>
          <w:tcPr>
            <w:tcW w:w="1509" w:type="dxa"/>
            <w:vAlign w:val="center"/>
          </w:tcPr>
          <w:p w14:paraId="49E2E5D4" w14:textId="526B7258" w:rsidR="007A0951" w:rsidRPr="008076E8" w:rsidRDefault="007A0951" w:rsidP="008076E8">
            <w:pPr>
              <w:spacing w:line="480" w:lineRule="auto"/>
              <w:jc w:val="both"/>
              <w:rPr>
                <w:highlight w:val="yellow"/>
                <w:lang w:val="en-US"/>
              </w:rPr>
            </w:pPr>
            <w:r w:rsidRPr="008076E8">
              <w:rPr>
                <w:color w:val="333333"/>
                <w:highlight w:val="yellow"/>
              </w:rPr>
              <w:t>0.3266</w:t>
            </w:r>
          </w:p>
        </w:tc>
        <w:tc>
          <w:tcPr>
            <w:tcW w:w="1509" w:type="dxa"/>
            <w:vAlign w:val="center"/>
          </w:tcPr>
          <w:p w14:paraId="2097CD3C" w14:textId="573F5DCA" w:rsidR="007A0951" w:rsidRPr="008076E8" w:rsidRDefault="007A0951" w:rsidP="008076E8">
            <w:pPr>
              <w:spacing w:line="480" w:lineRule="auto"/>
              <w:jc w:val="both"/>
              <w:rPr>
                <w:highlight w:val="yellow"/>
                <w:lang w:val="en-US"/>
              </w:rPr>
            </w:pPr>
            <w:r w:rsidRPr="008076E8">
              <w:rPr>
                <w:color w:val="333333"/>
                <w:highlight w:val="yellow"/>
              </w:rPr>
              <w:t>2.1292</w:t>
            </w:r>
          </w:p>
        </w:tc>
        <w:tc>
          <w:tcPr>
            <w:tcW w:w="1510" w:type="dxa"/>
            <w:vAlign w:val="center"/>
          </w:tcPr>
          <w:p w14:paraId="7AA93AC1" w14:textId="0E0FDC1F" w:rsidR="007A0951" w:rsidRPr="008076E8" w:rsidRDefault="007A0951" w:rsidP="008076E8">
            <w:pPr>
              <w:spacing w:line="480" w:lineRule="auto"/>
              <w:jc w:val="both"/>
              <w:rPr>
                <w:highlight w:val="yellow"/>
                <w:lang w:val="en-US"/>
              </w:rPr>
            </w:pPr>
            <w:r w:rsidRPr="008076E8">
              <w:rPr>
                <w:color w:val="333333"/>
                <w:highlight w:val="yellow"/>
              </w:rPr>
              <w:t>0.034</w:t>
            </w:r>
          </w:p>
        </w:tc>
        <w:tc>
          <w:tcPr>
            <w:tcW w:w="1510" w:type="dxa"/>
            <w:vAlign w:val="center"/>
          </w:tcPr>
          <w:p w14:paraId="493FF4A6" w14:textId="5C6959BB" w:rsidR="007A0951" w:rsidRPr="008076E8" w:rsidRDefault="007A0951" w:rsidP="008076E8">
            <w:pPr>
              <w:spacing w:line="480" w:lineRule="auto"/>
              <w:jc w:val="both"/>
              <w:rPr>
                <w:highlight w:val="yellow"/>
                <w:lang w:val="en-US"/>
              </w:rPr>
            </w:pPr>
            <w:r w:rsidRPr="008076E8">
              <w:rPr>
                <w:color w:val="333333"/>
                <w:highlight w:val="yellow"/>
              </w:rPr>
              <w:t>0.24360</w:t>
            </w:r>
          </w:p>
        </w:tc>
      </w:tr>
      <w:tr w:rsidR="007A0951" w:rsidRPr="008076E8" w14:paraId="06569B4C" w14:textId="77777777" w:rsidTr="002F07AD">
        <w:tc>
          <w:tcPr>
            <w:tcW w:w="1509" w:type="dxa"/>
          </w:tcPr>
          <w:p w14:paraId="59CE6B51" w14:textId="77777777" w:rsidR="007A0951" w:rsidRPr="008076E8" w:rsidRDefault="007A0951" w:rsidP="008076E8">
            <w:pPr>
              <w:spacing w:line="480" w:lineRule="auto"/>
              <w:jc w:val="both"/>
              <w:rPr>
                <w:highlight w:val="yellow"/>
                <w:lang w:val="en-US"/>
              </w:rPr>
            </w:pPr>
            <w:r w:rsidRPr="008076E8">
              <w:rPr>
                <w:color w:val="333333"/>
                <w:highlight w:val="yellow"/>
                <w:lang w:val="en-US"/>
              </w:rPr>
              <w:t>AAQ-II</w:t>
            </w:r>
          </w:p>
        </w:tc>
        <w:tc>
          <w:tcPr>
            <w:tcW w:w="1509" w:type="dxa"/>
            <w:vAlign w:val="center"/>
          </w:tcPr>
          <w:p w14:paraId="5EF7E4CE" w14:textId="01B5BAAE" w:rsidR="007A0951" w:rsidRPr="008076E8" w:rsidRDefault="007A0951" w:rsidP="008076E8">
            <w:pPr>
              <w:spacing w:line="480" w:lineRule="auto"/>
              <w:jc w:val="both"/>
              <w:rPr>
                <w:highlight w:val="yellow"/>
                <w:lang w:val="en-US"/>
              </w:rPr>
            </w:pPr>
            <w:r w:rsidRPr="008076E8">
              <w:rPr>
                <w:color w:val="333333"/>
                <w:highlight w:val="yellow"/>
              </w:rPr>
              <w:t>0.26047</w:t>
            </w:r>
          </w:p>
        </w:tc>
        <w:tc>
          <w:tcPr>
            <w:tcW w:w="1509" w:type="dxa"/>
            <w:vAlign w:val="center"/>
          </w:tcPr>
          <w:p w14:paraId="67119FA1" w14:textId="6C2C7373" w:rsidR="007A0951" w:rsidRPr="008076E8" w:rsidRDefault="007A0951" w:rsidP="008076E8">
            <w:pPr>
              <w:spacing w:line="480" w:lineRule="auto"/>
              <w:jc w:val="both"/>
              <w:rPr>
                <w:highlight w:val="yellow"/>
                <w:lang w:val="en-US"/>
              </w:rPr>
            </w:pPr>
            <w:r w:rsidRPr="008076E8">
              <w:rPr>
                <w:color w:val="333333"/>
                <w:highlight w:val="yellow"/>
              </w:rPr>
              <w:t>0.1002</w:t>
            </w:r>
          </w:p>
        </w:tc>
        <w:tc>
          <w:tcPr>
            <w:tcW w:w="1509" w:type="dxa"/>
            <w:vAlign w:val="center"/>
          </w:tcPr>
          <w:p w14:paraId="2A25D9CD" w14:textId="0C5DDD66" w:rsidR="007A0951" w:rsidRPr="008076E8" w:rsidRDefault="007A0951" w:rsidP="008076E8">
            <w:pPr>
              <w:spacing w:line="480" w:lineRule="auto"/>
              <w:jc w:val="both"/>
              <w:rPr>
                <w:highlight w:val="yellow"/>
                <w:lang w:val="en-US"/>
              </w:rPr>
            </w:pPr>
            <w:r w:rsidRPr="008076E8">
              <w:rPr>
                <w:color w:val="333333"/>
                <w:highlight w:val="yellow"/>
              </w:rPr>
              <w:t>2.5998</w:t>
            </w:r>
          </w:p>
        </w:tc>
        <w:tc>
          <w:tcPr>
            <w:tcW w:w="1510" w:type="dxa"/>
            <w:vAlign w:val="center"/>
          </w:tcPr>
          <w:p w14:paraId="0921600C" w14:textId="6723C9AC" w:rsidR="007A0951" w:rsidRPr="008076E8" w:rsidRDefault="007A0951" w:rsidP="008076E8">
            <w:pPr>
              <w:spacing w:line="480" w:lineRule="auto"/>
              <w:jc w:val="both"/>
              <w:rPr>
                <w:highlight w:val="yellow"/>
                <w:lang w:val="en-US"/>
              </w:rPr>
            </w:pPr>
            <w:r w:rsidRPr="008076E8">
              <w:rPr>
                <w:color w:val="333333"/>
                <w:highlight w:val="yellow"/>
              </w:rPr>
              <w:t>0.010</w:t>
            </w:r>
          </w:p>
        </w:tc>
        <w:tc>
          <w:tcPr>
            <w:tcW w:w="1510" w:type="dxa"/>
            <w:vAlign w:val="center"/>
          </w:tcPr>
          <w:p w14:paraId="606E6647" w14:textId="4A5D9580" w:rsidR="007A0951" w:rsidRPr="008076E8" w:rsidRDefault="007A0951" w:rsidP="008076E8">
            <w:pPr>
              <w:spacing w:line="480" w:lineRule="auto"/>
              <w:jc w:val="both"/>
              <w:rPr>
                <w:highlight w:val="yellow"/>
                <w:lang w:val="en-US"/>
              </w:rPr>
            </w:pPr>
            <w:r w:rsidRPr="008076E8">
              <w:rPr>
                <w:color w:val="333333"/>
                <w:highlight w:val="yellow"/>
              </w:rPr>
              <w:t>0.17498</w:t>
            </w:r>
          </w:p>
        </w:tc>
      </w:tr>
    </w:tbl>
    <w:p w14:paraId="1390F1E3" w14:textId="77777777" w:rsidR="00600198" w:rsidRPr="008076E8" w:rsidRDefault="00600198" w:rsidP="008076E8">
      <w:pPr>
        <w:spacing w:line="480" w:lineRule="auto"/>
        <w:jc w:val="both"/>
        <w:rPr>
          <w:sz w:val="22"/>
          <w:szCs w:val="22"/>
          <w:lang w:val="en-US"/>
        </w:rPr>
      </w:pPr>
    </w:p>
    <w:p w14:paraId="679DEF2D" w14:textId="30ED6E69" w:rsidR="007A0951" w:rsidRPr="008076E8" w:rsidRDefault="007A0951" w:rsidP="008076E8">
      <w:pPr>
        <w:spacing w:line="480" w:lineRule="auto"/>
        <w:jc w:val="both"/>
        <w:rPr>
          <w:sz w:val="22"/>
          <w:szCs w:val="22"/>
          <w:lang w:val="en-US"/>
        </w:rPr>
      </w:pPr>
      <w:r w:rsidRPr="008076E8">
        <w:rPr>
          <w:color w:val="0D0D0D" w:themeColor="text1" w:themeTint="F2"/>
          <w:sz w:val="22"/>
          <w:szCs w:val="22"/>
        </w:rPr>
        <w:t>R=0.612 R</w:t>
      </w:r>
      <w:r w:rsidRPr="008076E8">
        <w:rPr>
          <w:color w:val="0D0D0D" w:themeColor="text1" w:themeTint="F2"/>
          <w:sz w:val="22"/>
          <w:szCs w:val="22"/>
          <w:vertAlign w:val="superscript"/>
        </w:rPr>
        <w:t>2</w:t>
      </w:r>
      <w:r w:rsidRPr="008076E8">
        <w:rPr>
          <w:color w:val="0D0D0D" w:themeColor="text1" w:themeTint="F2"/>
          <w:sz w:val="22"/>
          <w:szCs w:val="22"/>
        </w:rPr>
        <w:t>=0.375 F=18.4 p&lt;0.001</w:t>
      </w:r>
    </w:p>
    <w:p w14:paraId="25602DC0" w14:textId="716FD8FF" w:rsidR="00600198" w:rsidRPr="008076E8" w:rsidRDefault="007A0951" w:rsidP="008076E8">
      <w:pPr>
        <w:spacing w:line="480" w:lineRule="auto"/>
        <w:jc w:val="both"/>
        <w:rPr>
          <w:color w:val="333333"/>
          <w:sz w:val="22"/>
          <w:szCs w:val="22"/>
          <w:lang w:val="en-US"/>
        </w:rPr>
      </w:pPr>
      <w:r w:rsidRPr="008076E8">
        <w:rPr>
          <w:color w:val="333333"/>
          <w:sz w:val="22"/>
          <w:szCs w:val="22"/>
          <w:lang w:val="en-US"/>
        </w:rPr>
        <w:t>DASS-D-A-St: Depression, Anxiety, Stress Scale-Depression-Anxiety- Stress</w:t>
      </w:r>
    </w:p>
    <w:p w14:paraId="6AE4AD7D" w14:textId="61E0822E" w:rsidR="007A0951" w:rsidRPr="008076E8" w:rsidRDefault="007A0951" w:rsidP="008076E8">
      <w:pPr>
        <w:spacing w:line="480" w:lineRule="auto"/>
        <w:jc w:val="both"/>
        <w:rPr>
          <w:color w:val="000000" w:themeColor="text1"/>
          <w:sz w:val="22"/>
          <w:szCs w:val="22"/>
          <w:lang w:val="en-US"/>
        </w:rPr>
      </w:pPr>
      <w:r w:rsidRPr="008076E8">
        <w:rPr>
          <w:color w:val="000000" w:themeColor="text1"/>
          <w:sz w:val="22"/>
          <w:szCs w:val="22"/>
        </w:rPr>
        <w:t xml:space="preserve">AAQ-II: </w:t>
      </w:r>
      <w:proofErr w:type="spellStart"/>
      <w:r w:rsidRPr="008076E8">
        <w:rPr>
          <w:color w:val="000000" w:themeColor="text1"/>
          <w:sz w:val="22"/>
          <w:szCs w:val="22"/>
        </w:rPr>
        <w:t>Acceptance</w:t>
      </w:r>
      <w:proofErr w:type="spellEnd"/>
      <w:r w:rsidRPr="008076E8">
        <w:rPr>
          <w:color w:val="000000" w:themeColor="text1"/>
          <w:sz w:val="22"/>
          <w:szCs w:val="22"/>
        </w:rPr>
        <w:t xml:space="preserve"> </w:t>
      </w:r>
      <w:proofErr w:type="spellStart"/>
      <w:r w:rsidRPr="008076E8">
        <w:rPr>
          <w:color w:val="000000" w:themeColor="text1"/>
          <w:sz w:val="22"/>
          <w:szCs w:val="22"/>
        </w:rPr>
        <w:t>and</w:t>
      </w:r>
      <w:proofErr w:type="spellEnd"/>
      <w:r w:rsidRPr="008076E8">
        <w:rPr>
          <w:color w:val="000000" w:themeColor="text1"/>
          <w:sz w:val="22"/>
          <w:szCs w:val="22"/>
        </w:rPr>
        <w:t xml:space="preserve"> Action </w:t>
      </w:r>
      <w:proofErr w:type="spellStart"/>
      <w:r w:rsidRPr="008076E8">
        <w:rPr>
          <w:color w:val="000000" w:themeColor="text1"/>
          <w:sz w:val="22"/>
          <w:szCs w:val="22"/>
        </w:rPr>
        <w:t>Questionnaire</w:t>
      </w:r>
      <w:proofErr w:type="spellEnd"/>
    </w:p>
    <w:p w14:paraId="75C7E122" w14:textId="77777777" w:rsidR="00600198" w:rsidRPr="008076E8" w:rsidRDefault="00600198" w:rsidP="008076E8">
      <w:pPr>
        <w:spacing w:line="480" w:lineRule="auto"/>
        <w:jc w:val="both"/>
        <w:rPr>
          <w:sz w:val="22"/>
          <w:szCs w:val="22"/>
          <w:lang w:val="en-US"/>
        </w:rPr>
      </w:pPr>
    </w:p>
    <w:p w14:paraId="1014D302" w14:textId="77777777" w:rsidR="00600198" w:rsidRPr="008076E8" w:rsidRDefault="00600198" w:rsidP="008076E8">
      <w:pPr>
        <w:spacing w:line="480" w:lineRule="auto"/>
        <w:jc w:val="both"/>
        <w:rPr>
          <w:sz w:val="22"/>
          <w:szCs w:val="22"/>
          <w:lang w:val="en-US"/>
        </w:rPr>
      </w:pPr>
    </w:p>
    <w:p w14:paraId="09EFBEBC" w14:textId="77777777" w:rsidR="00600198" w:rsidRPr="008076E8" w:rsidRDefault="00600198" w:rsidP="008076E8">
      <w:pPr>
        <w:spacing w:line="480" w:lineRule="auto"/>
        <w:jc w:val="both"/>
        <w:rPr>
          <w:sz w:val="22"/>
          <w:szCs w:val="22"/>
          <w:lang w:val="en-US"/>
        </w:rPr>
      </w:pPr>
    </w:p>
    <w:p w14:paraId="4D74DEF4" w14:textId="77777777" w:rsidR="00600198" w:rsidRPr="008076E8" w:rsidRDefault="00600198" w:rsidP="008076E8">
      <w:pPr>
        <w:spacing w:line="480" w:lineRule="auto"/>
        <w:jc w:val="both"/>
        <w:rPr>
          <w:sz w:val="22"/>
          <w:szCs w:val="22"/>
          <w:lang w:val="en-US"/>
        </w:rPr>
      </w:pPr>
    </w:p>
    <w:p w14:paraId="179A1A5F" w14:textId="77777777" w:rsidR="00600198" w:rsidRPr="008076E8" w:rsidRDefault="00600198" w:rsidP="008076E8">
      <w:pPr>
        <w:spacing w:line="480" w:lineRule="auto"/>
        <w:jc w:val="both"/>
        <w:rPr>
          <w:sz w:val="22"/>
          <w:szCs w:val="22"/>
          <w:lang w:val="en-US"/>
        </w:rPr>
      </w:pPr>
    </w:p>
    <w:p w14:paraId="0DF27F4A" w14:textId="77777777" w:rsidR="00600198" w:rsidRPr="008076E8" w:rsidRDefault="00600198" w:rsidP="008076E8">
      <w:pPr>
        <w:spacing w:line="480" w:lineRule="auto"/>
        <w:jc w:val="both"/>
        <w:rPr>
          <w:b/>
          <w:bCs/>
          <w:sz w:val="22"/>
          <w:szCs w:val="22"/>
          <w:lang w:val="en-US"/>
        </w:rPr>
      </w:pPr>
    </w:p>
    <w:p w14:paraId="2B09E604" w14:textId="77777777" w:rsidR="00600198" w:rsidRPr="008076E8" w:rsidRDefault="00600198" w:rsidP="008076E8">
      <w:pPr>
        <w:spacing w:line="480" w:lineRule="auto"/>
        <w:jc w:val="both"/>
        <w:rPr>
          <w:b/>
          <w:bCs/>
          <w:sz w:val="22"/>
          <w:szCs w:val="22"/>
          <w:lang w:val="en-US"/>
        </w:rPr>
      </w:pPr>
    </w:p>
    <w:p w14:paraId="4DE454A7" w14:textId="5FE55E5F" w:rsidR="00C67CC7" w:rsidRPr="008076E8" w:rsidRDefault="00C67CC7" w:rsidP="008076E8">
      <w:pPr>
        <w:spacing w:line="480" w:lineRule="auto"/>
        <w:jc w:val="both"/>
        <w:rPr>
          <w:b/>
          <w:bCs/>
          <w:sz w:val="22"/>
          <w:szCs w:val="22"/>
          <w:lang w:val="en-US"/>
        </w:rPr>
      </w:pPr>
    </w:p>
    <w:p w14:paraId="7D62395A" w14:textId="77777777" w:rsidR="007A0951" w:rsidRPr="008076E8" w:rsidRDefault="007A0951" w:rsidP="008076E8">
      <w:pPr>
        <w:spacing w:line="480" w:lineRule="auto"/>
        <w:jc w:val="both"/>
        <w:rPr>
          <w:b/>
          <w:bCs/>
          <w:sz w:val="22"/>
          <w:szCs w:val="22"/>
          <w:lang w:val="en-US"/>
        </w:rPr>
      </w:pPr>
    </w:p>
    <w:p w14:paraId="402D1D21" w14:textId="7038CB83" w:rsidR="001316BA" w:rsidRPr="008076E8" w:rsidRDefault="001316BA" w:rsidP="008076E8">
      <w:pPr>
        <w:spacing w:line="480" w:lineRule="auto"/>
        <w:jc w:val="both"/>
        <w:rPr>
          <w:b/>
          <w:bCs/>
          <w:sz w:val="22"/>
          <w:szCs w:val="22"/>
          <w:lang w:val="en-US"/>
        </w:rPr>
      </w:pPr>
      <w:r w:rsidRPr="008076E8">
        <w:rPr>
          <w:b/>
          <w:bCs/>
          <w:sz w:val="22"/>
          <w:szCs w:val="22"/>
          <w:lang w:val="en-US"/>
        </w:rPr>
        <w:lastRenderedPageBreak/>
        <w:t xml:space="preserve">Figure Legends </w:t>
      </w:r>
    </w:p>
    <w:p w14:paraId="1DC35654" w14:textId="77777777" w:rsidR="001316BA" w:rsidRPr="008076E8" w:rsidRDefault="001316BA" w:rsidP="008076E8">
      <w:pPr>
        <w:pStyle w:val="NormalWeb"/>
        <w:spacing w:line="480" w:lineRule="auto"/>
        <w:jc w:val="both"/>
        <w:rPr>
          <w:sz w:val="22"/>
          <w:szCs w:val="22"/>
          <w:lang w:val="en-US"/>
        </w:rPr>
      </w:pPr>
      <w:r w:rsidRPr="008076E8">
        <w:rPr>
          <w:b/>
          <w:bCs/>
          <w:sz w:val="22"/>
          <w:szCs w:val="22"/>
          <w:lang w:val="en-US"/>
        </w:rPr>
        <w:t>Figure 1.</w:t>
      </w:r>
      <w:r w:rsidRPr="008076E8">
        <w:rPr>
          <w:sz w:val="22"/>
          <w:szCs w:val="22"/>
          <w:lang w:val="en-US"/>
        </w:rPr>
        <w:t xml:space="preserve"> Percentage of participants experiencing psychological impact, stratified by severity by using DASS-21 (N 261</w:t>
      </w:r>
    </w:p>
    <w:p w14:paraId="69D39819" w14:textId="77777777" w:rsidR="001316BA" w:rsidRPr="008076E8" w:rsidRDefault="001316BA" w:rsidP="008076E8">
      <w:pPr>
        <w:spacing w:line="480" w:lineRule="auto"/>
        <w:jc w:val="both"/>
        <w:rPr>
          <w:b/>
          <w:bCs/>
          <w:sz w:val="22"/>
          <w:szCs w:val="22"/>
          <w:lang w:val="en-US"/>
        </w:rPr>
      </w:pPr>
    </w:p>
    <w:p w14:paraId="0BCCA1F9" w14:textId="77777777" w:rsidR="00600198" w:rsidRPr="008076E8" w:rsidRDefault="00600198" w:rsidP="008076E8">
      <w:pPr>
        <w:spacing w:line="480" w:lineRule="auto"/>
        <w:jc w:val="both"/>
        <w:rPr>
          <w:color w:val="333333"/>
          <w:sz w:val="22"/>
          <w:szCs w:val="22"/>
          <w:lang w:val="en-US"/>
        </w:rPr>
      </w:pPr>
    </w:p>
    <w:p w14:paraId="446E819B" w14:textId="77777777" w:rsidR="00600198" w:rsidRPr="008076E8" w:rsidRDefault="00600198" w:rsidP="008076E8">
      <w:pPr>
        <w:spacing w:line="480" w:lineRule="auto"/>
        <w:jc w:val="both"/>
        <w:rPr>
          <w:sz w:val="22"/>
          <w:szCs w:val="22"/>
          <w:lang w:val="en-US"/>
        </w:rPr>
      </w:pPr>
    </w:p>
    <w:p w14:paraId="5E6F0155" w14:textId="77777777" w:rsidR="00600198" w:rsidRPr="008076E8" w:rsidRDefault="00600198" w:rsidP="008076E8">
      <w:pPr>
        <w:spacing w:line="480" w:lineRule="auto"/>
        <w:jc w:val="both"/>
        <w:rPr>
          <w:sz w:val="22"/>
          <w:szCs w:val="22"/>
          <w:lang w:val="en-US"/>
        </w:rPr>
      </w:pPr>
    </w:p>
    <w:p w14:paraId="6392F48A" w14:textId="77777777" w:rsidR="00600198" w:rsidRPr="008076E8" w:rsidRDefault="00600198" w:rsidP="008076E8">
      <w:pPr>
        <w:spacing w:line="480" w:lineRule="auto"/>
        <w:jc w:val="both"/>
        <w:rPr>
          <w:b/>
          <w:bCs/>
          <w:color w:val="000000" w:themeColor="text1"/>
          <w:sz w:val="22"/>
          <w:szCs w:val="22"/>
          <w:lang w:val="en-US"/>
        </w:rPr>
      </w:pPr>
    </w:p>
    <w:p w14:paraId="17BC4A19" w14:textId="77777777" w:rsidR="00600198" w:rsidRPr="008076E8" w:rsidRDefault="00600198" w:rsidP="008076E8">
      <w:pPr>
        <w:spacing w:line="480" w:lineRule="auto"/>
        <w:jc w:val="both"/>
        <w:rPr>
          <w:b/>
          <w:bCs/>
          <w:color w:val="000000" w:themeColor="text1"/>
          <w:sz w:val="22"/>
          <w:szCs w:val="22"/>
          <w:lang w:val="en-US"/>
        </w:rPr>
      </w:pPr>
    </w:p>
    <w:p w14:paraId="2D734D24" w14:textId="77777777" w:rsidR="00600198" w:rsidRPr="008076E8" w:rsidRDefault="00600198" w:rsidP="008076E8">
      <w:pPr>
        <w:spacing w:line="480" w:lineRule="auto"/>
        <w:jc w:val="both"/>
        <w:rPr>
          <w:b/>
          <w:bCs/>
          <w:color w:val="000000" w:themeColor="text1"/>
          <w:sz w:val="22"/>
          <w:szCs w:val="22"/>
          <w:lang w:val="en-US"/>
        </w:rPr>
      </w:pPr>
    </w:p>
    <w:p w14:paraId="3B63306D" w14:textId="77777777" w:rsidR="00600198" w:rsidRPr="008076E8" w:rsidRDefault="00600198" w:rsidP="008076E8">
      <w:pPr>
        <w:spacing w:line="480" w:lineRule="auto"/>
        <w:jc w:val="both"/>
        <w:rPr>
          <w:b/>
          <w:bCs/>
          <w:color w:val="000000" w:themeColor="text1"/>
          <w:sz w:val="22"/>
          <w:szCs w:val="22"/>
          <w:lang w:val="en-US"/>
        </w:rPr>
      </w:pPr>
    </w:p>
    <w:p w14:paraId="674590F9" w14:textId="77777777" w:rsidR="00600198" w:rsidRPr="008076E8" w:rsidRDefault="00600198" w:rsidP="008076E8">
      <w:pPr>
        <w:spacing w:line="480" w:lineRule="auto"/>
        <w:jc w:val="both"/>
        <w:rPr>
          <w:b/>
          <w:bCs/>
          <w:color w:val="000000" w:themeColor="text1"/>
          <w:sz w:val="22"/>
          <w:szCs w:val="22"/>
          <w:lang w:val="en-US"/>
        </w:rPr>
      </w:pPr>
    </w:p>
    <w:p w14:paraId="29394262" w14:textId="77777777" w:rsidR="00600198" w:rsidRPr="008076E8" w:rsidRDefault="00600198" w:rsidP="008076E8">
      <w:pPr>
        <w:spacing w:line="480" w:lineRule="auto"/>
        <w:jc w:val="both"/>
        <w:rPr>
          <w:b/>
          <w:bCs/>
          <w:color w:val="000000" w:themeColor="text1"/>
          <w:sz w:val="22"/>
          <w:szCs w:val="22"/>
          <w:lang w:val="en-US"/>
        </w:rPr>
      </w:pPr>
    </w:p>
    <w:sectPr w:rsidR="00600198" w:rsidRPr="008076E8" w:rsidSect="0027401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A2"/>
    <w:family w:val="swiss"/>
    <w:pitch w:val="variable"/>
    <w:sig w:usb0="E0002AFF" w:usb1="C000ACFF" w:usb2="00000009" w:usb3="00000000" w:csb0="000001FF" w:csb1="00000000"/>
  </w:font>
  <w:font w:name="Dutch801 Rm WGL4 BT">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360A2"/>
    <w:multiLevelType w:val="multilevel"/>
    <w:tmpl w:val="F62A3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84"/>
    <w:rsid w:val="00023474"/>
    <w:rsid w:val="00036CB6"/>
    <w:rsid w:val="00037F44"/>
    <w:rsid w:val="00064291"/>
    <w:rsid w:val="00073DC2"/>
    <w:rsid w:val="00077F04"/>
    <w:rsid w:val="000818D9"/>
    <w:rsid w:val="00095A54"/>
    <w:rsid w:val="000C476D"/>
    <w:rsid w:val="000E479D"/>
    <w:rsid w:val="000E4966"/>
    <w:rsid w:val="000E7937"/>
    <w:rsid w:val="00107106"/>
    <w:rsid w:val="0012207F"/>
    <w:rsid w:val="00124BB2"/>
    <w:rsid w:val="00127301"/>
    <w:rsid w:val="00130C7D"/>
    <w:rsid w:val="001316BA"/>
    <w:rsid w:val="001373DE"/>
    <w:rsid w:val="00165ACA"/>
    <w:rsid w:val="001903B2"/>
    <w:rsid w:val="001955CE"/>
    <w:rsid w:val="001A68D3"/>
    <w:rsid w:val="001B1E73"/>
    <w:rsid w:val="001C2AB9"/>
    <w:rsid w:val="001D0102"/>
    <w:rsid w:val="001D224A"/>
    <w:rsid w:val="001E0390"/>
    <w:rsid w:val="001E0C2E"/>
    <w:rsid w:val="001F66F0"/>
    <w:rsid w:val="002061F6"/>
    <w:rsid w:val="00213B3F"/>
    <w:rsid w:val="0022381C"/>
    <w:rsid w:val="0022737B"/>
    <w:rsid w:val="00256BA7"/>
    <w:rsid w:val="00263343"/>
    <w:rsid w:val="0027401A"/>
    <w:rsid w:val="00274584"/>
    <w:rsid w:val="002764A6"/>
    <w:rsid w:val="002A635F"/>
    <w:rsid w:val="002B12FA"/>
    <w:rsid w:val="002B7855"/>
    <w:rsid w:val="002D4B8F"/>
    <w:rsid w:val="002D69F5"/>
    <w:rsid w:val="002D735D"/>
    <w:rsid w:val="002E039E"/>
    <w:rsid w:val="002E6D87"/>
    <w:rsid w:val="002F07AD"/>
    <w:rsid w:val="00306194"/>
    <w:rsid w:val="0031133F"/>
    <w:rsid w:val="003458F8"/>
    <w:rsid w:val="00352565"/>
    <w:rsid w:val="00353981"/>
    <w:rsid w:val="00365259"/>
    <w:rsid w:val="00370C43"/>
    <w:rsid w:val="003745AA"/>
    <w:rsid w:val="0038531E"/>
    <w:rsid w:val="003A6F81"/>
    <w:rsid w:val="003B47F1"/>
    <w:rsid w:val="003C01A1"/>
    <w:rsid w:val="003C7AAD"/>
    <w:rsid w:val="0040498E"/>
    <w:rsid w:val="00450534"/>
    <w:rsid w:val="0046289A"/>
    <w:rsid w:val="004642B0"/>
    <w:rsid w:val="004661F7"/>
    <w:rsid w:val="00466712"/>
    <w:rsid w:val="00484380"/>
    <w:rsid w:val="004B768E"/>
    <w:rsid w:val="004D3254"/>
    <w:rsid w:val="004E42C4"/>
    <w:rsid w:val="004E7E1B"/>
    <w:rsid w:val="004F4213"/>
    <w:rsid w:val="00507F50"/>
    <w:rsid w:val="00511BB0"/>
    <w:rsid w:val="00516C32"/>
    <w:rsid w:val="00520C83"/>
    <w:rsid w:val="00523EB5"/>
    <w:rsid w:val="00552857"/>
    <w:rsid w:val="005943D8"/>
    <w:rsid w:val="00595685"/>
    <w:rsid w:val="005B69CA"/>
    <w:rsid w:val="005E3C91"/>
    <w:rsid w:val="00600198"/>
    <w:rsid w:val="0060670B"/>
    <w:rsid w:val="00617F96"/>
    <w:rsid w:val="00623BA4"/>
    <w:rsid w:val="00670371"/>
    <w:rsid w:val="00685BE1"/>
    <w:rsid w:val="006935C1"/>
    <w:rsid w:val="0069644E"/>
    <w:rsid w:val="006B78B3"/>
    <w:rsid w:val="006F3D96"/>
    <w:rsid w:val="0072159A"/>
    <w:rsid w:val="007413CF"/>
    <w:rsid w:val="0075334F"/>
    <w:rsid w:val="00772079"/>
    <w:rsid w:val="007744FD"/>
    <w:rsid w:val="00775C79"/>
    <w:rsid w:val="00776E90"/>
    <w:rsid w:val="00793A8F"/>
    <w:rsid w:val="007A0951"/>
    <w:rsid w:val="007B1541"/>
    <w:rsid w:val="007B7573"/>
    <w:rsid w:val="007D5ADA"/>
    <w:rsid w:val="007E1D2C"/>
    <w:rsid w:val="007E79F1"/>
    <w:rsid w:val="008076E8"/>
    <w:rsid w:val="008363FF"/>
    <w:rsid w:val="00847F79"/>
    <w:rsid w:val="00854AEC"/>
    <w:rsid w:val="008624A6"/>
    <w:rsid w:val="0086315B"/>
    <w:rsid w:val="0087228B"/>
    <w:rsid w:val="00877FC6"/>
    <w:rsid w:val="008955B0"/>
    <w:rsid w:val="008A781C"/>
    <w:rsid w:val="008B4E6A"/>
    <w:rsid w:val="008D68B0"/>
    <w:rsid w:val="008E1CBE"/>
    <w:rsid w:val="00906D84"/>
    <w:rsid w:val="00910B34"/>
    <w:rsid w:val="009258A0"/>
    <w:rsid w:val="00926169"/>
    <w:rsid w:val="0097208C"/>
    <w:rsid w:val="009773FC"/>
    <w:rsid w:val="009A3CA5"/>
    <w:rsid w:val="009A615E"/>
    <w:rsid w:val="009E2862"/>
    <w:rsid w:val="009E690F"/>
    <w:rsid w:val="00A1231D"/>
    <w:rsid w:val="00A42E10"/>
    <w:rsid w:val="00A51607"/>
    <w:rsid w:val="00A642BA"/>
    <w:rsid w:val="00A64E47"/>
    <w:rsid w:val="00AB05FB"/>
    <w:rsid w:val="00AB2C5F"/>
    <w:rsid w:val="00AD42D1"/>
    <w:rsid w:val="00AE06F1"/>
    <w:rsid w:val="00B01F09"/>
    <w:rsid w:val="00B044D9"/>
    <w:rsid w:val="00B23078"/>
    <w:rsid w:val="00B42039"/>
    <w:rsid w:val="00B66E84"/>
    <w:rsid w:val="00B97E34"/>
    <w:rsid w:val="00BE14C4"/>
    <w:rsid w:val="00BE1CF9"/>
    <w:rsid w:val="00BE422F"/>
    <w:rsid w:val="00BF7F3F"/>
    <w:rsid w:val="00C07AEE"/>
    <w:rsid w:val="00C32809"/>
    <w:rsid w:val="00C67CC7"/>
    <w:rsid w:val="00C7154E"/>
    <w:rsid w:val="00C83A65"/>
    <w:rsid w:val="00CB093E"/>
    <w:rsid w:val="00CB2FEE"/>
    <w:rsid w:val="00CD2DE3"/>
    <w:rsid w:val="00CE441C"/>
    <w:rsid w:val="00D20659"/>
    <w:rsid w:val="00D37B8F"/>
    <w:rsid w:val="00D478D8"/>
    <w:rsid w:val="00D51D5E"/>
    <w:rsid w:val="00D56572"/>
    <w:rsid w:val="00D6652A"/>
    <w:rsid w:val="00D82ADB"/>
    <w:rsid w:val="00DB4628"/>
    <w:rsid w:val="00DB69FB"/>
    <w:rsid w:val="00DD1882"/>
    <w:rsid w:val="00DD3A74"/>
    <w:rsid w:val="00E06F22"/>
    <w:rsid w:val="00E56A60"/>
    <w:rsid w:val="00E649D2"/>
    <w:rsid w:val="00E70269"/>
    <w:rsid w:val="00E72F98"/>
    <w:rsid w:val="00E80F8C"/>
    <w:rsid w:val="00EA496F"/>
    <w:rsid w:val="00EB0DB6"/>
    <w:rsid w:val="00EB60D4"/>
    <w:rsid w:val="00EC0B8A"/>
    <w:rsid w:val="00F00B59"/>
    <w:rsid w:val="00F03DE6"/>
    <w:rsid w:val="00F1321B"/>
    <w:rsid w:val="00F30051"/>
    <w:rsid w:val="00F40716"/>
    <w:rsid w:val="00F40B7A"/>
    <w:rsid w:val="00F62897"/>
    <w:rsid w:val="00FB1AC2"/>
    <w:rsid w:val="00FD32DA"/>
    <w:rsid w:val="00FF1C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2574C"/>
  <w15:chartTrackingRefBased/>
  <w15:docId w15:val="{7639D58B-4F84-5D4E-9838-6C5882F2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6F1"/>
    <w:rPr>
      <w:rFonts w:ascii="Times New Roman" w:eastAsia="Times New Roman" w:hAnsi="Times New Roman" w:cs="Times New Roman"/>
      <w:lang w:eastAsia="tr-TR"/>
    </w:rPr>
  </w:style>
  <w:style w:type="paragraph" w:styleId="Balk1">
    <w:name w:val="heading 1"/>
    <w:basedOn w:val="Normal"/>
    <w:link w:val="Balk1Char"/>
    <w:uiPriority w:val="9"/>
    <w:qFormat/>
    <w:rsid w:val="007D5ADA"/>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6E84"/>
    <w:pPr>
      <w:spacing w:before="100" w:beforeAutospacing="1" w:after="100" w:afterAutospacing="1"/>
    </w:pPr>
  </w:style>
  <w:style w:type="paragraph" w:styleId="SonNotMetni">
    <w:name w:val="endnote text"/>
    <w:basedOn w:val="Normal"/>
    <w:link w:val="SonNotMetniChar"/>
    <w:uiPriority w:val="99"/>
    <w:unhideWhenUsed/>
    <w:rsid w:val="00595685"/>
    <w:rPr>
      <w:sz w:val="20"/>
      <w:szCs w:val="20"/>
    </w:rPr>
  </w:style>
  <w:style w:type="character" w:customStyle="1" w:styleId="SonNotMetniChar">
    <w:name w:val="Son Not Metni Char"/>
    <w:basedOn w:val="VarsaylanParagrafYazTipi"/>
    <w:link w:val="SonNotMetni"/>
    <w:uiPriority w:val="99"/>
    <w:rsid w:val="00595685"/>
    <w:rPr>
      <w:rFonts w:ascii="Times New Roman" w:eastAsia="Times New Roman" w:hAnsi="Times New Roman" w:cs="Times New Roman"/>
      <w:sz w:val="20"/>
      <w:szCs w:val="20"/>
      <w:lang w:eastAsia="tr-TR"/>
    </w:rPr>
  </w:style>
  <w:style w:type="character" w:styleId="Kpr">
    <w:name w:val="Hyperlink"/>
    <w:basedOn w:val="VarsaylanParagrafYazTipi"/>
    <w:uiPriority w:val="99"/>
    <w:unhideWhenUsed/>
    <w:rsid w:val="00595685"/>
    <w:rPr>
      <w:color w:val="0000FF"/>
      <w:u w:val="single"/>
    </w:rPr>
  </w:style>
  <w:style w:type="character" w:customStyle="1" w:styleId="apple-converted-space">
    <w:name w:val="apple-converted-space"/>
    <w:basedOn w:val="VarsaylanParagrafYazTipi"/>
    <w:rsid w:val="00595685"/>
  </w:style>
  <w:style w:type="character" w:customStyle="1" w:styleId="cit">
    <w:name w:val="cit"/>
    <w:basedOn w:val="VarsaylanParagrafYazTipi"/>
    <w:rsid w:val="00595685"/>
  </w:style>
  <w:style w:type="character" w:customStyle="1" w:styleId="citation-doi">
    <w:name w:val="citation-doi"/>
    <w:basedOn w:val="VarsaylanParagrafYazTipi"/>
    <w:rsid w:val="00595685"/>
  </w:style>
  <w:style w:type="character" w:customStyle="1" w:styleId="id-label">
    <w:name w:val="id-label"/>
    <w:basedOn w:val="VarsaylanParagrafYazTipi"/>
    <w:rsid w:val="00595685"/>
  </w:style>
  <w:style w:type="table" w:styleId="TabloKlavuzu">
    <w:name w:val="Table Grid"/>
    <w:basedOn w:val="NormalTablo"/>
    <w:uiPriority w:val="39"/>
    <w:rsid w:val="004E7E1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8363FF"/>
    <w:rPr>
      <w:color w:val="954F72" w:themeColor="followedHyperlink"/>
      <w:u w:val="single"/>
    </w:rPr>
  </w:style>
  <w:style w:type="character" w:styleId="zmlenmeyenBahsetme">
    <w:name w:val="Unresolved Mention"/>
    <w:basedOn w:val="VarsaylanParagrafYazTipi"/>
    <w:uiPriority w:val="99"/>
    <w:semiHidden/>
    <w:unhideWhenUsed/>
    <w:rsid w:val="002E6D87"/>
    <w:rPr>
      <w:color w:val="605E5C"/>
      <w:shd w:val="clear" w:color="auto" w:fill="E1DFDD"/>
    </w:rPr>
  </w:style>
  <w:style w:type="paragraph" w:customStyle="1" w:styleId="Default">
    <w:name w:val="Default"/>
    <w:rsid w:val="003C01A1"/>
    <w:pPr>
      <w:autoSpaceDE w:val="0"/>
      <w:autoSpaceDN w:val="0"/>
      <w:adjustRightInd w:val="0"/>
    </w:pPr>
    <w:rPr>
      <w:rFonts w:ascii="Dutch801 Rm WGL4 BT" w:hAnsi="Dutch801 Rm WGL4 BT" w:cs="Dutch801 Rm WGL4 BT"/>
      <w:color w:val="000000"/>
    </w:rPr>
  </w:style>
  <w:style w:type="character" w:customStyle="1" w:styleId="A3">
    <w:name w:val="A3"/>
    <w:uiPriority w:val="99"/>
    <w:rsid w:val="003C01A1"/>
    <w:rPr>
      <w:rFonts w:cs="Dutch801 Rm WGL4 BT"/>
      <w:b/>
      <w:bCs/>
      <w:color w:val="000000"/>
      <w:sz w:val="12"/>
      <w:szCs w:val="12"/>
    </w:rPr>
  </w:style>
  <w:style w:type="character" w:styleId="Gl">
    <w:name w:val="Strong"/>
    <w:basedOn w:val="VarsaylanParagrafYazTipi"/>
    <w:uiPriority w:val="22"/>
    <w:qFormat/>
    <w:rsid w:val="005943D8"/>
    <w:rPr>
      <w:b/>
      <w:bCs/>
    </w:rPr>
  </w:style>
  <w:style w:type="character" w:customStyle="1" w:styleId="Balk1Char">
    <w:name w:val="Başlık 1 Char"/>
    <w:basedOn w:val="VarsaylanParagrafYazTipi"/>
    <w:link w:val="Balk1"/>
    <w:uiPriority w:val="9"/>
    <w:rsid w:val="007D5ADA"/>
    <w:rPr>
      <w:rFonts w:ascii="Times New Roman" w:eastAsia="Times New Roman" w:hAnsi="Times New Roman" w:cs="Times New Roman"/>
      <w:b/>
      <w:bCs/>
      <w:kern w:val="36"/>
      <w:sz w:val="48"/>
      <w:szCs w:val="48"/>
      <w:lang w:eastAsia="tr-TR"/>
    </w:rPr>
  </w:style>
  <w:style w:type="character" w:customStyle="1" w:styleId="period">
    <w:name w:val="period"/>
    <w:basedOn w:val="VarsaylanParagrafYazTipi"/>
    <w:rsid w:val="007D5ADA"/>
  </w:style>
  <w:style w:type="paragraph" w:styleId="BalonMetni">
    <w:name w:val="Balloon Text"/>
    <w:basedOn w:val="Normal"/>
    <w:link w:val="BalonMetniChar"/>
    <w:uiPriority w:val="99"/>
    <w:semiHidden/>
    <w:unhideWhenUsed/>
    <w:rsid w:val="0075334F"/>
    <w:rPr>
      <w:sz w:val="18"/>
      <w:szCs w:val="18"/>
    </w:rPr>
  </w:style>
  <w:style w:type="character" w:customStyle="1" w:styleId="BalonMetniChar">
    <w:name w:val="Balon Metni Char"/>
    <w:basedOn w:val="VarsaylanParagrafYazTipi"/>
    <w:link w:val="BalonMetni"/>
    <w:uiPriority w:val="99"/>
    <w:semiHidden/>
    <w:rsid w:val="0075334F"/>
    <w:rPr>
      <w:rFonts w:ascii="Times New Roman" w:eastAsia="Times New Roman" w:hAnsi="Times New Roman" w:cs="Times New Roman"/>
      <w:sz w:val="18"/>
      <w:szCs w:val="18"/>
      <w:lang w:eastAsia="tr-TR"/>
    </w:rPr>
  </w:style>
  <w:style w:type="paragraph" w:styleId="HTMLncedenBiimlendirilmi">
    <w:name w:val="HTML Preformatted"/>
    <w:basedOn w:val="Normal"/>
    <w:link w:val="HTMLncedenBiimlendirilmiChar"/>
    <w:uiPriority w:val="99"/>
    <w:unhideWhenUsed/>
    <w:rsid w:val="0092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926169"/>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1672">
      <w:bodyDiv w:val="1"/>
      <w:marLeft w:val="0"/>
      <w:marRight w:val="0"/>
      <w:marTop w:val="0"/>
      <w:marBottom w:val="0"/>
      <w:divBdr>
        <w:top w:val="none" w:sz="0" w:space="0" w:color="auto"/>
        <w:left w:val="none" w:sz="0" w:space="0" w:color="auto"/>
        <w:bottom w:val="none" w:sz="0" w:space="0" w:color="auto"/>
        <w:right w:val="none" w:sz="0" w:space="0" w:color="auto"/>
      </w:divBdr>
    </w:div>
    <w:div w:id="273900942">
      <w:bodyDiv w:val="1"/>
      <w:marLeft w:val="0"/>
      <w:marRight w:val="0"/>
      <w:marTop w:val="0"/>
      <w:marBottom w:val="0"/>
      <w:divBdr>
        <w:top w:val="none" w:sz="0" w:space="0" w:color="auto"/>
        <w:left w:val="none" w:sz="0" w:space="0" w:color="auto"/>
        <w:bottom w:val="none" w:sz="0" w:space="0" w:color="auto"/>
        <w:right w:val="none" w:sz="0" w:space="0" w:color="auto"/>
      </w:divBdr>
    </w:div>
    <w:div w:id="442726664">
      <w:bodyDiv w:val="1"/>
      <w:marLeft w:val="0"/>
      <w:marRight w:val="0"/>
      <w:marTop w:val="0"/>
      <w:marBottom w:val="0"/>
      <w:divBdr>
        <w:top w:val="none" w:sz="0" w:space="0" w:color="auto"/>
        <w:left w:val="none" w:sz="0" w:space="0" w:color="auto"/>
        <w:bottom w:val="none" w:sz="0" w:space="0" w:color="auto"/>
        <w:right w:val="none" w:sz="0" w:space="0" w:color="auto"/>
      </w:divBdr>
      <w:divsChild>
        <w:div w:id="374819799">
          <w:marLeft w:val="0"/>
          <w:marRight w:val="0"/>
          <w:marTop w:val="0"/>
          <w:marBottom w:val="0"/>
          <w:divBdr>
            <w:top w:val="none" w:sz="0" w:space="0" w:color="auto"/>
            <w:left w:val="none" w:sz="0" w:space="0" w:color="auto"/>
            <w:bottom w:val="none" w:sz="0" w:space="0" w:color="auto"/>
            <w:right w:val="none" w:sz="0" w:space="0" w:color="auto"/>
          </w:divBdr>
          <w:divsChild>
            <w:div w:id="835803189">
              <w:marLeft w:val="0"/>
              <w:marRight w:val="0"/>
              <w:marTop w:val="0"/>
              <w:marBottom w:val="0"/>
              <w:divBdr>
                <w:top w:val="none" w:sz="0" w:space="0" w:color="auto"/>
                <w:left w:val="none" w:sz="0" w:space="0" w:color="auto"/>
                <w:bottom w:val="none" w:sz="0" w:space="0" w:color="auto"/>
                <w:right w:val="none" w:sz="0" w:space="0" w:color="auto"/>
              </w:divBdr>
              <w:divsChild>
                <w:div w:id="12817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136250">
      <w:bodyDiv w:val="1"/>
      <w:marLeft w:val="0"/>
      <w:marRight w:val="0"/>
      <w:marTop w:val="0"/>
      <w:marBottom w:val="0"/>
      <w:divBdr>
        <w:top w:val="none" w:sz="0" w:space="0" w:color="auto"/>
        <w:left w:val="none" w:sz="0" w:space="0" w:color="auto"/>
        <w:bottom w:val="none" w:sz="0" w:space="0" w:color="auto"/>
        <w:right w:val="none" w:sz="0" w:space="0" w:color="auto"/>
      </w:divBdr>
    </w:div>
    <w:div w:id="552498079">
      <w:bodyDiv w:val="1"/>
      <w:marLeft w:val="0"/>
      <w:marRight w:val="0"/>
      <w:marTop w:val="0"/>
      <w:marBottom w:val="0"/>
      <w:divBdr>
        <w:top w:val="none" w:sz="0" w:space="0" w:color="auto"/>
        <w:left w:val="none" w:sz="0" w:space="0" w:color="auto"/>
        <w:bottom w:val="none" w:sz="0" w:space="0" w:color="auto"/>
        <w:right w:val="none" w:sz="0" w:space="0" w:color="auto"/>
      </w:divBdr>
    </w:div>
    <w:div w:id="630093591">
      <w:bodyDiv w:val="1"/>
      <w:marLeft w:val="0"/>
      <w:marRight w:val="0"/>
      <w:marTop w:val="0"/>
      <w:marBottom w:val="0"/>
      <w:divBdr>
        <w:top w:val="none" w:sz="0" w:space="0" w:color="auto"/>
        <w:left w:val="none" w:sz="0" w:space="0" w:color="auto"/>
        <w:bottom w:val="none" w:sz="0" w:space="0" w:color="auto"/>
        <w:right w:val="none" w:sz="0" w:space="0" w:color="auto"/>
      </w:divBdr>
    </w:div>
    <w:div w:id="759133733">
      <w:bodyDiv w:val="1"/>
      <w:marLeft w:val="0"/>
      <w:marRight w:val="0"/>
      <w:marTop w:val="0"/>
      <w:marBottom w:val="0"/>
      <w:divBdr>
        <w:top w:val="none" w:sz="0" w:space="0" w:color="auto"/>
        <w:left w:val="none" w:sz="0" w:space="0" w:color="auto"/>
        <w:bottom w:val="none" w:sz="0" w:space="0" w:color="auto"/>
        <w:right w:val="none" w:sz="0" w:space="0" w:color="auto"/>
      </w:divBdr>
    </w:div>
    <w:div w:id="766316015">
      <w:bodyDiv w:val="1"/>
      <w:marLeft w:val="0"/>
      <w:marRight w:val="0"/>
      <w:marTop w:val="0"/>
      <w:marBottom w:val="0"/>
      <w:divBdr>
        <w:top w:val="none" w:sz="0" w:space="0" w:color="auto"/>
        <w:left w:val="none" w:sz="0" w:space="0" w:color="auto"/>
        <w:bottom w:val="none" w:sz="0" w:space="0" w:color="auto"/>
        <w:right w:val="none" w:sz="0" w:space="0" w:color="auto"/>
      </w:divBdr>
      <w:divsChild>
        <w:div w:id="1906066228">
          <w:marLeft w:val="0"/>
          <w:marRight w:val="0"/>
          <w:marTop w:val="0"/>
          <w:marBottom w:val="0"/>
          <w:divBdr>
            <w:top w:val="none" w:sz="0" w:space="0" w:color="auto"/>
            <w:left w:val="none" w:sz="0" w:space="0" w:color="auto"/>
            <w:bottom w:val="none" w:sz="0" w:space="0" w:color="auto"/>
            <w:right w:val="none" w:sz="0" w:space="0" w:color="auto"/>
          </w:divBdr>
          <w:divsChild>
            <w:div w:id="94861730">
              <w:marLeft w:val="0"/>
              <w:marRight w:val="0"/>
              <w:marTop w:val="0"/>
              <w:marBottom w:val="0"/>
              <w:divBdr>
                <w:top w:val="none" w:sz="0" w:space="0" w:color="auto"/>
                <w:left w:val="none" w:sz="0" w:space="0" w:color="auto"/>
                <w:bottom w:val="none" w:sz="0" w:space="0" w:color="auto"/>
                <w:right w:val="none" w:sz="0" w:space="0" w:color="auto"/>
              </w:divBdr>
              <w:divsChild>
                <w:div w:id="11903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76700">
      <w:bodyDiv w:val="1"/>
      <w:marLeft w:val="0"/>
      <w:marRight w:val="0"/>
      <w:marTop w:val="0"/>
      <w:marBottom w:val="0"/>
      <w:divBdr>
        <w:top w:val="none" w:sz="0" w:space="0" w:color="auto"/>
        <w:left w:val="none" w:sz="0" w:space="0" w:color="auto"/>
        <w:bottom w:val="none" w:sz="0" w:space="0" w:color="auto"/>
        <w:right w:val="none" w:sz="0" w:space="0" w:color="auto"/>
      </w:divBdr>
    </w:div>
    <w:div w:id="1110710158">
      <w:bodyDiv w:val="1"/>
      <w:marLeft w:val="0"/>
      <w:marRight w:val="0"/>
      <w:marTop w:val="0"/>
      <w:marBottom w:val="0"/>
      <w:divBdr>
        <w:top w:val="none" w:sz="0" w:space="0" w:color="auto"/>
        <w:left w:val="none" w:sz="0" w:space="0" w:color="auto"/>
        <w:bottom w:val="none" w:sz="0" w:space="0" w:color="auto"/>
        <w:right w:val="none" w:sz="0" w:space="0" w:color="auto"/>
      </w:divBdr>
    </w:div>
    <w:div w:id="1199050466">
      <w:bodyDiv w:val="1"/>
      <w:marLeft w:val="0"/>
      <w:marRight w:val="0"/>
      <w:marTop w:val="0"/>
      <w:marBottom w:val="0"/>
      <w:divBdr>
        <w:top w:val="none" w:sz="0" w:space="0" w:color="auto"/>
        <w:left w:val="none" w:sz="0" w:space="0" w:color="auto"/>
        <w:bottom w:val="none" w:sz="0" w:space="0" w:color="auto"/>
        <w:right w:val="none" w:sz="0" w:space="0" w:color="auto"/>
      </w:divBdr>
      <w:divsChild>
        <w:div w:id="64570418">
          <w:marLeft w:val="0"/>
          <w:marRight w:val="0"/>
          <w:marTop w:val="0"/>
          <w:marBottom w:val="0"/>
          <w:divBdr>
            <w:top w:val="none" w:sz="0" w:space="0" w:color="auto"/>
            <w:left w:val="none" w:sz="0" w:space="0" w:color="auto"/>
            <w:bottom w:val="none" w:sz="0" w:space="0" w:color="auto"/>
            <w:right w:val="none" w:sz="0" w:space="0" w:color="auto"/>
          </w:divBdr>
          <w:divsChild>
            <w:div w:id="1312323506">
              <w:marLeft w:val="0"/>
              <w:marRight w:val="0"/>
              <w:marTop w:val="0"/>
              <w:marBottom w:val="0"/>
              <w:divBdr>
                <w:top w:val="none" w:sz="0" w:space="0" w:color="auto"/>
                <w:left w:val="none" w:sz="0" w:space="0" w:color="auto"/>
                <w:bottom w:val="none" w:sz="0" w:space="0" w:color="auto"/>
                <w:right w:val="none" w:sz="0" w:space="0" w:color="auto"/>
              </w:divBdr>
              <w:divsChild>
                <w:div w:id="15549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5611">
      <w:bodyDiv w:val="1"/>
      <w:marLeft w:val="0"/>
      <w:marRight w:val="0"/>
      <w:marTop w:val="0"/>
      <w:marBottom w:val="0"/>
      <w:divBdr>
        <w:top w:val="none" w:sz="0" w:space="0" w:color="auto"/>
        <w:left w:val="none" w:sz="0" w:space="0" w:color="auto"/>
        <w:bottom w:val="none" w:sz="0" w:space="0" w:color="auto"/>
        <w:right w:val="none" w:sz="0" w:space="0" w:color="auto"/>
      </w:divBdr>
    </w:div>
    <w:div w:id="1368218307">
      <w:bodyDiv w:val="1"/>
      <w:marLeft w:val="0"/>
      <w:marRight w:val="0"/>
      <w:marTop w:val="0"/>
      <w:marBottom w:val="0"/>
      <w:divBdr>
        <w:top w:val="none" w:sz="0" w:space="0" w:color="auto"/>
        <w:left w:val="none" w:sz="0" w:space="0" w:color="auto"/>
        <w:bottom w:val="none" w:sz="0" w:space="0" w:color="auto"/>
        <w:right w:val="none" w:sz="0" w:space="0" w:color="auto"/>
      </w:divBdr>
    </w:div>
    <w:div w:id="1374697732">
      <w:bodyDiv w:val="1"/>
      <w:marLeft w:val="0"/>
      <w:marRight w:val="0"/>
      <w:marTop w:val="0"/>
      <w:marBottom w:val="0"/>
      <w:divBdr>
        <w:top w:val="none" w:sz="0" w:space="0" w:color="auto"/>
        <w:left w:val="none" w:sz="0" w:space="0" w:color="auto"/>
        <w:bottom w:val="none" w:sz="0" w:space="0" w:color="auto"/>
        <w:right w:val="none" w:sz="0" w:space="0" w:color="auto"/>
      </w:divBdr>
    </w:div>
    <w:div w:id="1461463144">
      <w:bodyDiv w:val="1"/>
      <w:marLeft w:val="0"/>
      <w:marRight w:val="0"/>
      <w:marTop w:val="0"/>
      <w:marBottom w:val="0"/>
      <w:divBdr>
        <w:top w:val="none" w:sz="0" w:space="0" w:color="auto"/>
        <w:left w:val="none" w:sz="0" w:space="0" w:color="auto"/>
        <w:bottom w:val="none" w:sz="0" w:space="0" w:color="auto"/>
        <w:right w:val="none" w:sz="0" w:space="0" w:color="auto"/>
      </w:divBdr>
    </w:div>
    <w:div w:id="1556235634">
      <w:bodyDiv w:val="1"/>
      <w:marLeft w:val="0"/>
      <w:marRight w:val="0"/>
      <w:marTop w:val="0"/>
      <w:marBottom w:val="0"/>
      <w:divBdr>
        <w:top w:val="none" w:sz="0" w:space="0" w:color="auto"/>
        <w:left w:val="none" w:sz="0" w:space="0" w:color="auto"/>
        <w:bottom w:val="none" w:sz="0" w:space="0" w:color="auto"/>
        <w:right w:val="none" w:sz="0" w:space="0" w:color="auto"/>
      </w:divBdr>
      <w:divsChild>
        <w:div w:id="2128769535">
          <w:marLeft w:val="0"/>
          <w:marRight w:val="0"/>
          <w:marTop w:val="0"/>
          <w:marBottom w:val="0"/>
          <w:divBdr>
            <w:top w:val="none" w:sz="0" w:space="0" w:color="auto"/>
            <w:left w:val="none" w:sz="0" w:space="0" w:color="auto"/>
            <w:bottom w:val="none" w:sz="0" w:space="0" w:color="auto"/>
            <w:right w:val="none" w:sz="0" w:space="0" w:color="auto"/>
          </w:divBdr>
          <w:divsChild>
            <w:div w:id="1512647446">
              <w:marLeft w:val="0"/>
              <w:marRight w:val="0"/>
              <w:marTop w:val="0"/>
              <w:marBottom w:val="0"/>
              <w:divBdr>
                <w:top w:val="none" w:sz="0" w:space="0" w:color="auto"/>
                <w:left w:val="none" w:sz="0" w:space="0" w:color="auto"/>
                <w:bottom w:val="none" w:sz="0" w:space="0" w:color="auto"/>
                <w:right w:val="none" w:sz="0" w:space="0" w:color="auto"/>
              </w:divBdr>
              <w:divsChild>
                <w:div w:id="31032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78615">
      <w:bodyDiv w:val="1"/>
      <w:marLeft w:val="0"/>
      <w:marRight w:val="0"/>
      <w:marTop w:val="0"/>
      <w:marBottom w:val="0"/>
      <w:divBdr>
        <w:top w:val="none" w:sz="0" w:space="0" w:color="auto"/>
        <w:left w:val="none" w:sz="0" w:space="0" w:color="auto"/>
        <w:bottom w:val="none" w:sz="0" w:space="0" w:color="auto"/>
        <w:right w:val="none" w:sz="0" w:space="0" w:color="auto"/>
      </w:divBdr>
    </w:div>
    <w:div w:id="1865900307">
      <w:bodyDiv w:val="1"/>
      <w:marLeft w:val="0"/>
      <w:marRight w:val="0"/>
      <w:marTop w:val="0"/>
      <w:marBottom w:val="0"/>
      <w:divBdr>
        <w:top w:val="none" w:sz="0" w:space="0" w:color="auto"/>
        <w:left w:val="none" w:sz="0" w:space="0" w:color="auto"/>
        <w:bottom w:val="none" w:sz="0" w:space="0" w:color="auto"/>
        <w:right w:val="none" w:sz="0" w:space="0" w:color="auto"/>
      </w:divBdr>
    </w:div>
    <w:div w:id="1882477815">
      <w:bodyDiv w:val="1"/>
      <w:marLeft w:val="0"/>
      <w:marRight w:val="0"/>
      <w:marTop w:val="0"/>
      <w:marBottom w:val="0"/>
      <w:divBdr>
        <w:top w:val="none" w:sz="0" w:space="0" w:color="auto"/>
        <w:left w:val="none" w:sz="0" w:space="0" w:color="auto"/>
        <w:bottom w:val="none" w:sz="0" w:space="0" w:color="auto"/>
        <w:right w:val="none" w:sz="0" w:space="0" w:color="auto"/>
      </w:divBdr>
    </w:div>
    <w:div w:id="1908299132">
      <w:bodyDiv w:val="1"/>
      <w:marLeft w:val="0"/>
      <w:marRight w:val="0"/>
      <w:marTop w:val="0"/>
      <w:marBottom w:val="0"/>
      <w:divBdr>
        <w:top w:val="none" w:sz="0" w:space="0" w:color="auto"/>
        <w:left w:val="none" w:sz="0" w:space="0" w:color="auto"/>
        <w:bottom w:val="none" w:sz="0" w:space="0" w:color="auto"/>
        <w:right w:val="none" w:sz="0" w:space="0" w:color="auto"/>
      </w:divBdr>
    </w:div>
    <w:div w:id="197813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occmed/kqaa036" TargetMode="External"/><Relationship Id="rId13" Type="http://schemas.openxmlformats.org/officeDocument/2006/relationships/hyperlink" Target="https://www.researchgate.net/deref/http%3A%2F%2Fdx.doi.org%2F10.5455%2FJCBPR.274847?_sg%5B0%5D=WGJyAJg6gW0Z3d5F6M46oDJw7WNjA4LzXjb8fxXPirBo4zQwyPkZTLhvK2gkjAo01ifJKhQ_7wkXhOSscJ0rGTJnzw.BNyPiov02_Vha4DSs0cIDf8gZQy8jbgQA00HuASW340Y3iyb640VpAiC2kH1etiGttVyEDEjyFiXOHTkU-w5Gw" TargetMode="External"/><Relationship Id="rId3" Type="http://schemas.openxmlformats.org/officeDocument/2006/relationships/styles" Target="styles.xml"/><Relationship Id="rId7" Type="http://schemas.openxmlformats.org/officeDocument/2006/relationships/hyperlink" Target="https://www.who.int/docs/default-source/coronaviruse/situation-reports/20200610-covid-19-sitrep-142.pdf?sfvrsn=180898cd%20_4" TargetMode="External"/><Relationship Id="rId12" Type="http://schemas.openxmlformats.org/officeDocument/2006/relationships/hyperlink" Target="https://doi.org/10.1016/j.jcbs.2019.11.00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oi.org/10.1016/j.beth.2011.03.007" TargetMode="External"/><Relationship Id="rId11" Type="http://schemas.openxmlformats.org/officeDocument/2006/relationships/hyperlink" Target="https://www.researchgate.net/deref/http%3A%2F%2Fdx.doi.org%2F10.1080%2F19315864.2011.582230?_sg%5B0%5D=w1TDPFoiCj9r-rls-ubEcJwPpmv-Ws7HIN_o0ohr751lLOdLUiwIPS-DEB-WSl_17byxelpDd_AMSP8F4c89xj2xVQ.a3BgTq-7EugrwtYL9L-kVjghxsLwnKeETHhKRdt_Q-wa4QuLWesmB6nsxufFvUdcO_DyIJetp6KTJGITnUPEFQ" TargetMode="External"/><Relationship Id="rId5" Type="http://schemas.openxmlformats.org/officeDocument/2006/relationships/webSettings" Target="webSettings.xml"/><Relationship Id="rId15" Type="http://schemas.openxmlformats.org/officeDocument/2006/relationships/hyperlink" Target="https://www.researchgate.net/deref/http%3A%2F%2Fdx.doi.org%2F10.5455%2Fbcp.20160223124107?_sg%5B0%5D=LO739Am8-PD0YiXXtk-aU13AS3WZB8OpnV5c-vXHeZTCOv3x4C0vq7PMta44gfWYhzsnq8U2_6eELZk4G4xrJ-0UHg.Xizh9Y7rB9VKZrSU3KQKo1aQk4YD5uPkIQI4A8KFr5oLQHOi5XSGcpX-gMFYzDq2Q7viPjQLU52QaGCTk0Z5qw" TargetMode="External"/><Relationship Id="rId10" Type="http://schemas.openxmlformats.org/officeDocument/2006/relationships/hyperlink" Target="https://doi.org/10.1016/j.brat.2004.10.003" TargetMode="External"/><Relationship Id="rId4" Type="http://schemas.openxmlformats.org/officeDocument/2006/relationships/settings" Target="settings.xml"/><Relationship Id="rId9" Type="http://schemas.openxmlformats.org/officeDocument/2006/relationships/hyperlink" Target="https://www.researchgate.net/deref/http%3A%2F%2Fdx.doi.org%2F10.1080%2F09638230020023642" TargetMode="External"/><Relationship Id="rId14" Type="http://schemas.openxmlformats.org/officeDocument/2006/relationships/hyperlink" Target="https://doi.org/10.1037/h005454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61C56-B4E1-9A42-88D5-027C25EC2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TotalTime>
  <Pages>23</Pages>
  <Words>6088</Words>
  <Characters>34702</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85</cp:revision>
  <dcterms:created xsi:type="dcterms:W3CDTF">2020-08-29T15:29:00Z</dcterms:created>
  <dcterms:modified xsi:type="dcterms:W3CDTF">2020-12-16T20:36:00Z</dcterms:modified>
</cp:coreProperties>
</file>