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0B68" w14:textId="457F1079" w:rsidR="00EB0B1B" w:rsidRPr="00F97C61" w:rsidRDefault="00E51325" w:rsidP="004A3EF6">
      <w:pPr>
        <w:spacing w:line="360" w:lineRule="auto"/>
        <w:ind w:left="851"/>
        <w:jc w:val="center"/>
        <w:rPr>
          <w:b/>
          <w:bCs/>
          <w:color w:val="000000" w:themeColor="text1"/>
        </w:rPr>
      </w:pPr>
      <w:r w:rsidRPr="00F97C61">
        <w:rPr>
          <w:b/>
          <w:bCs/>
          <w:color w:val="000000" w:themeColor="text1"/>
        </w:rPr>
        <w:t xml:space="preserve">Kısa Telkine Yatkınlık Ölçeği Ölçeğinin Türkçeye Uyarlanması: Güvenirlik </w:t>
      </w:r>
      <w:r w:rsidR="00DB04AB" w:rsidRPr="00F97C61">
        <w:rPr>
          <w:b/>
          <w:bCs/>
          <w:color w:val="000000" w:themeColor="text1"/>
        </w:rPr>
        <w:t>v</w:t>
      </w:r>
      <w:r w:rsidRPr="00F97C61">
        <w:rPr>
          <w:b/>
          <w:bCs/>
          <w:color w:val="000000" w:themeColor="text1"/>
        </w:rPr>
        <w:t>e Geçerlik Çalışması</w:t>
      </w:r>
    </w:p>
    <w:p w14:paraId="513942FF" w14:textId="734C005A" w:rsidR="00EB0B1B" w:rsidRPr="00F97C61" w:rsidRDefault="00EB0B1B" w:rsidP="00BD0596">
      <w:pPr>
        <w:spacing w:line="360" w:lineRule="auto"/>
        <w:ind w:left="851"/>
        <w:rPr>
          <w:b/>
          <w:bCs/>
          <w:color w:val="000000" w:themeColor="text1"/>
        </w:rPr>
      </w:pPr>
    </w:p>
    <w:p w14:paraId="45B665D2" w14:textId="34E38D24" w:rsidR="004A3EF6" w:rsidRPr="00F97C61" w:rsidRDefault="004A3EF6" w:rsidP="00BD0596">
      <w:pPr>
        <w:spacing w:line="360" w:lineRule="auto"/>
        <w:ind w:left="851"/>
        <w:rPr>
          <w:b/>
          <w:bCs/>
          <w:color w:val="000000" w:themeColor="text1"/>
        </w:rPr>
      </w:pPr>
      <w:r w:rsidRPr="00F97C61">
        <w:rPr>
          <w:b/>
          <w:bCs/>
          <w:color w:val="000000" w:themeColor="text1"/>
        </w:rPr>
        <w:t>Özet</w:t>
      </w:r>
      <w:r w:rsidR="00A71A54">
        <w:rPr>
          <w:b/>
          <w:bCs/>
          <w:color w:val="000000" w:themeColor="text1"/>
        </w:rPr>
        <w:t xml:space="preserve"> </w:t>
      </w:r>
    </w:p>
    <w:p w14:paraId="23AE5772" w14:textId="334CA965" w:rsidR="006946EB" w:rsidRPr="00F97C61" w:rsidRDefault="00750F06" w:rsidP="008B2DF7">
      <w:pPr>
        <w:spacing w:line="360" w:lineRule="auto"/>
        <w:ind w:left="851"/>
        <w:rPr>
          <w:color w:val="000000" w:themeColor="text1"/>
          <w:shd w:val="clear" w:color="auto" w:fill="FFFFFF"/>
        </w:rPr>
      </w:pPr>
      <w:r>
        <w:rPr>
          <w:color w:val="000000" w:themeColor="text1"/>
          <w:shd w:val="clear" w:color="auto" w:fill="FFFFFF"/>
        </w:rPr>
        <w:t>Bu ç</w:t>
      </w:r>
      <w:r w:rsidR="004A3EF6" w:rsidRPr="00F97C61">
        <w:rPr>
          <w:color w:val="000000" w:themeColor="text1"/>
          <w:shd w:val="clear" w:color="auto" w:fill="FFFFFF"/>
        </w:rPr>
        <w:t xml:space="preserve">alışmada </w:t>
      </w:r>
      <w:proofErr w:type="spellStart"/>
      <w:r w:rsidR="004A3EF6" w:rsidRPr="00F97C61">
        <w:rPr>
          <w:color w:val="000000" w:themeColor="text1"/>
        </w:rPr>
        <w:t>Kotov</w:t>
      </w:r>
      <w:proofErr w:type="spellEnd"/>
      <w:r w:rsidR="00156990" w:rsidRPr="00F97C61">
        <w:rPr>
          <w:color w:val="000000" w:themeColor="text1"/>
        </w:rPr>
        <w:t xml:space="preserve">, </w:t>
      </w:r>
      <w:proofErr w:type="spellStart"/>
      <w:r w:rsidR="00156990" w:rsidRPr="00F97C61">
        <w:rPr>
          <w:color w:val="000000" w:themeColor="text1"/>
        </w:rPr>
        <w:t>Bellman</w:t>
      </w:r>
      <w:proofErr w:type="spellEnd"/>
      <w:r w:rsidR="00156990" w:rsidRPr="00F97C61">
        <w:rPr>
          <w:color w:val="000000" w:themeColor="text1"/>
        </w:rPr>
        <w:t xml:space="preserve"> ve Watson (2004) </w:t>
      </w:r>
      <w:r w:rsidR="004A3EF6" w:rsidRPr="00F97C61">
        <w:rPr>
          <w:color w:val="000000" w:themeColor="text1"/>
        </w:rPr>
        <w:t>tarafından</w:t>
      </w:r>
      <w:r w:rsidR="004A3EF6" w:rsidRPr="00F97C61">
        <w:rPr>
          <w:b/>
          <w:bCs/>
          <w:color w:val="000000" w:themeColor="text1"/>
        </w:rPr>
        <w:t xml:space="preserve"> </w:t>
      </w:r>
      <w:r w:rsidR="004A3EF6" w:rsidRPr="00F97C61">
        <w:rPr>
          <w:color w:val="000000" w:themeColor="text1"/>
        </w:rPr>
        <w:t>geliştirilen</w:t>
      </w:r>
      <w:r w:rsidR="00156990" w:rsidRPr="00F97C61">
        <w:rPr>
          <w:color w:val="000000" w:themeColor="text1"/>
        </w:rPr>
        <w:t>,</w:t>
      </w:r>
      <w:r w:rsidR="004A3EF6" w:rsidRPr="00F97C61">
        <w:rPr>
          <w:color w:val="000000" w:themeColor="text1"/>
        </w:rPr>
        <w:t xml:space="preserve"> 21 maddeden oluşan ve Çok Boyutlu Iowa Telkine Yatkınlık </w:t>
      </w:r>
      <w:proofErr w:type="spellStart"/>
      <w:r w:rsidR="004A3EF6" w:rsidRPr="00F97C61">
        <w:rPr>
          <w:color w:val="000000" w:themeColor="text1"/>
        </w:rPr>
        <w:t>Ölçeği’nin</w:t>
      </w:r>
      <w:proofErr w:type="spellEnd"/>
      <w:r w:rsidR="004A3EF6" w:rsidRPr="00F97C61">
        <w:rPr>
          <w:color w:val="000000" w:themeColor="text1"/>
        </w:rPr>
        <w:t xml:space="preserve"> (</w:t>
      </w:r>
      <w:proofErr w:type="spellStart"/>
      <w:r w:rsidR="004A3EF6" w:rsidRPr="00F97C61">
        <w:rPr>
          <w:color w:val="000000" w:themeColor="text1"/>
        </w:rPr>
        <w:t>Multidimensional</w:t>
      </w:r>
      <w:proofErr w:type="spellEnd"/>
      <w:r w:rsidR="004A3EF6" w:rsidRPr="00F97C61">
        <w:rPr>
          <w:color w:val="000000" w:themeColor="text1"/>
        </w:rPr>
        <w:t xml:space="preserve"> Iowa </w:t>
      </w:r>
      <w:proofErr w:type="spellStart"/>
      <w:r w:rsidR="004A3EF6" w:rsidRPr="00F97C61">
        <w:rPr>
          <w:color w:val="000000" w:themeColor="text1"/>
        </w:rPr>
        <w:t>Suggestibility</w:t>
      </w:r>
      <w:proofErr w:type="spellEnd"/>
      <w:r w:rsidR="004A3EF6" w:rsidRPr="00F97C61">
        <w:rPr>
          <w:color w:val="000000" w:themeColor="text1"/>
        </w:rPr>
        <w:t xml:space="preserve"> </w:t>
      </w:r>
      <w:proofErr w:type="spellStart"/>
      <w:r w:rsidR="004A3EF6" w:rsidRPr="00F97C61">
        <w:rPr>
          <w:color w:val="000000" w:themeColor="text1"/>
        </w:rPr>
        <w:t>Scale</w:t>
      </w:r>
      <w:proofErr w:type="spellEnd"/>
      <w:r w:rsidR="004A3EF6" w:rsidRPr="00F97C61">
        <w:rPr>
          <w:color w:val="000000" w:themeColor="text1"/>
        </w:rPr>
        <w:t>- MISS) genel yapısını koruduğu gösterilen kısa bir formunun</w:t>
      </w:r>
      <w:r w:rsidR="004A3EF6" w:rsidRPr="00F97C61">
        <w:rPr>
          <w:color w:val="000000" w:themeColor="text1"/>
          <w:shd w:val="clear" w:color="auto" w:fill="FFFFFF"/>
        </w:rPr>
        <w:t xml:space="preserve"> </w:t>
      </w:r>
      <w:proofErr w:type="spellStart"/>
      <w:r w:rsidR="004A3EF6" w:rsidRPr="00F97C61">
        <w:rPr>
          <w:color w:val="000000" w:themeColor="text1"/>
          <w:shd w:val="clear" w:color="auto" w:fill="FFFFFF"/>
        </w:rPr>
        <w:t>Türkçe</w:t>
      </w:r>
      <w:r w:rsidR="00E67ED6">
        <w:rPr>
          <w:color w:val="000000" w:themeColor="text1"/>
          <w:shd w:val="clear" w:color="auto" w:fill="FFFFFF"/>
        </w:rPr>
        <w:t>’</w:t>
      </w:r>
      <w:r w:rsidR="004A3EF6" w:rsidRPr="00F97C61">
        <w:rPr>
          <w:color w:val="000000" w:themeColor="text1"/>
          <w:shd w:val="clear" w:color="auto" w:fill="FFFFFF"/>
        </w:rPr>
        <w:t>ye</w:t>
      </w:r>
      <w:proofErr w:type="spellEnd"/>
      <w:r w:rsidR="004A3EF6" w:rsidRPr="00F97C61">
        <w:rPr>
          <w:color w:val="000000" w:themeColor="text1"/>
          <w:shd w:val="clear" w:color="auto" w:fill="FFFFFF"/>
        </w:rPr>
        <w:t xml:space="preserve"> uyarlama çalışmasının yapılması amaçlanmıştır. </w:t>
      </w:r>
    </w:p>
    <w:p w14:paraId="06CC0CEF" w14:textId="4AA7CBF5" w:rsidR="006946EB" w:rsidRPr="00F97C61" w:rsidRDefault="006946EB" w:rsidP="008B2DF7">
      <w:pPr>
        <w:spacing w:line="360" w:lineRule="auto"/>
        <w:ind w:left="851"/>
        <w:rPr>
          <w:color w:val="000000" w:themeColor="text1"/>
        </w:rPr>
      </w:pPr>
      <w:r w:rsidRPr="00F97C61">
        <w:rPr>
          <w:color w:val="000000" w:themeColor="text1"/>
          <w:shd w:val="clear" w:color="auto" w:fill="FFFFFF"/>
        </w:rPr>
        <w:t xml:space="preserve">Kısa Telkine Yatkınlık </w:t>
      </w:r>
      <w:proofErr w:type="spellStart"/>
      <w:r w:rsidR="004A3EF6" w:rsidRPr="00F97C61">
        <w:rPr>
          <w:color w:val="000000" w:themeColor="text1"/>
        </w:rPr>
        <w:t>Ölçeği’nin</w:t>
      </w:r>
      <w:proofErr w:type="spellEnd"/>
      <w:r w:rsidR="004A3EF6" w:rsidRPr="00F97C61">
        <w:rPr>
          <w:color w:val="000000" w:themeColor="text1"/>
        </w:rPr>
        <w:t xml:space="preserve"> </w:t>
      </w:r>
      <w:proofErr w:type="spellStart"/>
      <w:r w:rsidR="004A3EF6" w:rsidRPr="00F97C61">
        <w:rPr>
          <w:color w:val="000000" w:themeColor="text1"/>
        </w:rPr>
        <w:t>Türkçe’ye</w:t>
      </w:r>
      <w:proofErr w:type="spellEnd"/>
      <w:r w:rsidR="004A3EF6" w:rsidRPr="00F97C61">
        <w:rPr>
          <w:color w:val="000000" w:themeColor="text1"/>
        </w:rPr>
        <w:t xml:space="preserve"> uyarlanması çalışması </w:t>
      </w:r>
      <w:r w:rsidR="00FA6D6E" w:rsidRPr="00F97C61">
        <w:rPr>
          <w:color w:val="000000" w:themeColor="text1"/>
        </w:rPr>
        <w:t>77 “18 yaş altı”, 217 “18 yaş ve üzeri” toplam 294 lise ve</w:t>
      </w:r>
      <w:r w:rsidR="004A3EF6" w:rsidRPr="00F97C61">
        <w:rPr>
          <w:color w:val="000000" w:themeColor="text1"/>
        </w:rPr>
        <w:t xml:space="preserve"> üniversite öğrencisinden oluşan bir örneklem ile yürütülmüştür. </w:t>
      </w:r>
      <w:r w:rsidRPr="00F97C61">
        <w:rPr>
          <w:color w:val="000000" w:themeColor="text1"/>
        </w:rPr>
        <w:t xml:space="preserve">Katılımcılara Kısa Telkine Yatkınlık Ölçeği (KTYÖ) ve Özerk İlişkisel Benlik Ölçeği (ÖİBÖ) uygulanmıştır. </w:t>
      </w:r>
    </w:p>
    <w:p w14:paraId="678CF64C" w14:textId="137D0878" w:rsidR="006946EB" w:rsidRPr="00F97C61" w:rsidRDefault="006946EB" w:rsidP="00BD4A0E">
      <w:pPr>
        <w:spacing w:line="360" w:lineRule="auto"/>
        <w:ind w:left="851"/>
        <w:rPr>
          <w:color w:val="000000" w:themeColor="text1"/>
          <w:shd w:val="clear" w:color="auto" w:fill="FFFFFF"/>
        </w:rPr>
      </w:pPr>
      <w:r w:rsidRPr="00F97C61">
        <w:rPr>
          <w:color w:val="000000" w:themeColor="text1"/>
          <w:shd w:val="clear" w:color="auto" w:fill="FFFFFF"/>
        </w:rPr>
        <w:t xml:space="preserve">Ölçeğin yapı geçerliğini belirlemek için yapılan </w:t>
      </w:r>
      <w:proofErr w:type="spellStart"/>
      <w:r w:rsidRPr="00F97C61">
        <w:rPr>
          <w:color w:val="000000" w:themeColor="text1"/>
          <w:shd w:val="clear" w:color="auto" w:fill="FFFFFF"/>
        </w:rPr>
        <w:t>Açımlayıcı</w:t>
      </w:r>
      <w:proofErr w:type="spellEnd"/>
      <w:r w:rsidRPr="00F97C61">
        <w:rPr>
          <w:color w:val="000000" w:themeColor="text1"/>
          <w:shd w:val="clear" w:color="auto" w:fill="FFFFFF"/>
        </w:rPr>
        <w:t xml:space="preserve"> Faktör Analizi (AFA) sonucu toplam </w:t>
      </w:r>
      <w:proofErr w:type="spellStart"/>
      <w:r w:rsidRPr="00F97C61">
        <w:rPr>
          <w:color w:val="000000" w:themeColor="text1"/>
          <w:shd w:val="clear" w:color="auto" w:fill="FFFFFF"/>
        </w:rPr>
        <w:t>varyansın</w:t>
      </w:r>
      <w:proofErr w:type="spellEnd"/>
      <w:r w:rsidRPr="00F97C61">
        <w:rPr>
          <w:color w:val="000000" w:themeColor="text1"/>
          <w:shd w:val="clear" w:color="auto" w:fill="FFFFFF"/>
        </w:rPr>
        <w:t xml:space="preserve"> %5</w:t>
      </w:r>
      <w:r w:rsidR="0070749F" w:rsidRPr="00F97C61">
        <w:rPr>
          <w:color w:val="000000" w:themeColor="text1"/>
          <w:shd w:val="clear" w:color="auto" w:fill="FFFFFF"/>
        </w:rPr>
        <w:t>2</w:t>
      </w:r>
      <w:r w:rsidRPr="00F97C61">
        <w:rPr>
          <w:color w:val="000000" w:themeColor="text1"/>
          <w:shd w:val="clear" w:color="auto" w:fill="FFFFFF"/>
        </w:rPr>
        <w:t>,5</w:t>
      </w:r>
      <w:r w:rsidR="009948BA" w:rsidRPr="00F97C61">
        <w:rPr>
          <w:color w:val="000000" w:themeColor="text1"/>
          <w:shd w:val="clear" w:color="auto" w:fill="FFFFFF"/>
        </w:rPr>
        <w:t>9</w:t>
      </w:r>
      <w:r w:rsidRPr="00F97C61">
        <w:rPr>
          <w:color w:val="000000" w:themeColor="text1"/>
          <w:shd w:val="clear" w:color="auto" w:fill="FFFFFF"/>
        </w:rPr>
        <w:t>’</w:t>
      </w:r>
      <w:r w:rsidR="009948BA" w:rsidRPr="00F97C61">
        <w:rPr>
          <w:color w:val="000000" w:themeColor="text1"/>
          <w:shd w:val="clear" w:color="auto" w:fill="FFFFFF"/>
        </w:rPr>
        <w:t>unu</w:t>
      </w:r>
      <w:r w:rsidRPr="00F97C61">
        <w:rPr>
          <w:color w:val="000000" w:themeColor="text1"/>
          <w:shd w:val="clear" w:color="auto" w:fill="FFFFFF"/>
        </w:rPr>
        <w:t xml:space="preserve"> açıklayan </w:t>
      </w:r>
      <w:r w:rsidR="0070749F" w:rsidRPr="00F97C61">
        <w:rPr>
          <w:color w:val="000000" w:themeColor="text1"/>
          <w:shd w:val="clear" w:color="auto" w:fill="FFFFFF"/>
        </w:rPr>
        <w:t>beş</w:t>
      </w:r>
      <w:r w:rsidRPr="00F97C61">
        <w:rPr>
          <w:color w:val="000000" w:themeColor="text1"/>
          <w:shd w:val="clear" w:color="auto" w:fill="FFFFFF"/>
        </w:rPr>
        <w:t xml:space="preserve"> boyutlu bir yapı elde edilmiştir. </w:t>
      </w:r>
      <w:r w:rsidR="001A7B17">
        <w:rPr>
          <w:color w:val="000000" w:themeColor="text1"/>
        </w:rPr>
        <w:t>Doğrulayıcı faktör analizi sonucu</w:t>
      </w:r>
      <w:r w:rsidR="001A7B17" w:rsidRPr="0090601D">
        <w:rPr>
          <w:color w:val="000000" w:themeColor="text1"/>
        </w:rPr>
        <w:t xml:space="preserve"> ölçeğin kabul edilebilir uyum indekslerine sahip olduğu </w:t>
      </w:r>
      <w:r w:rsidR="001A7B17">
        <w:rPr>
          <w:color w:val="000000" w:themeColor="text1"/>
        </w:rPr>
        <w:t>görülmüştür</w:t>
      </w:r>
      <w:r w:rsidR="001A7B17" w:rsidRPr="0090601D">
        <w:rPr>
          <w:color w:val="000000" w:themeColor="text1"/>
        </w:rPr>
        <w:t>.</w:t>
      </w:r>
      <w:r w:rsidR="001A7B17">
        <w:rPr>
          <w:color w:val="000000" w:themeColor="text1"/>
        </w:rPr>
        <w:t xml:space="preserve"> </w:t>
      </w:r>
      <w:r w:rsidRPr="00F97C61">
        <w:rPr>
          <w:color w:val="000000" w:themeColor="text1"/>
        </w:rPr>
        <w:t xml:space="preserve">Kısa Telkine Yatkınlık </w:t>
      </w:r>
      <w:proofErr w:type="spellStart"/>
      <w:r w:rsidRPr="00F97C61">
        <w:rPr>
          <w:color w:val="000000" w:themeColor="text1"/>
        </w:rPr>
        <w:t>Ölçeği’nin</w:t>
      </w:r>
      <w:proofErr w:type="spellEnd"/>
      <w:r w:rsidRPr="00F97C61">
        <w:rPr>
          <w:color w:val="000000" w:themeColor="text1"/>
        </w:rPr>
        <w:t xml:space="preserve"> genel puanı ile özerk ilişkisel benlik ölçeğinin özerk benlik (r=</w:t>
      </w:r>
      <w:r w:rsidR="00BD4A0E" w:rsidRPr="00F97C61">
        <w:rPr>
          <w:color w:val="000000" w:themeColor="text1"/>
        </w:rPr>
        <w:t>-</w:t>
      </w:r>
      <w:r w:rsidRPr="00F97C61">
        <w:rPr>
          <w:color w:val="000000" w:themeColor="text1"/>
        </w:rPr>
        <w:t>.43) ve ilişkisel benlik (</w:t>
      </w:r>
      <w:r w:rsidR="00BD4A0E" w:rsidRPr="00F97C61">
        <w:rPr>
          <w:color w:val="000000" w:themeColor="text1"/>
        </w:rPr>
        <w:t xml:space="preserve">r=.31) </w:t>
      </w:r>
      <w:r w:rsidRPr="00F97C61">
        <w:rPr>
          <w:color w:val="000000" w:themeColor="text1"/>
        </w:rPr>
        <w:t>alt boyutu arasında istatistiksel açıdan anlamlı ilişki bulunmuştur.</w:t>
      </w:r>
      <w:r w:rsidR="00BD4A0E" w:rsidRPr="00F97C61">
        <w:rPr>
          <w:color w:val="000000" w:themeColor="text1"/>
          <w:shd w:val="clear" w:color="auto" w:fill="FFFFFF"/>
        </w:rPr>
        <w:t xml:space="preserve"> </w:t>
      </w:r>
      <w:r w:rsidRPr="00F97C61">
        <w:rPr>
          <w:color w:val="000000" w:themeColor="text1"/>
          <w:shd w:val="clear" w:color="auto" w:fill="FFFFFF"/>
        </w:rPr>
        <w:t>Güvenirlik analizleri sonucunda ölçeğin toplam iç tutarlılık katsayısı .86 bulunmuştur</w:t>
      </w:r>
      <w:r w:rsidRPr="00F97C61">
        <w:rPr>
          <w:color w:val="000000" w:themeColor="text1"/>
        </w:rPr>
        <w:t>. Test tekrar test güvenirlik katsayısı r</w:t>
      </w:r>
      <w:r w:rsidR="009E659E" w:rsidRPr="00F97C61">
        <w:rPr>
          <w:color w:val="000000" w:themeColor="text1"/>
        </w:rPr>
        <w:t xml:space="preserve"> </w:t>
      </w:r>
      <w:r w:rsidRPr="00F97C61">
        <w:rPr>
          <w:color w:val="000000" w:themeColor="text1"/>
        </w:rPr>
        <w:t>=</w:t>
      </w:r>
      <w:r w:rsidR="009E659E" w:rsidRPr="00F97C61">
        <w:rPr>
          <w:color w:val="000000" w:themeColor="text1"/>
        </w:rPr>
        <w:t xml:space="preserve"> </w:t>
      </w:r>
      <w:r w:rsidRPr="00F97C61">
        <w:rPr>
          <w:color w:val="000000" w:themeColor="text1"/>
        </w:rPr>
        <w:t>.85;</w:t>
      </w:r>
      <w:r w:rsidR="009E659E" w:rsidRPr="00F97C61">
        <w:rPr>
          <w:color w:val="000000" w:themeColor="text1"/>
        </w:rPr>
        <w:t xml:space="preserve"> </w:t>
      </w:r>
      <w:r w:rsidRPr="00F97C61">
        <w:rPr>
          <w:color w:val="000000" w:themeColor="text1"/>
        </w:rPr>
        <w:t>p&lt;.01 olarak bulunmuştur.</w:t>
      </w:r>
    </w:p>
    <w:p w14:paraId="3AF42C67" w14:textId="0C76FA18" w:rsidR="00DD1297" w:rsidRPr="00F97C61" w:rsidRDefault="006946EB" w:rsidP="00DD1297">
      <w:pPr>
        <w:spacing w:line="360" w:lineRule="auto"/>
        <w:ind w:left="851"/>
        <w:rPr>
          <w:color w:val="000000" w:themeColor="text1"/>
        </w:rPr>
      </w:pPr>
      <w:r w:rsidRPr="00F97C61">
        <w:rPr>
          <w:color w:val="000000" w:themeColor="text1"/>
        </w:rPr>
        <w:t xml:space="preserve"> </w:t>
      </w:r>
      <w:r w:rsidR="00BD4A0E" w:rsidRPr="00F97C61">
        <w:rPr>
          <w:color w:val="000000" w:themeColor="text1"/>
        </w:rPr>
        <w:t>KTYÖ</w:t>
      </w:r>
      <w:r w:rsidRPr="00F97C61">
        <w:rPr>
          <w:color w:val="000000" w:themeColor="text1"/>
        </w:rPr>
        <w:t xml:space="preserve">, ülkemizde </w:t>
      </w:r>
      <w:r w:rsidR="00BD4A0E" w:rsidRPr="00F97C61">
        <w:rPr>
          <w:color w:val="000000" w:themeColor="text1"/>
        </w:rPr>
        <w:t>ergen</w:t>
      </w:r>
      <w:r w:rsidRPr="00F97C61">
        <w:rPr>
          <w:color w:val="000000" w:themeColor="text1"/>
        </w:rPr>
        <w:t xml:space="preserve"> ve </w:t>
      </w:r>
      <w:r w:rsidR="00BD4A0E" w:rsidRPr="00F97C61">
        <w:rPr>
          <w:color w:val="000000" w:themeColor="text1"/>
        </w:rPr>
        <w:t>yetişkinlerin</w:t>
      </w:r>
      <w:r w:rsidRPr="00F97C61">
        <w:rPr>
          <w:color w:val="000000" w:themeColor="text1"/>
        </w:rPr>
        <w:t xml:space="preserve"> değerlendirilmesinde kullanılabilecek geçerli ve güvenilir bir ölçektir.</w:t>
      </w:r>
      <w:r w:rsidR="00DD1297" w:rsidRPr="00F97C61">
        <w:rPr>
          <w:color w:val="000000" w:themeColor="text1"/>
        </w:rPr>
        <w:t xml:space="preserve"> Bulgularımız</w:t>
      </w:r>
      <w:r w:rsidRPr="00F97C61">
        <w:rPr>
          <w:color w:val="000000" w:themeColor="text1"/>
        </w:rPr>
        <w:t xml:space="preserve"> </w:t>
      </w:r>
      <w:proofErr w:type="spellStart"/>
      <w:r w:rsidR="00DD1297" w:rsidRPr="00F97C61">
        <w:rPr>
          <w:color w:val="000000" w:themeColor="text1"/>
        </w:rPr>
        <w:t>KTYÖ’nün</w:t>
      </w:r>
      <w:proofErr w:type="spellEnd"/>
      <w:r w:rsidR="00DD1297" w:rsidRPr="00F97C61">
        <w:rPr>
          <w:color w:val="000000" w:themeColor="text1"/>
        </w:rPr>
        <w:t xml:space="preserve"> Türkçe formunun geçerli ve güvenilir olduğunu göstermekte ve </w:t>
      </w:r>
      <w:proofErr w:type="spellStart"/>
      <w:r w:rsidR="00DD1297" w:rsidRPr="00F97C61">
        <w:rPr>
          <w:color w:val="000000" w:themeColor="text1"/>
        </w:rPr>
        <w:t>KYTÖ’nin</w:t>
      </w:r>
      <w:proofErr w:type="spellEnd"/>
      <w:r w:rsidR="00DD1297" w:rsidRPr="00F97C61">
        <w:rPr>
          <w:color w:val="000000" w:themeColor="text1"/>
        </w:rPr>
        <w:t xml:space="preserve"> ergenlik ve yetişkinlik dönemindeki </w:t>
      </w:r>
      <w:r w:rsidR="0070749F" w:rsidRPr="00F97C61">
        <w:rPr>
          <w:color w:val="000000" w:themeColor="text1"/>
        </w:rPr>
        <w:t xml:space="preserve">bireylerin </w:t>
      </w:r>
      <w:r w:rsidR="00DD1297" w:rsidRPr="00F97C61">
        <w:rPr>
          <w:color w:val="000000" w:themeColor="text1"/>
        </w:rPr>
        <w:t xml:space="preserve">telkine yatkınlık perspektifinden ele alınabilmesinde faydalı bir ölçek olabileceği göstermektedir. </w:t>
      </w:r>
    </w:p>
    <w:p w14:paraId="4D26ABB0" w14:textId="0A469067" w:rsidR="00DD1297" w:rsidRPr="00F97C61" w:rsidRDefault="006946EB" w:rsidP="009E659E">
      <w:pPr>
        <w:spacing w:line="360" w:lineRule="auto"/>
        <w:ind w:left="851"/>
        <w:rPr>
          <w:color w:val="000000" w:themeColor="text1"/>
        </w:rPr>
      </w:pPr>
      <w:r w:rsidRPr="00F97C61">
        <w:rPr>
          <w:color w:val="000000" w:themeColor="text1"/>
        </w:rPr>
        <w:t xml:space="preserve">Anahtar kelimeler: </w:t>
      </w:r>
      <w:r w:rsidR="00BD4A0E" w:rsidRPr="00F97C61">
        <w:rPr>
          <w:color w:val="000000" w:themeColor="text1"/>
        </w:rPr>
        <w:t>Telkine yatkınl</w:t>
      </w:r>
      <w:r w:rsidR="00E00154" w:rsidRPr="00F97C61">
        <w:rPr>
          <w:color w:val="000000" w:themeColor="text1"/>
        </w:rPr>
        <w:t xml:space="preserve">ık, Benlik Algısı, </w:t>
      </w:r>
      <w:proofErr w:type="spellStart"/>
      <w:r w:rsidR="00E00154" w:rsidRPr="00F97C61">
        <w:rPr>
          <w:color w:val="000000" w:themeColor="text1"/>
        </w:rPr>
        <w:t>Yönlendirilebilirlik</w:t>
      </w:r>
      <w:proofErr w:type="spellEnd"/>
      <w:r w:rsidR="00E00154" w:rsidRPr="00F97C61">
        <w:rPr>
          <w:color w:val="000000" w:themeColor="text1"/>
        </w:rPr>
        <w:t xml:space="preserve"> </w:t>
      </w:r>
    </w:p>
    <w:p w14:paraId="025424C3" w14:textId="77777777" w:rsidR="0070749F" w:rsidRPr="00F97C61" w:rsidRDefault="0070749F">
      <w:pPr>
        <w:spacing w:after="0" w:line="240" w:lineRule="auto"/>
        <w:jc w:val="left"/>
        <w:rPr>
          <w:b/>
          <w:bCs/>
          <w:color w:val="000000" w:themeColor="text1"/>
        </w:rPr>
      </w:pPr>
      <w:r w:rsidRPr="00F97C61">
        <w:rPr>
          <w:b/>
          <w:bCs/>
          <w:color w:val="000000" w:themeColor="text1"/>
        </w:rPr>
        <w:br w:type="page"/>
      </w:r>
    </w:p>
    <w:p w14:paraId="05C04DA4" w14:textId="3450297B" w:rsidR="00EB0B1B" w:rsidRPr="00F97C61" w:rsidRDefault="00BD4A0E" w:rsidP="00BD0596">
      <w:pPr>
        <w:spacing w:line="360" w:lineRule="auto"/>
        <w:ind w:left="851"/>
        <w:rPr>
          <w:b/>
          <w:bCs/>
          <w:color w:val="000000" w:themeColor="text1"/>
        </w:rPr>
      </w:pPr>
      <w:r w:rsidRPr="00F97C61">
        <w:rPr>
          <w:b/>
          <w:bCs/>
          <w:color w:val="000000" w:themeColor="text1"/>
        </w:rPr>
        <w:lastRenderedPageBreak/>
        <w:t>GİRİŞ</w:t>
      </w:r>
    </w:p>
    <w:p w14:paraId="7806B7DD" w14:textId="39FC7EEF" w:rsidR="003D1EB6" w:rsidRPr="00F97C61" w:rsidRDefault="0096775E" w:rsidP="00BD0596">
      <w:pPr>
        <w:spacing w:line="360" w:lineRule="auto"/>
        <w:ind w:left="851"/>
        <w:rPr>
          <w:color w:val="000000" w:themeColor="text1"/>
        </w:rPr>
      </w:pPr>
      <w:r w:rsidRPr="00F97C61">
        <w:rPr>
          <w:color w:val="000000" w:themeColor="text1"/>
        </w:rPr>
        <w:t>Telkine yatkınlık kavramı bir kişilik özelliği olarak bireyin kendisine verilen mesajları kabul etmesi olarak tanımlanmakta ve araştırmacılar telkine yatkınlığın uyumluluktan farklı bir özellik olduğunu vurgulamaktadır</w:t>
      </w:r>
      <w:r w:rsidR="00A24F84" w:rsidRPr="00F97C61">
        <w:rPr>
          <w:color w:val="000000" w:themeColor="text1"/>
        </w:rPr>
        <w:t xml:space="preserve"> </w:t>
      </w:r>
      <w:r w:rsidR="00A24F84" w:rsidRPr="00F97C61">
        <w:rPr>
          <w:color w:val="000000" w:themeColor="text1"/>
        </w:rPr>
        <w:fldChar w:fldCharType="begin" w:fldLock="1"/>
      </w:r>
      <w:r w:rsidR="00702DBA" w:rsidRPr="00F97C61">
        <w:rPr>
          <w:color w:val="000000" w:themeColor="text1"/>
        </w:rPr>
        <w:instrText>ADDIN CSL_CITATION {"citationItems":[{"id":"ITEM-1","itemData":{"author":[{"dropping-particle":"","family":"Kotov, R. I., Bellman, S. B., &amp; Watson","given":"D. B.","non-dropping-particle":"","parse-names":false,"suffix":""}],"container-title":"Stony Brook University","id":"ITEM-1","issued":{"date-parts":[["2004"]]},"title":"Multidimensional Iowa suggestibility scale (MISS)","type":"webpage"},"uris":["http://www.mendeley.com/documents/?uuid=963a7672-7cb9-462d-8a1e-d35252176fdf"]}],"mendeley":{"formattedCitation":"(Kotov, R. I., Bellman, S. B., &amp; Watson, 2004)","plainTextFormattedCitation":"(Kotov, R. I., Bellman, S. B., &amp; Watson, 2004)","previouslyFormattedCitation":"(Kotov, R. I., Bellman, S. B., &amp; Watson, 2004)"},"properties":{"noteIndex":0},"schema":"https://github.com/citation-style-language/schema/raw/master/csl-citation.json"}</w:instrText>
      </w:r>
      <w:r w:rsidR="00A24F84" w:rsidRPr="00F97C61">
        <w:rPr>
          <w:color w:val="000000" w:themeColor="text1"/>
        </w:rPr>
        <w:fldChar w:fldCharType="separate"/>
      </w:r>
      <w:r w:rsidR="00702DBA" w:rsidRPr="00F97C61">
        <w:rPr>
          <w:noProof/>
          <w:color w:val="000000" w:themeColor="text1"/>
        </w:rPr>
        <w:t>(Kotov, R. I., Bellman, S. B., &amp; Watson, 2004)</w:t>
      </w:r>
      <w:r w:rsidR="00A24F84" w:rsidRPr="00F97C61">
        <w:rPr>
          <w:color w:val="000000" w:themeColor="text1"/>
        </w:rPr>
        <w:fldChar w:fldCharType="end"/>
      </w:r>
      <w:r w:rsidRPr="00F97C61">
        <w:rPr>
          <w:color w:val="000000" w:themeColor="text1"/>
        </w:rPr>
        <w:t>. Bu bağlamda uyumluluğun daha çok davranışsal boyutlarından farklı olarak telkine yatkınlığın ilgili mesaj ve uyaranları içselleştirmeyi de kapsadığı düşünülmektedir</w:t>
      </w:r>
      <w:r w:rsidR="000D3280" w:rsidRPr="00F97C61">
        <w:rPr>
          <w:color w:val="000000" w:themeColor="text1"/>
        </w:rPr>
        <w:t xml:space="preserve"> </w:t>
      </w:r>
      <w:r w:rsidR="000D3280" w:rsidRPr="00F97C61">
        <w:rPr>
          <w:color w:val="000000" w:themeColor="text1"/>
        </w:rPr>
        <w:fldChar w:fldCharType="begin" w:fldLock="1"/>
      </w:r>
      <w:r w:rsidR="00702DBA" w:rsidRPr="00F97C61">
        <w:rPr>
          <w:color w:val="000000" w:themeColor="text1"/>
        </w:rPr>
        <w:instrText>ADDIN CSL_CITATION {"citationItems":[{"id":"ITEM-1","itemData":{"author":[{"dropping-particle":"","family":"Kotov, R. I., Bellman, S. B., &amp; Watson","given":"D. B.","non-dropping-particle":"","parse-names":false,"suffix":""}],"container-title":"Stony Brook University","id":"ITEM-1","issued":{"date-parts":[["2004"]]},"title":"Multidimensional Iowa suggestibility scale (MISS)","type":"webpage"},"uris":["http://www.mendeley.com/documents/?uuid=963a7672-7cb9-462d-8a1e-d35252176fdf"]}],"mendeley":{"formattedCitation":"(Kotov, R. I., Bellman, S. B., &amp; Watson, 2004)","plainTextFormattedCitation":"(Kotov, R. I., Bellman, S. B., &amp; Watson, 2004)","previouslyFormattedCitation":"(Kotov, R. I., Bellman, S. B., &amp; Watson, 2004)"},"properties":{"noteIndex":0},"schema":"https://github.com/citation-style-language/schema/raw/master/csl-citation.json"}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(Kotov, R. I., Bellman, S. B., &amp; Watson, 2004)</w:t>
      </w:r>
      <w:r w:rsidR="000D3280" w:rsidRPr="00F97C61">
        <w:rPr>
          <w:color w:val="000000" w:themeColor="text1"/>
        </w:rPr>
        <w:fldChar w:fldCharType="end"/>
      </w:r>
      <w:r w:rsidR="000D3280" w:rsidRPr="00F97C61">
        <w:rPr>
          <w:color w:val="000000" w:themeColor="text1"/>
        </w:rPr>
        <w:t xml:space="preserve">. </w:t>
      </w:r>
      <w:r w:rsidRPr="00F97C61">
        <w:rPr>
          <w:color w:val="000000" w:themeColor="text1"/>
        </w:rPr>
        <w:t xml:space="preserve">Tarihsel olarak telkine yatkınlık kavramı hipnoz ile ilişkili olarak ele alınmış ve sıklıkla </w:t>
      </w:r>
      <w:proofErr w:type="spellStart"/>
      <w:r w:rsidRPr="00F97C61">
        <w:rPr>
          <w:color w:val="000000" w:themeColor="text1"/>
        </w:rPr>
        <w:t>hipnotik</w:t>
      </w:r>
      <w:proofErr w:type="spellEnd"/>
      <w:r w:rsidRPr="00F97C61">
        <w:rPr>
          <w:color w:val="000000" w:themeColor="text1"/>
        </w:rPr>
        <w:t xml:space="preserve"> telkine yakınlık olarak kavramsallaştırılmıştır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{"citationItems":[{"id":"ITEM-1","itemData":{"DOI":"10.1016/j.concog.2009.07.009","ISSN":"10538100","PMID":"19709904","abstract":"We examined two potential correlates of hypnotic suggestibility: dissociation and cognitive inhibition. Dissociation is the foundation of two of the major theories of hypnosis and other theories commonly postulate that hypnotic responding is a result of attentional abilities (including inhibition). Participants were administered the Waterloo-Stanford Group Scale of Hypnotic Susceptibility, Form C. Under the guise of an unrelated study, 180 of these participants also completed: a version of the Dissociative Experiences Scale that is normally distributed in non-clinical populations; a latent inhibition task, a spatial negative priming task, and a memory task designed to measure negative priming. The data ruled out even moderate correlations between hypnotic suggestibility and all the measures of dissociation and cognitive inhibition overall, though they also indicated gender differences. The results are a challenge for existing theories of hypnosis. © 2009 Elsevier Inc. All rights reserved.","author":[{"dropping-particle":"","family":"Dienes","given":"Zoltán","non-dropping-particle":"","parse-names":false,"suffix":""},{"dropping-particle":"","family":"Brown","given":"Elizabeth","non-dropping-particle":"","parse-names":false,"suffix":""},{"dropping-particle":"","family":"Hutton","given":"Sam","non-dropping-particle":"","parse-names":false,"suffix":""},{"dropping-particle":"","family":"Kirsch","given":"Irving","non-dropping-particle":"","parse-names":false,"suffix":""},{"dropping-particle":"","family":"Mazzoni","given":"Giuliana","non-dropping-particle":"","parse-names":false,"suffix":""},{"dropping-particle":"","family":"Wright","given":"Daniel B.","non-dropping-particle":"","parse-names":false,"suffix":""}],"container-title":"Consciousness and Cognition","id":"ITEM-1","issue":"4","issued":{"date-parts":[["2009","12","1"]]},"page":"837-847","publisher":"Academic Press","title":"Hypnotic suggestibility, cognitive inhibition, and dissociation","type":"article-journal","volume":"18"},"uris":["http://www.mendeley.com/documents/?uuid=9acc7a81-998a-377b-9ad2-9367619ea09f"]}],"mendeley":{"formattedCitation":"(Dienes et al., 2009)","plainTextFormattedCitation":"(Dienes et al., 2009)","previouslyFormattedCitation":"(Dienes et al., 2009)"},"properties":{"noteIndex":0},"schema":"https://github.com/citation-style-language/schema/raw/master/csl-citation.json"}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(Dienes et al., 2009)</w:t>
      </w:r>
      <w:r w:rsidR="000D3280" w:rsidRPr="00F97C61">
        <w:rPr>
          <w:color w:val="000000" w:themeColor="text1"/>
        </w:rPr>
        <w:fldChar w:fldCharType="end"/>
      </w:r>
      <w:r w:rsidR="000D3280" w:rsidRPr="00F97C61">
        <w:rPr>
          <w:color w:val="000000" w:themeColor="text1"/>
        </w:rPr>
        <w:t xml:space="preserve">. </w:t>
      </w:r>
      <w:r w:rsidRPr="00F97C61">
        <w:rPr>
          <w:color w:val="000000" w:themeColor="text1"/>
        </w:rPr>
        <w:t xml:space="preserve">Bununla birlikte, telkine yatkınlığı bir ucunda </w:t>
      </w:r>
      <w:proofErr w:type="spellStart"/>
      <w:r w:rsidRPr="00F97C61">
        <w:rPr>
          <w:color w:val="000000" w:themeColor="text1"/>
        </w:rPr>
        <w:t>hipnotik</w:t>
      </w:r>
      <w:proofErr w:type="spellEnd"/>
      <w:r w:rsidRPr="00F97C61">
        <w:rPr>
          <w:color w:val="000000" w:themeColor="text1"/>
        </w:rPr>
        <w:t xml:space="preserve"> duyarlılık ve diğer ucunda </w:t>
      </w:r>
      <w:proofErr w:type="spellStart"/>
      <w:r w:rsidR="00D72C84">
        <w:rPr>
          <w:color w:val="000000" w:themeColor="text1"/>
        </w:rPr>
        <w:t>kandırılabilirlik</w:t>
      </w:r>
      <w:proofErr w:type="spellEnd"/>
      <w:r w:rsidRPr="00F97C61">
        <w:rPr>
          <w:color w:val="000000" w:themeColor="text1"/>
        </w:rPr>
        <w:t xml:space="preserve"> olan bir spektrumda ele alan araştırmacılar da vardır</w:t>
      </w:r>
      <w:r w:rsidR="000D3280" w:rsidRPr="00F97C61">
        <w:rPr>
          <w:color w:val="000000" w:themeColor="text1"/>
        </w:rPr>
        <w:fldChar w:fldCharType="begin" w:fldLock="1"/>
      </w:r>
      <w:r w:rsidR="00A95345" w:rsidRPr="00F97C61">
        <w:rPr>
          <w:color w:val="000000" w:themeColor="text1"/>
        </w:rPr>
        <w:instrText>ADDIN CSL_CITATION {"citationItems":[{"id":"ITEM-1","itemData":{"DOI":"10.1002/acp.834","ISSN":"08884080","abstract":"The present article reviews research and theory related to dissociation, memory, and suggestibility in adults and children. We examine various manifestations of dissociation (e.g. trait versus state accounts of dissociation, pathological versus non-pathological dissociation), the different ways that memory and suggestibility are defined and measured across studies, and the extent to which dissociation is related to suggestibility as a function of the definition and measurement of relevant constructs. Finally, we examine the relationship between dissociation and children's resistance to misinformation, provide a critical review of the strengths and limitations of the extant literature, and suggest directions for future research and theoretical developments in the field. Copyright © 2001 John Wiley &amp; Sons, Ltd.","author":[{"dropping-particle":"","family":"Eisen","given":"Mitchell L.","non-dropping-particle":"","parse-names":false,"suffix":""},{"dropping-particle":"","family":"Lynn","given":"Steven J.","non-dropping-particle":"","parse-names":false,"suffix":""}],"container-title":"Applied Cognitive Psychology","id":"ITEM-1","issue":"7 SPEC. ISS.","issued":{"date-parts":[["2001","12"]]},"title":"Dissociation, Memory and Suggestibility in Adults and Children","type":"article-journal","volume":"15"},"uris":["http://www.mendeley.com/documents/?uuid=78ff4d4e-88a9-3f8e-b38d-b0936dc6b1bb"]}],"mendeley":{"formattedCitation":"(Eisen &amp; Lynn, 2001)","manualFormatting":" (Eisen &amp; Lynn, 2001)","plainTextFormattedCitation":"(Eisen &amp; Lynn, 2001)","previouslyFormattedCitation":"(Eisen &amp; Lynn, 2001)"},"properties":{"noteIndex":0},"schema":"https://github.com/citation-style-language/schema/raw/master/csl-citation.json"}</w:instrText>
      </w:r>
      <w:r w:rsidR="000D3280" w:rsidRPr="00F97C61">
        <w:rPr>
          <w:color w:val="000000" w:themeColor="text1"/>
        </w:rPr>
        <w:fldChar w:fldCharType="separate"/>
      </w:r>
      <w:r w:rsidR="009E659E" w:rsidRPr="00F97C61">
        <w:rPr>
          <w:noProof/>
          <w:color w:val="000000" w:themeColor="text1"/>
        </w:rPr>
        <w:t xml:space="preserve"> </w:t>
      </w:r>
      <w:r w:rsidR="00702DBA" w:rsidRPr="00F97C61">
        <w:rPr>
          <w:noProof/>
          <w:color w:val="000000" w:themeColor="text1"/>
        </w:rPr>
        <w:t>(Eisen &amp; Lynn, 2001)</w:t>
      </w:r>
      <w:r w:rsidR="000D3280" w:rsidRPr="00F97C61">
        <w:rPr>
          <w:color w:val="000000" w:themeColor="text1"/>
        </w:rPr>
        <w:fldChar w:fldCharType="end"/>
      </w:r>
      <w:r w:rsidRPr="00F97C61">
        <w:rPr>
          <w:color w:val="000000" w:themeColor="text1"/>
        </w:rPr>
        <w:t xml:space="preserve"> </w:t>
      </w:r>
      <w:r w:rsidR="000D3280" w:rsidRPr="00F97C61">
        <w:rPr>
          <w:color w:val="000000" w:themeColor="text1"/>
        </w:rPr>
        <w:t>.</w:t>
      </w:r>
      <w:r w:rsidR="009E659E" w:rsidRPr="00F97C61">
        <w:rPr>
          <w:color w:val="000000" w:themeColor="text1"/>
        </w:rPr>
        <w:t xml:space="preserve"> </w:t>
      </w:r>
      <w:r w:rsidRPr="00F97C61">
        <w:rPr>
          <w:color w:val="000000" w:themeColor="text1"/>
        </w:rPr>
        <w:t xml:space="preserve">Bu perspektifle telkine yatkınlık literatürde kendisine temel olarak </w:t>
      </w:r>
      <w:r w:rsidR="00681EF9" w:rsidRPr="00F97C61">
        <w:rPr>
          <w:color w:val="000000" w:themeColor="text1"/>
        </w:rPr>
        <w:t xml:space="preserve">adli tıp alanında yer bulmuş ve </w:t>
      </w:r>
      <w:proofErr w:type="spellStart"/>
      <w:r w:rsidR="00681EF9" w:rsidRPr="00F97C61">
        <w:rPr>
          <w:color w:val="000000" w:themeColor="text1"/>
        </w:rPr>
        <w:t>sorgusal</w:t>
      </w:r>
      <w:proofErr w:type="spellEnd"/>
      <w:r w:rsidR="00681EF9" w:rsidRPr="00F97C61">
        <w:rPr>
          <w:color w:val="000000" w:themeColor="text1"/>
        </w:rPr>
        <w:t xml:space="preserve"> </w:t>
      </w:r>
      <w:proofErr w:type="spellStart"/>
      <w:r w:rsidR="00681EF9" w:rsidRPr="00F97C61">
        <w:rPr>
          <w:color w:val="000000" w:themeColor="text1"/>
        </w:rPr>
        <w:t>yönlendirilebilirlik</w:t>
      </w:r>
      <w:proofErr w:type="spellEnd"/>
      <w:r w:rsidR="00681EF9" w:rsidRPr="00F97C61">
        <w:rPr>
          <w:color w:val="000000" w:themeColor="text1"/>
        </w:rPr>
        <w:t xml:space="preserve"> olarak ele alınmıştır</w:t>
      </w:r>
      <w:r w:rsidR="009E659E"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{"citationItems":[{"id":"ITEM-1","itemData":{"abstract":"Argues that interrogative suggestibility differs from traditional types of suggestibility and proposes a theoretical model with specific domains of applicability to police interrogation situations. The model integrates leading questions and negative feedback aspects of suggestibility (G. H. Gudjonsson, see record 1985-11147-001) and provides a framework for understanding the process and outcome of interrogations. According to the model, interrogative suggestibility is dependent on coping strategies that Ss can generate and implement when dealing with uncertainty and expectations of the interrogative system. (PsycINFO Database Record (c) 2016 APA, all rights reserved)","author":[{"dropping-particle":"","family":"Gudjonsson","given":"Gisli H","non-dropping-particle":"","parse-names":false,"suffix":""},{"dropping-particle":"","family":"Clark","given":"Noel K","non-dropping-particle":"","parse-names":false,"suffix":""}],"container-title":"Social Behaviour","id":"ITEM-1","issue":"2","issued":{"date-parts":[["1986"]]},"page":"83-104","publisher":"John Wiley &amp; Sons","publisher-place":"US","title":"Suggestibility in police interrogation: A social psychological model.","type":"article-journal","volume":"1"},"uris":["http://www.mendeley.com/documents/?uuid=8ce58267-f8b6-4f4b-b074-a98d9624c18c"]}],"mendeley":{"formattedCitation":"(Gudjonsson &amp; Clark, 1986)","plainTextFormattedCitation":"(Gudjonsson &amp; Clark, 1986)","previouslyFormattedCitation":"(Gudjonsson &amp; Clark, 1986)"},"properties":{"noteIndex":0},"schema":"https://github.com/citation-style-language/schema/raw/master/csl-citation.json"}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(Gudjonsson &amp; Clark, 1986)</w:t>
      </w:r>
      <w:r w:rsidR="000D3280" w:rsidRPr="00F97C61">
        <w:rPr>
          <w:color w:val="000000" w:themeColor="text1"/>
        </w:rPr>
        <w:fldChar w:fldCharType="end"/>
      </w:r>
      <w:r w:rsidR="00BE1ABC" w:rsidRPr="00F97C61">
        <w:rPr>
          <w:color w:val="000000" w:themeColor="text1"/>
        </w:rPr>
        <w:t xml:space="preserve">. </w:t>
      </w:r>
      <w:r w:rsidR="00681EF9" w:rsidRPr="00F97C61">
        <w:rPr>
          <w:color w:val="000000" w:themeColor="text1"/>
        </w:rPr>
        <w:t>Telkine yatkınlığın bu tipini</w:t>
      </w:r>
      <w:r w:rsidR="00BE1ABC" w:rsidRPr="00F97C61">
        <w:rPr>
          <w:color w:val="000000" w:themeColor="text1"/>
        </w:rPr>
        <w:t xml:space="preserve"> </w:t>
      </w:r>
      <w:r w:rsidR="00681EF9" w:rsidRPr="00F97C61">
        <w:rPr>
          <w:color w:val="000000" w:themeColor="text1"/>
        </w:rPr>
        <w:t xml:space="preserve">değerlendirmek amacıyla çeşitli ölçekler geliştirilmiş ve farklı bağlamlarda kullanılagelmiştir. Bu ölçeklerden en sık kullanılanları </w:t>
      </w:r>
      <w:proofErr w:type="spellStart"/>
      <w:r w:rsidR="00BE1ABC" w:rsidRPr="00F97C61">
        <w:rPr>
          <w:i/>
          <w:iCs/>
          <w:color w:val="000000" w:themeColor="text1"/>
        </w:rPr>
        <w:t>Gudjonsson</w:t>
      </w:r>
      <w:proofErr w:type="spellEnd"/>
      <w:r w:rsidR="00BE1ABC" w:rsidRPr="00F97C61">
        <w:rPr>
          <w:i/>
          <w:iCs/>
          <w:color w:val="000000" w:themeColor="text1"/>
        </w:rPr>
        <w:t xml:space="preserve"> </w:t>
      </w:r>
      <w:proofErr w:type="spellStart"/>
      <w:r w:rsidR="00BE1ABC" w:rsidRPr="00F97C61">
        <w:rPr>
          <w:i/>
          <w:iCs/>
          <w:color w:val="000000" w:themeColor="text1"/>
        </w:rPr>
        <w:t>Suggestibility</w:t>
      </w:r>
      <w:proofErr w:type="spellEnd"/>
      <w:r w:rsidR="00BE1ABC" w:rsidRPr="00F97C61">
        <w:rPr>
          <w:i/>
          <w:iCs/>
          <w:color w:val="000000" w:themeColor="text1"/>
        </w:rPr>
        <w:t xml:space="preserve"> </w:t>
      </w:r>
      <w:proofErr w:type="spellStart"/>
      <w:r w:rsidR="00BE1ABC" w:rsidRPr="00F97C61">
        <w:rPr>
          <w:i/>
          <w:iCs/>
          <w:color w:val="000000" w:themeColor="text1"/>
        </w:rPr>
        <w:t>Scale</w:t>
      </w:r>
      <w:proofErr w:type="spellEnd"/>
      <w:r w:rsidR="00BE1ABC" w:rsidRPr="00F97C61">
        <w:rPr>
          <w:i/>
          <w:iCs/>
          <w:color w:val="000000" w:themeColor="text1"/>
        </w:rPr>
        <w:t xml:space="preserve"> (GSS</w:t>
      </w:r>
      <w:r w:rsidR="00BE1ABC" w:rsidRPr="00F97C61">
        <w:rPr>
          <w:color w:val="000000" w:themeColor="text1"/>
        </w:rPr>
        <w:t xml:space="preserve">), Stanford </w:t>
      </w:r>
      <w:proofErr w:type="spellStart"/>
      <w:r w:rsidR="00BE1ABC" w:rsidRPr="00F97C61">
        <w:rPr>
          <w:i/>
          <w:iCs/>
          <w:color w:val="000000" w:themeColor="text1"/>
        </w:rPr>
        <w:t>Hypnotic</w:t>
      </w:r>
      <w:proofErr w:type="spellEnd"/>
      <w:r w:rsidR="00BE1ABC" w:rsidRPr="00F97C61">
        <w:rPr>
          <w:i/>
          <w:iCs/>
          <w:color w:val="000000" w:themeColor="text1"/>
        </w:rPr>
        <w:t xml:space="preserve"> </w:t>
      </w:r>
      <w:proofErr w:type="spellStart"/>
      <w:r w:rsidR="00BE1ABC" w:rsidRPr="00F97C61">
        <w:rPr>
          <w:i/>
          <w:iCs/>
          <w:color w:val="000000" w:themeColor="text1"/>
        </w:rPr>
        <w:t>Susceptibility</w:t>
      </w:r>
      <w:proofErr w:type="spellEnd"/>
      <w:r w:rsidR="00BE1ABC" w:rsidRPr="00F97C61">
        <w:rPr>
          <w:i/>
          <w:iCs/>
          <w:color w:val="000000" w:themeColor="text1"/>
        </w:rPr>
        <w:t xml:space="preserve"> </w:t>
      </w:r>
      <w:proofErr w:type="spellStart"/>
      <w:r w:rsidR="00BE1ABC" w:rsidRPr="00F97C61">
        <w:rPr>
          <w:i/>
          <w:iCs/>
          <w:color w:val="000000" w:themeColor="text1"/>
        </w:rPr>
        <w:t>Scales</w:t>
      </w:r>
      <w:proofErr w:type="spellEnd"/>
      <w:r w:rsidR="00BE1ABC" w:rsidRPr="00F97C61">
        <w:rPr>
          <w:color w:val="000000" w:themeColor="text1"/>
        </w:rPr>
        <w:t xml:space="preserve"> </w:t>
      </w:r>
      <w:r w:rsidR="00681EF9" w:rsidRPr="00F97C61">
        <w:rPr>
          <w:color w:val="000000" w:themeColor="text1"/>
        </w:rPr>
        <w:t>ve</w:t>
      </w:r>
      <w:r w:rsidR="000D3280" w:rsidRPr="00F97C61">
        <w:rPr>
          <w:color w:val="000000" w:themeColor="text1"/>
        </w:rPr>
        <w:t xml:space="preserve"> </w:t>
      </w:r>
      <w:r w:rsidR="00BE1ABC" w:rsidRPr="00F97C61">
        <w:rPr>
          <w:color w:val="000000" w:themeColor="text1"/>
        </w:rPr>
        <w:t xml:space="preserve"> </w:t>
      </w:r>
      <w:r w:rsidR="00BE1ABC" w:rsidRPr="00F97C61">
        <w:rPr>
          <w:i/>
          <w:iCs/>
          <w:color w:val="000000" w:themeColor="text1"/>
        </w:rPr>
        <w:t xml:space="preserve">Harvard </w:t>
      </w:r>
      <w:proofErr w:type="spellStart"/>
      <w:r w:rsidR="00BE1ABC" w:rsidRPr="00F97C61">
        <w:rPr>
          <w:i/>
          <w:iCs/>
          <w:color w:val="000000" w:themeColor="text1"/>
        </w:rPr>
        <w:t>Group</w:t>
      </w:r>
      <w:proofErr w:type="spellEnd"/>
      <w:r w:rsidR="00BE1ABC" w:rsidRPr="00F97C61">
        <w:rPr>
          <w:i/>
          <w:iCs/>
          <w:color w:val="000000" w:themeColor="text1"/>
        </w:rPr>
        <w:t xml:space="preserve"> </w:t>
      </w:r>
      <w:proofErr w:type="spellStart"/>
      <w:r w:rsidR="00BE1ABC" w:rsidRPr="00F97C61">
        <w:rPr>
          <w:i/>
          <w:iCs/>
          <w:color w:val="000000" w:themeColor="text1"/>
        </w:rPr>
        <w:t>Scale</w:t>
      </w:r>
      <w:proofErr w:type="spellEnd"/>
      <w:r w:rsidR="00BE1ABC" w:rsidRPr="00F97C61">
        <w:rPr>
          <w:i/>
          <w:iCs/>
          <w:color w:val="000000" w:themeColor="text1"/>
        </w:rPr>
        <w:t xml:space="preserve"> of </w:t>
      </w:r>
      <w:proofErr w:type="spellStart"/>
      <w:r w:rsidR="00BE1ABC" w:rsidRPr="00F97C61">
        <w:rPr>
          <w:i/>
          <w:iCs/>
          <w:color w:val="000000" w:themeColor="text1"/>
        </w:rPr>
        <w:t>Hypnotic</w:t>
      </w:r>
      <w:proofErr w:type="spellEnd"/>
      <w:r w:rsidR="00BE1ABC" w:rsidRPr="00F97C61">
        <w:rPr>
          <w:i/>
          <w:iCs/>
          <w:color w:val="000000" w:themeColor="text1"/>
        </w:rPr>
        <w:t xml:space="preserve"> </w:t>
      </w:r>
      <w:proofErr w:type="spellStart"/>
      <w:r w:rsidR="00BE1ABC" w:rsidRPr="00F97C61">
        <w:rPr>
          <w:i/>
          <w:iCs/>
          <w:color w:val="000000" w:themeColor="text1"/>
        </w:rPr>
        <w:t>Susceptibility</w:t>
      </w:r>
      <w:proofErr w:type="spellEnd"/>
      <w:r w:rsidR="00681EF9" w:rsidRPr="00F97C61">
        <w:rPr>
          <w:color w:val="000000" w:themeColor="text1"/>
        </w:rPr>
        <w:t xml:space="preserve"> olarak öne çıkmaktadır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{"citationItems":[{"id":"ITEM-1","itemData":{"DOI":"10.1080/00207140208410087","ISSN":"00207144","PMID":"11778707","abstract":"The Stanford Hypnotic Susceptibility Scale, Form C (SHSS:C), developed and named 37 years ago, is arguably the \"gold standard\" of hypnotic susceptibility scales. However, it has been the impression of several researchers that means obtained on the SHSS:C are higher now than in previous years. The authors comprehensively review studies using the SHSS:C over a 4-decade period. The findings demonstrate a significant linear trend between year and SHSS:C scores, with higher obtained means in more recent work. The authors also report a similar analysis of research with the Harvard Group Scale of Hypnotic Susceptibility, Form A. Although the mechanisms underlying this trend can only be speculated upon at present, these findings underscore the importance of using local control groups in research on hypnotizability.","author":[{"dropping-particle":"","family":"Benham","given":"G.","non-dropping-particle":"","parse-names":false,"suffix":""},{"dropping-particle":"","family":"Smith","given":"N.","non-dropping-particle":"","parse-names":false,"suffix":""},{"dropping-particle":"","family":"Nash","given":"M. R.","non-dropping-particle":"","parse-names":false,"suffix":""}],"container-title":"International Journal of Clinical and Experimental Hypnosis","id":"ITEM-1","issue":"1","issued":{"date-parts":[["2002"]]},"page":"5-16","publisher":"SAGE Publications Inc.","title":"Hypnotic susceptibility scales: Are the mean scores increasing?","type":"article-journal","volume":"50"},"uris":["http://www.mendeley.com/documents/?uuid=34d4d5ac-b4e4-3e0f-abdc-5e87dd408837"]}],"mendeley":{"formattedCitation":"(Benham et al., 2002)","plainTextFormattedCitation":"(Benham et al., 2002)","previouslyFormattedCitation":"(Benham et al., 2002)"},"properties":{"noteIndex":0},"schema":"https://github.com/citation-style-language/schema/raw/master/csl-citation.json"}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(Benham et al., 2002)</w:t>
      </w:r>
      <w:r w:rsidR="000D3280" w:rsidRPr="00F97C61">
        <w:rPr>
          <w:color w:val="000000" w:themeColor="text1"/>
        </w:rPr>
        <w:fldChar w:fldCharType="end"/>
      </w:r>
      <w:r w:rsidR="00681EF9" w:rsidRPr="00F97C61">
        <w:rPr>
          <w:color w:val="000000" w:themeColor="text1"/>
        </w:rPr>
        <w:t>. Hatta bu ölçekler ek olarak çocuklardaki telkine yatkınlığı araştırmak için geliştirilen spesifik ölçekler de bulunmaktadır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{"citationItems":[{"id":"ITEM-1","itemData":{"DOI":"10.1016/S0191-8869(00)00077-5","ISSN":"01918869","abstract":"This article describes the development and properties of the Video Suggestibility Scale for Children (Video SSC), a scale designed to measure individual differences in suggestibility in preschool children. The scale was administered to 195 3- to 5-year-old children, and the results suggest that they tend to respond affirmatively to suggestive questions ('Yield') and change their answers in response to negative feedback ('Shift') in a manner similar to adults, though at an elevated rate. Older children were able to remember the video better than younger children in memory recall, but were also more likely to shift their answers in response to negative feedback. The scale items had satisfactory internal consistency and were factor analyzed using the Varimax procedure. Yield and Shift were found to load on different factors, supporting Gudjonsson's (1984) view that there are at least two basic types of interrogative suggestibility [Gudjonsson, G. H. (1984). A new scale of interrogative suggestibility. Personality and Individual Differences, 5, 303-314]. Finally, preliminary validity analyses with an early version of the Video SSC reveals that it is predictive of suggestibility errors made in an independent study, using different procedures. © 2001 Elsevier Science Ltd.","author":[{"dropping-particle":"","family":"Scullin","given":"Matthew H.","non-dropping-particle":"","parse-names":false,"suffix":""},{"dropping-particle":"","family":"Ceci","given":"Stephen J.","non-dropping-particle":"","parse-names":false,"suffix":""}],"container-title":"Personality and Individual Differences","id":"ITEM-1","issue":"5","issued":{"date-parts":[["2001","4","5"]]},"page":"843-856","publisher":"Pergamon","title":"A suggestibility scale for children","type":"article-journal","volume":"30"},"uris":["http://www.mendeley.com/documents/?uuid=a2ce38cb-ef3f-3220-9d52-0a1ca8b0c375"]}],"mendeley":{"formattedCitation":"(Scullin &amp; Ceci, 2001)","plainTextFormattedCitation":"(Scullin &amp; Ceci, 2001)","previouslyFormattedCitation":"(Scullin &amp; Ceci, 2001)"},"properties":{"noteIndex":0},"schema":"https://github.com/citation-style-language/schema/raw/master/csl-citation.json"}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(Scullin &amp; Ceci, 2001)</w:t>
      </w:r>
      <w:r w:rsidR="000D3280" w:rsidRPr="00F97C61">
        <w:rPr>
          <w:color w:val="000000" w:themeColor="text1"/>
        </w:rPr>
        <w:fldChar w:fldCharType="end"/>
      </w:r>
      <w:r w:rsidR="000D3280" w:rsidRPr="00F97C61">
        <w:rPr>
          <w:color w:val="000000" w:themeColor="text1"/>
        </w:rPr>
        <w:t>.</w:t>
      </w:r>
      <w:r w:rsidR="001F203E" w:rsidRPr="00F97C61">
        <w:rPr>
          <w:color w:val="000000" w:themeColor="text1"/>
        </w:rPr>
        <w:t xml:space="preserve"> </w:t>
      </w:r>
      <w:r w:rsidR="00681EF9" w:rsidRPr="00F97C61">
        <w:rPr>
          <w:color w:val="000000" w:themeColor="text1"/>
        </w:rPr>
        <w:t xml:space="preserve">Bu ölçekler temel alınarak yapılan araştırmalarda telkine yatkınlığın duyusal telkine yatkınlık, </w:t>
      </w:r>
      <w:proofErr w:type="spellStart"/>
      <w:r w:rsidR="00681EF9" w:rsidRPr="00F97C61">
        <w:rPr>
          <w:color w:val="000000" w:themeColor="text1"/>
        </w:rPr>
        <w:t>plasebo</w:t>
      </w:r>
      <w:proofErr w:type="spellEnd"/>
      <w:r w:rsidR="00681EF9" w:rsidRPr="00F97C61">
        <w:rPr>
          <w:color w:val="000000" w:themeColor="text1"/>
        </w:rPr>
        <w:t xml:space="preserve"> telkine yatkınlığı, </w:t>
      </w:r>
      <w:proofErr w:type="spellStart"/>
      <w:r w:rsidR="00681EF9" w:rsidRPr="00F97C61">
        <w:rPr>
          <w:color w:val="000000" w:themeColor="text1"/>
        </w:rPr>
        <w:t>sorgusal</w:t>
      </w:r>
      <w:proofErr w:type="spellEnd"/>
      <w:r w:rsidR="00681EF9" w:rsidRPr="00F97C61">
        <w:rPr>
          <w:color w:val="000000" w:themeColor="text1"/>
        </w:rPr>
        <w:t xml:space="preserve"> telkine yatkınlık ve </w:t>
      </w:r>
      <w:proofErr w:type="spellStart"/>
      <w:r w:rsidR="00681EF9" w:rsidRPr="00F97C61">
        <w:rPr>
          <w:color w:val="000000" w:themeColor="text1"/>
        </w:rPr>
        <w:t>imajinatif</w:t>
      </w:r>
      <w:proofErr w:type="spellEnd"/>
      <w:r w:rsidR="00681EF9" w:rsidRPr="00F97C61">
        <w:rPr>
          <w:color w:val="000000" w:themeColor="text1"/>
        </w:rPr>
        <w:t xml:space="preserve"> telkine yatkınlık gibi farklı farklı alt boyutlar üzerinden değerlendirilmesi önerilmektedir</w:t>
      </w:r>
      <w:r w:rsidR="000D3280" w:rsidRPr="00F97C61">
        <w:rPr>
          <w:color w:val="000000" w:themeColor="text1"/>
        </w:rPr>
        <w:t xml:space="preserve"> </w:t>
      </w:r>
      <w:r w:rsidR="000D3280" w:rsidRPr="00F97C61">
        <w:rPr>
          <w:color w:val="000000" w:themeColor="text1"/>
        </w:rPr>
        <w:fldChar w:fldCharType="begin" w:fldLock="1"/>
      </w:r>
      <w:r w:rsidR="00702DBA" w:rsidRPr="00F97C61">
        <w:rPr>
          <w:color w:val="000000" w:themeColor="text1"/>
        </w:rPr>
        <w:instrText>ADDIN CSL_CITATION {"citationItems":[{"id":"ITEM-1","itemData":{"DOI":"10.1080/00207149708416124","ISSN":"00207144","PMID":"9204635","abstract":"Conceptually, hypnotizability has always been defined as the increase in suggestibility produced by hypnosis. In practice, hypnotizability is measured as suggestibility following a hypnotic induction. The data indicate that these are different constructs. Although the induction of hypnosis increases suggestibility to a substantial degree, the correlation between hypnotic and nonhypnotic suggestibility approximates the reliability coefficients of so- called hypnotizability scales. This indicates that hypnotic susceptibility scales are better measures of waking suggestibility than they are of hypnotizability. The discordance between conceptual and operational definations of hypnotizability can be resolved either by changing the conceptual definitions of hypnosis and hypnotizability or by reinterpreting hypnotizability scores as indexes of nonhypnotic, imaginative suggestibility.","author":[{"dropping-particle":"","family":"Kirsch","given":"Irving","non-dropping-particle":"","parse-names":false,"suffix":""}],"container-title":"International Journal of Clinical and Experimental Hypnosis","id":"ITEM-1","issue":"3","issued":{"date-parts":[["1997"]]},"page":"212-225","publisher":"Routledge","title":"Suggestibility or hypnosis: What do our scales really measure?","type":"paper-conference","volume":"45"},"uris":["http://www.mendeley.com/documents/?uuid=1e73d9b1-40cd-3f23-8ba6-471f00745e1d"]}],"mendeley":{"formattedCitation":"(Kirsch, 1997)","plainTextFormattedCitation":"(Kirsch, 1997)","previouslyFormattedCitation":"(Kirsch, 1997)"},"properties":{"noteIndex":0},"schema":"https://github.com/citation-style-language/schema/raw/master/csl-citation.json"}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(Kirsch, 1997)</w:t>
      </w:r>
      <w:r w:rsidR="000D3280" w:rsidRPr="00F97C61">
        <w:rPr>
          <w:color w:val="000000" w:themeColor="text1"/>
        </w:rPr>
        <w:fldChar w:fldCharType="end"/>
      </w:r>
      <w:r w:rsidR="00681EF9" w:rsidRPr="00F97C61">
        <w:rPr>
          <w:color w:val="000000" w:themeColor="text1"/>
        </w:rPr>
        <w:t xml:space="preserve">. </w:t>
      </w:r>
      <w:r w:rsidR="006318E5" w:rsidRPr="00F97C61">
        <w:rPr>
          <w:color w:val="000000" w:themeColor="text1"/>
        </w:rPr>
        <w:t xml:space="preserve">Bu alandaki literatüre Türkçe dilinde bir </w:t>
      </w:r>
      <w:proofErr w:type="spellStart"/>
      <w:r w:rsidR="006318E5" w:rsidRPr="00F97C61">
        <w:rPr>
          <w:color w:val="000000" w:themeColor="text1"/>
        </w:rPr>
        <w:t>hipnotik</w:t>
      </w:r>
      <w:proofErr w:type="spellEnd"/>
      <w:r w:rsidR="006318E5" w:rsidRPr="00F97C61">
        <w:rPr>
          <w:color w:val="000000" w:themeColor="text1"/>
        </w:rPr>
        <w:t xml:space="preserve"> telkine yatkınlık ölçeği geliştirilmiş olması da katkı sağlamıştır </w:t>
      </w:r>
      <w:r w:rsidR="006318E5" w:rsidRPr="00F97C61">
        <w:rPr>
          <w:color w:val="000000" w:themeColor="text1"/>
        </w:rPr>
        <w:fldChar w:fldCharType="begin" w:fldLock="1"/>
      </w:r>
      <w:r w:rsidR="00A95345" w:rsidRPr="00F97C61">
        <w:rPr>
          <w:color w:val="000000" w:themeColor="text1"/>
        </w:rPr>
        <w:instrText>ADDIN CSL_CITATION {"citationItems":[{"id":"ITEM-1","itemData":{"ISSN":"00309982","PMID":"31511719","abstract":"OBJECTIVE: To construct a scale for testing hypnotic suggestibility for Turkish-speaking adults that may be quick and convenient, and to test its reliability and validity. METHODS: The study was conducted at the hypnotherapy outpatient clinics of Atatürk University Acupuncture and Complementary Medicine Application and Research Centre. Erzurum, Turkey, from June to August 2017, and comprised aged 18-60 years. As the first step in the preparation of the scale, a panel of 15 experts was founded. The draft was pilot-tested. Incomprehensible suggestion templates in the pilot study were abolished, and the templates were reduced to four which were put to test as the Tastan Suggestibility Scale. Stanford Hypnotic Clinic Scale was also used on the same subjects, and the results were analysed using SPSS. . RESULTS: Of the 61 subjects, 38(62.3%) were females and 23(37.7%) were males. The overall mean age was 34.21±9.9 years. Cronbach alpha internal reliability coefficient of the scale was calculated to be 0.53. Correlation between the Tastan Suggestibility Scale and Stanford Hypnotic Clinic Scale total scores was high (p&lt;0.001). Mean duration of the application of the scale was 5.0±1.2 minutes. CONCLUSIONS: Tastan Suggestibility Scale was found to be a new, reliable, and rapidly applicable scale.","author":[{"dropping-particle":"","family":"Tastan","given":"Kenan","non-dropping-particle":"","parse-names":false,"suffix":""},{"dropping-particle":"","family":"Demiroz","given":"Halime Pinar","non-dropping-particle":"","parse-names":false,"suffix":""},{"dropping-particle":"","family":"Oztekin","given":"Coskun","non-dropping-particle":"","parse-names":false,"suffix":""},{"dropping-particle":"","family":"Sincan","given":"Suat","non-dropping-particle":"","parse-names":false,"suffix":""}],"container-title":"JPMA. The Journal of the Pakistan Medical Association","id":"ITEM-1","issue":"9","issued":{"date-parts":[["2019","9","1"]]},"page":"1236-1330","publisher":"NLM (Medline)","title":"Development and Validation of a Turkish Hypnotic Suggestibility Scale","type":"article-journal","volume":"69"},"uris":["http://www.mendeley.com/documents/?uuid=89e24f4a-08a2-3457-b24d-5d0ddefc0d7b"]}],"mendeley":{"formattedCitation":"(Tastan et al., 2019)","plainTextFormattedCitation":"(Tastan et al., 2019)","previouslyFormattedCitation":"(Tastan et al., 2019)"},"properties":{"noteIndex":0},"schema":"https://github.com/citation-style-language/schema/raw/master/csl-citation.json"}</w:instrText>
      </w:r>
      <w:r w:rsidR="006318E5" w:rsidRPr="00F97C61">
        <w:rPr>
          <w:color w:val="000000" w:themeColor="text1"/>
        </w:rPr>
        <w:fldChar w:fldCharType="separate"/>
      </w:r>
      <w:r w:rsidR="006318E5" w:rsidRPr="00F97C61">
        <w:rPr>
          <w:noProof/>
          <w:color w:val="000000" w:themeColor="text1"/>
        </w:rPr>
        <w:t>(Tastan et al., 2019)</w:t>
      </w:r>
      <w:r w:rsidR="006318E5" w:rsidRPr="00F97C61">
        <w:rPr>
          <w:color w:val="000000" w:themeColor="text1"/>
        </w:rPr>
        <w:fldChar w:fldCharType="end"/>
      </w:r>
      <w:r w:rsidR="006318E5" w:rsidRPr="00F97C61">
        <w:rPr>
          <w:color w:val="000000" w:themeColor="text1"/>
        </w:rPr>
        <w:t xml:space="preserve">.  Benzer şekilde </w:t>
      </w:r>
      <w:r w:rsidR="006318E5" w:rsidRPr="00F97C61">
        <w:rPr>
          <w:i/>
          <w:iCs/>
          <w:color w:val="000000" w:themeColor="text1"/>
        </w:rPr>
        <w:t xml:space="preserve">Stanford </w:t>
      </w:r>
      <w:proofErr w:type="spellStart"/>
      <w:r w:rsidR="006318E5" w:rsidRPr="00F97C61">
        <w:rPr>
          <w:i/>
          <w:iCs/>
          <w:color w:val="000000" w:themeColor="text1"/>
        </w:rPr>
        <w:t>Hypnotic</w:t>
      </w:r>
      <w:proofErr w:type="spellEnd"/>
      <w:r w:rsidR="006318E5" w:rsidRPr="00F97C61">
        <w:rPr>
          <w:i/>
          <w:iCs/>
          <w:color w:val="000000" w:themeColor="text1"/>
        </w:rPr>
        <w:t xml:space="preserve"> </w:t>
      </w:r>
      <w:proofErr w:type="spellStart"/>
      <w:r w:rsidR="006318E5" w:rsidRPr="00F97C61">
        <w:rPr>
          <w:i/>
          <w:iCs/>
          <w:color w:val="000000" w:themeColor="text1"/>
        </w:rPr>
        <w:t>Clinical</w:t>
      </w:r>
      <w:proofErr w:type="spellEnd"/>
      <w:r w:rsidR="006318E5" w:rsidRPr="00F97C61">
        <w:rPr>
          <w:i/>
          <w:iCs/>
          <w:color w:val="000000" w:themeColor="text1"/>
        </w:rPr>
        <w:t xml:space="preserve"> </w:t>
      </w:r>
      <w:proofErr w:type="spellStart"/>
      <w:r w:rsidR="006318E5" w:rsidRPr="00F97C61">
        <w:rPr>
          <w:i/>
          <w:iCs/>
          <w:color w:val="000000" w:themeColor="text1"/>
        </w:rPr>
        <w:t>Scale</w:t>
      </w:r>
      <w:proofErr w:type="spellEnd"/>
      <w:r w:rsidR="006318E5" w:rsidRPr="00F97C61">
        <w:rPr>
          <w:color w:val="000000" w:themeColor="text1"/>
        </w:rPr>
        <w:t xml:space="preserve"> ve </w:t>
      </w:r>
      <w:proofErr w:type="spellStart"/>
      <w:r w:rsidR="006318E5" w:rsidRPr="00F97C61">
        <w:rPr>
          <w:i/>
          <w:iCs/>
          <w:color w:val="000000" w:themeColor="text1"/>
        </w:rPr>
        <w:t>Gudjonsson</w:t>
      </w:r>
      <w:proofErr w:type="spellEnd"/>
      <w:r w:rsidR="006318E5" w:rsidRPr="00F97C61">
        <w:rPr>
          <w:i/>
          <w:iCs/>
          <w:color w:val="000000" w:themeColor="text1"/>
        </w:rPr>
        <w:t xml:space="preserve"> </w:t>
      </w:r>
      <w:proofErr w:type="spellStart"/>
      <w:r w:rsidR="006318E5" w:rsidRPr="00F97C61">
        <w:rPr>
          <w:i/>
          <w:iCs/>
          <w:color w:val="000000" w:themeColor="text1"/>
        </w:rPr>
        <w:t>Suggestibility</w:t>
      </w:r>
      <w:proofErr w:type="spellEnd"/>
      <w:r w:rsidR="006318E5" w:rsidRPr="00F97C61">
        <w:rPr>
          <w:i/>
          <w:iCs/>
          <w:color w:val="000000" w:themeColor="text1"/>
        </w:rPr>
        <w:t xml:space="preserve"> </w:t>
      </w:r>
      <w:proofErr w:type="spellStart"/>
      <w:r w:rsidR="006318E5" w:rsidRPr="00F97C61">
        <w:rPr>
          <w:i/>
          <w:iCs/>
          <w:color w:val="000000" w:themeColor="text1"/>
        </w:rPr>
        <w:t>Scale</w:t>
      </w:r>
      <w:proofErr w:type="spellEnd"/>
      <w:r w:rsidR="006318E5" w:rsidRPr="00F97C61">
        <w:rPr>
          <w:i/>
          <w:iCs/>
          <w:color w:val="000000" w:themeColor="text1"/>
        </w:rPr>
        <w:t xml:space="preserve"> </w:t>
      </w:r>
      <w:r w:rsidR="00A95345" w:rsidRPr="00F97C61">
        <w:rPr>
          <w:color w:val="000000" w:themeColor="text1"/>
        </w:rPr>
        <w:t>ölçeklerinin</w:t>
      </w:r>
      <w:r w:rsidR="006318E5" w:rsidRPr="00F97C61">
        <w:rPr>
          <w:color w:val="000000" w:themeColor="text1"/>
        </w:rPr>
        <w:t xml:space="preserve"> Türkçe dilin</w:t>
      </w:r>
      <w:r w:rsidR="00A95345" w:rsidRPr="00F97C61">
        <w:rPr>
          <w:color w:val="000000" w:themeColor="text1"/>
        </w:rPr>
        <w:t>deki geçerlilik ve güvenirlilik çalışmaları da</w:t>
      </w:r>
      <w:r w:rsidR="006318E5" w:rsidRPr="00F97C61">
        <w:rPr>
          <w:color w:val="000000" w:themeColor="text1"/>
        </w:rPr>
        <w:t xml:space="preserve"> farklı araştırmacılar tarafından </w:t>
      </w:r>
      <w:r w:rsidR="00A95345" w:rsidRPr="00F97C61">
        <w:rPr>
          <w:color w:val="000000" w:themeColor="text1"/>
        </w:rPr>
        <w:t xml:space="preserve">yapılmıştır </w:t>
      </w:r>
      <w:r w:rsidR="00A95345" w:rsidRPr="00F97C61">
        <w:rPr>
          <w:color w:val="000000" w:themeColor="text1"/>
        </w:rPr>
        <w:fldChar w:fldCharType="begin" w:fldLock="1"/>
      </w:r>
      <w:r w:rsidR="0059223E">
        <w:rPr>
          <w:color w:val="000000" w:themeColor="text1"/>
        </w:rPr>
        <w:instrText>ADDIN CSL_CITATION {"citationItems":[{"id":"ITEM-1","itemData":{"author":[{"dropping-particle":"","family":"Agargun, Mehmet Yucel; Gulec, Mustafa; Ozturk, Rabia; Cimen","given":"Dilek.","non-dropping-particle":"","parse-names":false,"suffix":""}],"container-title":"Sleep and Hypnosis","id":"ITEM-1","issue":"2","issued":{"date-parts":[["2007"]]},"page":"71-81","title":"The Stanford hypnotic clinical scale for adults (SHCS): Validity and reliability of the Turkish version","type":"article-journal","volume":"9"},"uris":["http://www.mendeley.com/documents/?uuid=19eaac65-3da2-39b4-a07d-3b8936d5cdf8"]},{"id":"ITEM-2","itemData":{"author":[{"dropping-particle":"","family":"Ozcan","given":"Ezgi Ildırım","non-dropping-particle":"","parse-names":false,"suffix":""}],"id":"ITEM-2","issued":{"date-parts":[["2018"]]},"publisher":"İstanbul Üniversitesi ","publisher-place":"İstanbul","title":"Gudjonsson yönlendirilebilirlik ölçeği Türkçe geçerlilik ve güvenirlilik çalışması","type":"thesis"},"uris":["http://www.mendeley.com/documents/?uuid=8633578d-5e40-34ef-a77c-539253d64a9b"]}],"mendeley":{"formattedCitation":"(Agargun, Mehmet Yucel; Gulec, Mustafa; Ozturk, Rabia; Cimen, 2007; Ozcan, 2018)","manualFormatting":"(Agargun, et al., 2007; Ozcan, 2018)","plainTextFormattedCitation":"(Agargun, Mehmet Yucel; Gulec, Mustafa; Ozturk, Rabia; Cimen, 2007; Ozcan, 2018)","previouslyFormattedCitation":"(Agargun, Mehmet Yucel; Gulec, Mustafa; Ozturk, Rabia; Cimen, 2007; Ozcan, 2018)"},"properties":{"noteIndex":0},"schema":"https://github.com/citation-style-language/schema/raw/master/csl-citation.json"}</w:instrText>
      </w:r>
      <w:r w:rsidR="00A95345" w:rsidRPr="00F97C61">
        <w:rPr>
          <w:color w:val="000000" w:themeColor="text1"/>
        </w:rPr>
        <w:fldChar w:fldCharType="separate"/>
      </w:r>
      <w:r w:rsidR="00D20AB9" w:rsidRPr="00D20AB9">
        <w:rPr>
          <w:noProof/>
          <w:color w:val="000000" w:themeColor="text1"/>
        </w:rPr>
        <w:t>(Agargun</w:t>
      </w:r>
      <w:r w:rsidR="00D20AB9">
        <w:rPr>
          <w:noProof/>
          <w:color w:val="000000" w:themeColor="text1"/>
        </w:rPr>
        <w:t>, et al.,</w:t>
      </w:r>
      <w:r w:rsidR="00367D9F">
        <w:rPr>
          <w:noProof/>
          <w:color w:val="000000" w:themeColor="text1"/>
        </w:rPr>
        <w:t xml:space="preserve"> </w:t>
      </w:r>
      <w:r w:rsidR="00D20AB9" w:rsidRPr="00D20AB9">
        <w:rPr>
          <w:noProof/>
          <w:color w:val="000000" w:themeColor="text1"/>
        </w:rPr>
        <w:t>2007; Ozcan, 2018)</w:t>
      </w:r>
      <w:r w:rsidR="00A95345" w:rsidRPr="00F97C61">
        <w:rPr>
          <w:color w:val="000000" w:themeColor="text1"/>
        </w:rPr>
        <w:fldChar w:fldCharType="end"/>
      </w:r>
      <w:r w:rsidR="00A95345" w:rsidRPr="00F97C61">
        <w:rPr>
          <w:color w:val="000000" w:themeColor="text1"/>
        </w:rPr>
        <w:t xml:space="preserve">. Ancak bu ölçeklerin Türkçe literatürdeki kullanımı sınırlı kalmıştır. </w:t>
      </w:r>
    </w:p>
    <w:p w14:paraId="5967D946" w14:textId="6EEA06FF" w:rsidR="005E7E97" w:rsidRPr="00F97C61" w:rsidRDefault="00F271E3" w:rsidP="005E7E97">
      <w:pPr>
        <w:spacing w:line="360" w:lineRule="auto"/>
        <w:ind w:left="851"/>
        <w:rPr>
          <w:color w:val="000000" w:themeColor="text1"/>
        </w:rPr>
      </w:pPr>
      <w:r w:rsidRPr="00F97C61">
        <w:rPr>
          <w:color w:val="000000" w:themeColor="text1"/>
        </w:rPr>
        <w:t>Yukarıdaki kavramsal çerçeve dışında yapısal telkine yatkınlık (</w:t>
      </w:r>
      <w:proofErr w:type="spellStart"/>
      <w:r w:rsidRPr="00F97C61">
        <w:rPr>
          <w:color w:val="000000" w:themeColor="text1"/>
        </w:rPr>
        <w:t>trait</w:t>
      </w:r>
      <w:proofErr w:type="spellEnd"/>
      <w:r w:rsidRPr="00F97C61">
        <w:rPr>
          <w:color w:val="000000" w:themeColor="text1"/>
        </w:rPr>
        <w:t xml:space="preserve"> </w:t>
      </w:r>
      <w:proofErr w:type="spellStart"/>
      <w:r w:rsidRPr="00F97C61">
        <w:rPr>
          <w:color w:val="000000" w:themeColor="text1"/>
        </w:rPr>
        <w:t>suggestibility</w:t>
      </w:r>
      <w:proofErr w:type="spellEnd"/>
      <w:r w:rsidRPr="00F97C61">
        <w:rPr>
          <w:color w:val="000000" w:themeColor="text1"/>
        </w:rPr>
        <w:t>) olarak ayrı bir telkine yatkınlık tipinin olduğunu gösterilmiş ve bu alanda pek çok çalışma yürütülmüştür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{"citationItems":[{"id":"ITEM-1","itemData":{"DOI":"10.1080/13546805.2017.1294056","ISSN":"1354-6805","abstract":"Introduction: Auditory hallucinations are associated with signal detection biases. We examine the extent to which suggestions influence performance on a signal detection task (SDT) in highly hallucination-prone and low hallucination-prone students. We also explore the relationship between trait suggestibility, dissociation and hallucination proneness. Method: In two experiments, students completed on-line measures of hallucination proneness (the revised Launay–Slade Hallucination Scale; LSHS-R), trait suggestibility (Inventory of Suggestibility) and dissociation (Dissociative Experiences Scale-II). Students in the upper and lower tertiles of the LSHS-R performed an auditory SDT. Prior to the task, suggestions were made pertaining to the number of expected targets (Experiment 1, N = 60: high vs. low suggestions; Experiment 2, N = 62, no suggestion vs. high suggestion vs. no voice suggestion). Results: Correlational and regression analyses indicated that trait suggestibility and dissociation predicted hallucination proneness. Highly hallucination-prone students showed a higher SDT bias in both studies. In Experiment 1, both bias scores were significantly affected by suggestions to the same degree. In Experiment 2, highly hallucination-prone students were more reactive to the high suggestion condition than the controls. Conclusion: Suggestions may affect source-monitoring judgments, and this effect may be greater in those who have a predisposition towards hallucinatory experiences.","author":[{"dropping-particle":"","family":"Alganami","given":"Fatimah","non-dropping-particle":"","parse-names":false,"suffix":""},{"dropping-particle":"","family":"Varese","given":"Filippo","non-dropping-particle":"","parse-names":false,"suffix":""},{"dropping-particle":"","family":"Wagstaff","given":"Graham F.","non-dropping-particle":"","parse-names":false,"suffix":""},{"dropping-particle":"","family":"Bentall","given":"Richard P.","non-dropping-particle":"","parse-names":false,"suffix":""}],"container-title":"Cognitive Neuropsychiatry","id":"ITEM-1","issue":"2","issued":{"date-parts":[["2017","3","4"]]},"page":"159-174","publisher":"Routledge","title":"Suggestibility and signal detection performance in hallucination-prone students","type":"article-journal","volume":"22"},"uris":["http://www.mendeley.com/documents/?uuid=472d2231-6877-334b-9cf1-6c7eaf8dbe8e"]}],"mendeley":{"formattedCitation":"(Alganami et al., 2017)","plainTextFormattedCitation":"(Alganami et al., 2017)","previouslyFormattedCitation":"(Alganami et al., 2017)"},"properties":{"noteIndex":0},"schema":"https://github.com/citation-style-language/schema/raw/master/csl-citation.json"}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(Alganami et al., 2017)</w:t>
      </w:r>
      <w:r w:rsidR="000D3280" w:rsidRPr="00F97C61">
        <w:rPr>
          <w:color w:val="000000" w:themeColor="text1"/>
        </w:rPr>
        <w:fldChar w:fldCharType="end"/>
      </w:r>
      <w:r w:rsidRPr="00F97C61">
        <w:rPr>
          <w:color w:val="000000" w:themeColor="text1"/>
        </w:rPr>
        <w:t>.</w:t>
      </w:r>
      <w:r w:rsidR="009E659E" w:rsidRPr="00F97C61">
        <w:rPr>
          <w:color w:val="000000" w:themeColor="text1"/>
        </w:rPr>
        <w:t xml:space="preserve"> </w:t>
      </w:r>
      <w:r w:rsidR="00204FF1" w:rsidRPr="00F97C61">
        <w:rPr>
          <w:color w:val="000000" w:themeColor="text1"/>
        </w:rPr>
        <w:t xml:space="preserve">Yapısal telkine yatkınlık kavramı diğer telkine </w:t>
      </w:r>
      <w:r w:rsidR="00204FF1" w:rsidRPr="00F97C61">
        <w:rPr>
          <w:color w:val="000000" w:themeColor="text1"/>
        </w:rPr>
        <w:lastRenderedPageBreak/>
        <w:t xml:space="preserve">yatkınlık tiplerine kıyasla daha stabil bir kişilik özelliği olarak ele alınmaktadır. Bu ayrıma, bireylerin telkine yatkınlığının sık kullanılan ölçekler üzerinden farklı ortamlarda kısa ve uzun vadede değişiklikler gösterdiği bulgusu yol açmıştır </w:t>
      </w:r>
      <w:r w:rsidR="000D3280" w:rsidRPr="00F97C61">
        <w:rPr>
          <w:color w:val="000000" w:themeColor="text1"/>
        </w:rPr>
        <w:fldChar w:fldCharType="begin" w:fldLock="1"/>
      </w:r>
      <w:r w:rsidR="00A95345" w:rsidRPr="00F97C61">
        <w:rPr>
          <w:color w:val="000000" w:themeColor="text1"/>
        </w:rPr>
        <w:instrText>ADDIN CSL_CITATION {"citationItems":[{"id":"ITEM-1","itemData":{"DOI":"10.1016/j.concog.2007.05.004","ISSN":"10538100","PMID":"17576075","abstract":"The present study examined the trait-like nature of hypnotic suggestibility by examining the stability of hypnotic responsiveness in a test-retest design in which the procedures were administered either live or by audiotape. Contrary to the idea that hypnotizability is a largely immutable, stable trait, scores on the scale of hypnotic responsiveness decreased significantly at the second session. Measures of subjective experiences and expectancies accounted for a sizable portion of the variance in hypnotic responding, both at initial test and at retest. Participants became disengaged with the hypnotic procedures at retest. Participants who received the hypnotic induction by audiotape did not differ from participants who received it live. The results are consistent with sociocognitive and altered state theories of hypnosis, and underline the important role of subjective experiences in hypnotic responding. © 2007 Elsevier Inc. All rights reserved.","author":[{"dropping-particle":"","family":"Fassler","given":"Oliver","non-dropping-particle":"","parse-names":false,"suffix":""},{"dropping-particle":"","family":"Lynn","given":"Steven Jay","non-dropping-particle":"","parse-names":false,"suffix":""},{"dropping-particle":"","family":"Knox","given":"Joshua","non-dropping-particle":"","parse-names":false,"suffix":""}],"container-title":"Consciousness and Cognition","id":"ITEM-1","issue":"1","issued":{"date-parts":[["2008","3","1"]]},"page":"240-253","publisher":"Academic Press","title":"Is hypnotic suggestibility a stable trait?","type":"article-journal","volume":"17"},"uris":["http://www.mendeley.com/documents/?uuid=341eebea-4ad7-3317-b2b4-8b6c83a57974"]}],"mendeley":{"formattedCitation":"(Fassler et al., 2008)","plainTextFormattedCitation":"(Fassler et al., 2008)","previouslyFormattedCitation":"(Fassler et al., 2008)"},"properties":{"noteIndex":0},"schema":"https://github.com/citation-style-language/schema/raw/master/csl-citation.json"}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(Fassler et al., 2008)</w:t>
      </w:r>
      <w:r w:rsidR="000D3280" w:rsidRPr="00F97C61">
        <w:rPr>
          <w:color w:val="000000" w:themeColor="text1"/>
        </w:rPr>
        <w:fldChar w:fldCharType="end"/>
      </w:r>
      <w:r w:rsidR="000D3280" w:rsidRPr="00F97C61">
        <w:rPr>
          <w:color w:val="000000" w:themeColor="text1"/>
        </w:rPr>
        <w:t xml:space="preserve">. </w:t>
      </w:r>
      <w:r w:rsidR="00204FF1" w:rsidRPr="00F97C61">
        <w:rPr>
          <w:color w:val="000000" w:themeColor="text1"/>
        </w:rPr>
        <w:t>Sık kullanılan telkine yatkınlık ölçekleri bu açıdan eleştirilmiş ve yapısal telkine yatkınlığı ölçmek amacıyla farklı değerlendirme araçları geliştirilmeye çalışılmıştır. Bu araçlardan biri olan Telkine Yatkınlık Envanteri (</w:t>
      </w:r>
      <w:r w:rsidR="00DC4918" w:rsidRPr="00F97C61">
        <w:rPr>
          <w:color w:val="000000" w:themeColor="text1"/>
        </w:rPr>
        <w:t xml:space="preserve">Inventory of </w:t>
      </w:r>
      <w:proofErr w:type="spellStart"/>
      <w:r w:rsidR="00DC4918" w:rsidRPr="00F97C61">
        <w:rPr>
          <w:color w:val="000000" w:themeColor="text1"/>
        </w:rPr>
        <w:t>Suggestibility</w:t>
      </w:r>
      <w:proofErr w:type="spellEnd"/>
      <w:r w:rsidR="00962EC6" w:rsidRPr="00F97C61">
        <w:rPr>
          <w:color w:val="000000" w:themeColor="text1"/>
        </w:rPr>
        <w:t>)</w:t>
      </w:r>
      <w:r w:rsidR="00204FF1" w:rsidRPr="00F97C61">
        <w:rPr>
          <w:color w:val="000000" w:themeColor="text1"/>
        </w:rPr>
        <w:t xml:space="preserve"> geçerli ve güvenilir bir ölçek olmasına karşın yeterince yaygınlaşamamış ve sınırlı sayıda çalışmada kullanılmıştır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{"citationItems":[{"id":"ITEM-1","itemData":{"DOI":"10.5093/cl2010v21n1a1","ISSN":"1130-5274","abstract":"94 participants, drawn from a parent sample of 1206 individuals who had previously taken part in an assessment of the factor structure of the Oxford-Liverpool Inventory of Feelings and Experiences (O-LIFE), were designated into groups differentiated in terms of low, moderate or high levels of positive schizotypy. All also completed the dissociative experiences scale (DES) and the Inventory of Suggestibility (IS). Our findings suggest that higher reported levels of dissociative experiences and higher suggestibility both independently predict higher scores of positive schizotypy, although suggestibility appears to be a stronger predictor than dissociation. (PsycINFO Database Record (c) 2012 APA, all rights reserved) (journal abstract)","author":[{"dropping-particle":"","family":"Emma","given":"Barkus","non-dropping-particle":"","parse-names":false,"suffix":""},{"dropping-particle":"","family":"John","given":"Stirling","non-dropping-particle":"","parse-names":false,"suffix":""},{"dropping-particle":"","family":"John","given":"Cavill","non-dropping-particle":"","parse-names":false,"suffix":""}],"container-title":"Clínica y Salud","id":"ITEM-1","issue":"1","issued":{"date-parts":[["2010","1","1"]]},"page":"3-8","publisher":"Colegio Oficial de Psicologos de Madrid","title":"Suggestibility, Dissociation and Positive Schizotypy","type":"article-journal","volume":"21"},"uris":["http://www.mendeley.com/documents/?uuid=197cec0f-8756-3cce-bcf0-3ef108eea19e"]}],"mendeley":{"formattedCitation":"(Emma et al., 2010)","plainTextFormattedCitation":"(Emma et al., 2010)","previouslyFormattedCitation":"(Emma et al., 2010)"},"properties":{"noteIndex":0},"schema":"https://github.com/citation-style-language/schema/raw/master/csl-citation.json"}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(Emma et al., 2010)</w:t>
      </w:r>
      <w:r w:rsidR="000D3280" w:rsidRPr="00F97C61">
        <w:rPr>
          <w:color w:val="000000" w:themeColor="text1"/>
        </w:rPr>
        <w:fldChar w:fldCharType="end"/>
      </w:r>
      <w:r w:rsidR="000D3280" w:rsidRPr="00F97C61">
        <w:rPr>
          <w:color w:val="000000" w:themeColor="text1"/>
        </w:rPr>
        <w:t xml:space="preserve">. </w:t>
      </w:r>
      <w:r w:rsidR="00204FF1" w:rsidRPr="00F97C61">
        <w:rPr>
          <w:color w:val="000000" w:themeColor="text1"/>
        </w:rPr>
        <w:t xml:space="preserve">Benzer şekilde </w:t>
      </w:r>
      <w:proofErr w:type="spellStart"/>
      <w:r w:rsidR="00204FF1" w:rsidRPr="00F97C61">
        <w:rPr>
          <w:color w:val="000000" w:themeColor="text1"/>
        </w:rPr>
        <w:t>Gascon</w:t>
      </w:r>
      <w:proofErr w:type="spellEnd"/>
      <w:r w:rsidR="00204FF1" w:rsidRPr="00F97C61">
        <w:rPr>
          <w:color w:val="000000" w:themeColor="text1"/>
        </w:rPr>
        <w:t xml:space="preserve"> ve ark. Tarafından geliştirilen </w:t>
      </w:r>
      <w:proofErr w:type="spellStart"/>
      <w:r w:rsidR="00962EC6" w:rsidRPr="00F97C61">
        <w:rPr>
          <w:color w:val="000000" w:themeColor="text1"/>
        </w:rPr>
        <w:t>Multivariable</w:t>
      </w:r>
      <w:proofErr w:type="spellEnd"/>
      <w:r w:rsidR="00962EC6" w:rsidRPr="00F97C61">
        <w:rPr>
          <w:color w:val="000000" w:themeColor="text1"/>
        </w:rPr>
        <w:t xml:space="preserve"> </w:t>
      </w:r>
      <w:proofErr w:type="spellStart"/>
      <w:r w:rsidR="00962EC6" w:rsidRPr="00F97C61">
        <w:rPr>
          <w:color w:val="000000" w:themeColor="text1"/>
        </w:rPr>
        <w:t>Multiaxial</w:t>
      </w:r>
      <w:proofErr w:type="spellEnd"/>
      <w:r w:rsidR="00962EC6" w:rsidRPr="00F97C61">
        <w:rPr>
          <w:color w:val="000000" w:themeColor="text1"/>
        </w:rPr>
        <w:t xml:space="preserve"> </w:t>
      </w:r>
      <w:proofErr w:type="spellStart"/>
      <w:r w:rsidR="00962EC6" w:rsidRPr="00F97C61">
        <w:rPr>
          <w:color w:val="000000" w:themeColor="text1"/>
        </w:rPr>
        <w:t>Suggestibility</w:t>
      </w:r>
      <w:proofErr w:type="spellEnd"/>
      <w:r w:rsidR="00962EC6" w:rsidRPr="00F97C61">
        <w:rPr>
          <w:color w:val="000000" w:themeColor="text1"/>
        </w:rPr>
        <w:t xml:space="preserve"> Inventory</w:t>
      </w:r>
      <w:r w:rsidR="00E9684C" w:rsidRPr="00F97C61">
        <w:rPr>
          <w:color w:val="000000" w:themeColor="text1"/>
        </w:rPr>
        <w:t xml:space="preserve">-2 (MMSI-2) </w:t>
      </w:r>
      <w:r w:rsidR="00204FF1" w:rsidRPr="00F97C61">
        <w:rPr>
          <w:color w:val="000000" w:themeColor="text1"/>
        </w:rPr>
        <w:t>ölçeği de her ne kadar 174 soruda oluşan kapsamlı bir araç olsa da kullanımı kısıtlı kalan ölçeklerden biri olmuştur</w:t>
      </w:r>
      <w:r w:rsidR="000D3280" w:rsidRPr="00F97C61">
        <w:rPr>
          <w:color w:val="000000" w:themeColor="text1"/>
        </w:rPr>
        <w:t xml:space="preserve"> </w:t>
      </w:r>
      <w:r w:rsidR="000D3280" w:rsidRPr="00F97C61">
        <w:rPr>
          <w:color w:val="000000" w:themeColor="text1"/>
        </w:rPr>
        <w:fldChar w:fldCharType="begin" w:fldLock="1"/>
      </w:r>
      <w:r w:rsidR="00702DBA" w:rsidRPr="00F97C61">
        <w:rPr>
          <w:color w:val="000000" w:themeColor="text1"/>
        </w:rPr>
        <w:instrText>ADDIN CSL_CITATION {"citationItems":[{"id":"ITEM-1","itemData":{"DOI":"10.1016/j.heliyon.2020.e04291","ISSN":"24058440","abstract":"Psychology; Psi Phenomena; Anomalous Experiences; Hallucination; Parapsychology; Schizotypy; Paranormal Belief","author":[{"dropping-particle":"","family":"Escolà-Gascón","given":"Álex","non-dropping-particle":"","parse-names":false,"suffix":""}],"container-title":"Heliyon","id":"ITEM-1","issue":"7","issued":{"date-parts":[["2020","7","1"]]},"page":"e04291","publisher":"Elsevier Ltd","title":"Researching unexplained phenomena: empirical-statistical validity and reliability of the Multivariable Multiaxial Suggestibility Inventory-2 (MMSI-2)","type":"article-journal","volume":"6"},"uris":["http://www.mendeley.com/documents/?uuid=571d71d6-2f27-32df-86bb-72a5a2325acd"]}],"mendeley":{"formattedCitation":"(Escolà-Gascón, 2020)","plainTextFormattedCitation":"(Escolà-Gascón, 2020)","previouslyFormattedCitation":"(Escolà-Gascón, 2020)"},"properties":{"noteIndex":0},"schema":"https://github.com/citation-style-language/schema/raw/master/csl-citation.json"}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(Escolà-Gascón, 2020)</w:t>
      </w:r>
      <w:r w:rsidR="000D3280" w:rsidRPr="00F97C61">
        <w:rPr>
          <w:color w:val="000000" w:themeColor="text1"/>
        </w:rPr>
        <w:fldChar w:fldCharType="end"/>
      </w:r>
      <w:r w:rsidR="00204FF1" w:rsidRPr="00F97C61">
        <w:rPr>
          <w:color w:val="000000" w:themeColor="text1"/>
        </w:rPr>
        <w:t>.</w:t>
      </w:r>
      <w:r w:rsidR="001F203E" w:rsidRPr="00F97C61">
        <w:rPr>
          <w:color w:val="000000" w:themeColor="text1"/>
        </w:rPr>
        <w:t xml:space="preserve"> </w:t>
      </w:r>
      <w:r w:rsidR="00204FF1" w:rsidRPr="00F97C61">
        <w:rPr>
          <w:color w:val="000000" w:themeColor="text1"/>
        </w:rPr>
        <w:t xml:space="preserve"> Bu soruna karşın </w:t>
      </w:r>
      <w:proofErr w:type="spellStart"/>
      <w:r w:rsidR="00204FF1" w:rsidRPr="00F97C61">
        <w:rPr>
          <w:color w:val="000000" w:themeColor="text1"/>
        </w:rPr>
        <w:t>Kotov</w:t>
      </w:r>
      <w:proofErr w:type="spellEnd"/>
      <w:r w:rsidR="00204FF1" w:rsidRPr="00F97C61">
        <w:rPr>
          <w:color w:val="000000" w:themeColor="text1"/>
        </w:rPr>
        <w:t xml:space="preserve"> ve arkadaşları yapısal telkine yatkınlığı ölçebilmek için </w:t>
      </w:r>
      <w:proofErr w:type="spellStart"/>
      <w:r w:rsidR="00204FF1" w:rsidRPr="00F97C61">
        <w:rPr>
          <w:color w:val="000000" w:themeColor="text1"/>
        </w:rPr>
        <w:t>Multidimensional</w:t>
      </w:r>
      <w:proofErr w:type="spellEnd"/>
      <w:r w:rsidR="00204FF1" w:rsidRPr="00F97C61">
        <w:rPr>
          <w:color w:val="000000" w:themeColor="text1"/>
        </w:rPr>
        <w:t xml:space="preserve"> Iowa </w:t>
      </w:r>
      <w:proofErr w:type="spellStart"/>
      <w:r w:rsidR="00204FF1" w:rsidRPr="00F97C61">
        <w:rPr>
          <w:color w:val="000000" w:themeColor="text1"/>
        </w:rPr>
        <w:t>Suggestibility</w:t>
      </w:r>
      <w:proofErr w:type="spellEnd"/>
      <w:r w:rsidR="00204FF1" w:rsidRPr="00F97C61">
        <w:rPr>
          <w:color w:val="000000" w:themeColor="text1"/>
        </w:rPr>
        <w:t xml:space="preserve"> </w:t>
      </w:r>
      <w:proofErr w:type="spellStart"/>
      <w:r w:rsidR="00204FF1" w:rsidRPr="00F97C61">
        <w:rPr>
          <w:color w:val="000000" w:themeColor="text1"/>
        </w:rPr>
        <w:t>Scale</w:t>
      </w:r>
      <w:proofErr w:type="spellEnd"/>
      <w:r w:rsidR="00204FF1" w:rsidRPr="00F97C61">
        <w:rPr>
          <w:color w:val="000000" w:themeColor="text1"/>
        </w:rPr>
        <w:t xml:space="preserve"> (MISS) olarak adlandırdıkları bir ölçek geliştirmiştir</w:t>
      </w:r>
      <w:r w:rsidR="000D3280" w:rsidRPr="00F97C61">
        <w:rPr>
          <w:color w:val="000000" w:themeColor="text1"/>
        </w:rPr>
        <w:t xml:space="preserve"> </w:t>
      </w:r>
      <w:r w:rsidR="000D3280" w:rsidRPr="00F97C61">
        <w:rPr>
          <w:color w:val="000000" w:themeColor="text1"/>
        </w:rPr>
        <w:fldChar w:fldCharType="begin" w:fldLock="1"/>
      </w:r>
      <w:r w:rsidR="00702DBA" w:rsidRPr="00F97C61">
        <w:rPr>
          <w:color w:val="000000" w:themeColor="text1"/>
        </w:rPr>
        <w:instrText>ADDIN CSL_CITATION {"citationItems":[{"id":"ITEM-1","itemData":{"author":[{"dropping-particle":"","family":"Kotov, R. I., Bellman, S. B., &amp; Watson","given":"D. B.","non-dropping-particle":"","parse-names":false,"suffix":""}],"container-title":"Stony Brook University","id":"ITEM-1","issued":{"date-parts":[["2004"]]},"title":"Multidimensional Iowa suggestibility scale (MISS)","type":"webpage"},"uris":["http://www.mendeley.com/documents/?uuid=963a7672-7cb9-462d-8a1e-d35252176fdf"]}],"mendeley":{"formattedCitation":"(Kotov, R. I., Bellman, S. B., &amp; Watson, 2004)","plainTextFormattedCitation":"(Kotov, R. I., Bellman, S. B., &amp; Watson, 2004)","previouslyFormattedCitation":"(Kotov, R. I., Bellman, S. B., &amp; Watson, 2004)"},"properties":{"noteIndex":0},"schema":"https://github.com/citation-style-language/schema/raw/master/csl-citation.json"}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(Kotov, R. I., Bellman, S. B., &amp; Watson, 2004)</w:t>
      </w:r>
      <w:r w:rsidR="000D3280" w:rsidRPr="00F97C61">
        <w:rPr>
          <w:color w:val="000000" w:themeColor="text1"/>
        </w:rPr>
        <w:fldChar w:fldCharType="end"/>
      </w:r>
      <w:r w:rsidR="000D3280" w:rsidRPr="00F97C61">
        <w:rPr>
          <w:color w:val="000000" w:themeColor="text1"/>
        </w:rPr>
        <w:t xml:space="preserve">. </w:t>
      </w:r>
      <w:r w:rsidR="00962EC6" w:rsidRPr="00F97C61">
        <w:rPr>
          <w:color w:val="000000" w:themeColor="text1"/>
        </w:rPr>
        <w:t xml:space="preserve">MISS </w:t>
      </w:r>
      <w:r w:rsidR="000E06C5" w:rsidRPr="00F97C61">
        <w:rPr>
          <w:color w:val="000000" w:themeColor="text1"/>
        </w:rPr>
        <w:t xml:space="preserve">telkine yatkınlığı beş farklı boyutta değerlendiren ve 95 madden oluşan bir öz-bildirim ölçeği olarak yapılandırılmıştır. Bu alt ölçekler; fizyolojik telkine yatkınlık, tüketici telkine yatkınlığı, ikna edilebilirlik, akran uyumu ve fizyolojik </w:t>
      </w:r>
      <w:proofErr w:type="spellStart"/>
      <w:r w:rsidR="000E06C5" w:rsidRPr="00F97C61">
        <w:rPr>
          <w:color w:val="000000" w:themeColor="text1"/>
        </w:rPr>
        <w:t>reaktivite</w:t>
      </w:r>
      <w:proofErr w:type="spellEnd"/>
      <w:r w:rsidR="000E06C5" w:rsidRPr="00F97C61">
        <w:rPr>
          <w:color w:val="000000" w:themeColor="text1"/>
        </w:rPr>
        <w:t xml:space="preserve"> olarak isimlendirilmiştir</w:t>
      </w:r>
      <w:r w:rsidR="000D3280" w:rsidRPr="00F97C61">
        <w:rPr>
          <w:color w:val="000000" w:themeColor="text1"/>
        </w:rPr>
        <w:t xml:space="preserve"> </w:t>
      </w:r>
      <w:r w:rsidR="000D3280" w:rsidRPr="00F97C61">
        <w:rPr>
          <w:color w:val="000000" w:themeColor="text1"/>
        </w:rPr>
        <w:fldChar w:fldCharType="begin" w:fldLock="1"/>
      </w:r>
      <w:r w:rsidR="00702DBA" w:rsidRPr="00F97C61">
        <w:rPr>
          <w:color w:val="000000" w:themeColor="text1"/>
        </w:rPr>
        <w:instrText>ADDIN CSL_CITATION {"citationItems":[{"id":"ITEM-1","itemData":{"author":[{"dropping-particle":"","family":"Kotov, R. I., Bellman, S. B., &amp; Watson","given":"D. B.","non-dropping-particle":"","parse-names":false,"suffix":""}],"container-title":"Stony Brook University","id":"ITEM-1","issued":{"date-parts":[["2004"]]},"title":"Multidimensional Iowa suggestibility scale (MISS)","type":"webpage"},"uris":["http://www.mendeley.com/documents/?uuid=963a7672-7cb9-462d-8a1e-d35252176fdf"]}],"mendeley":{"formattedCitation":"(Kotov, R. I., Bellman, S. B., &amp; Watson, 2004)","plainTextFormattedCitation":"(Kotov, R. I., Bellman, S. B., &amp; Watson, 2004)","previouslyFormattedCitation":"(Kotov, R. I., Bellman, S. B., &amp; Watson, 2004)"},"properties":{"noteIndex":0},"schema":"https://github.com/citation-style-language/schema/raw/master/csl-citation.json"}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(Kotov, R. I., Bellman, S. B., &amp; Watson, 2004)</w:t>
      </w:r>
      <w:r w:rsidR="000D3280" w:rsidRPr="00F97C61">
        <w:rPr>
          <w:color w:val="000000" w:themeColor="text1"/>
        </w:rPr>
        <w:fldChar w:fldCharType="end"/>
      </w:r>
      <w:r w:rsidR="000D3280" w:rsidRPr="00F97C61">
        <w:rPr>
          <w:color w:val="000000" w:themeColor="text1"/>
        </w:rPr>
        <w:t xml:space="preserve">. </w:t>
      </w:r>
      <w:r w:rsidR="002276FE" w:rsidRPr="00F97C61">
        <w:rPr>
          <w:color w:val="000000" w:themeColor="text1"/>
        </w:rPr>
        <w:t xml:space="preserve">Ölçeği geliştiren araştırmacılar bu alt boyutlara ek olarak </w:t>
      </w:r>
      <w:r w:rsidR="005E7E97" w:rsidRPr="00F97C61">
        <w:rPr>
          <w:color w:val="000000" w:themeColor="text1"/>
        </w:rPr>
        <w:t xml:space="preserve">genel telkine yatkınlığı ölçmek amacıyla </w:t>
      </w:r>
      <w:proofErr w:type="spellStart"/>
      <w:r w:rsidR="002276FE" w:rsidRPr="00F97C61">
        <w:rPr>
          <w:color w:val="000000" w:themeColor="text1"/>
        </w:rPr>
        <w:t>Short</w:t>
      </w:r>
      <w:proofErr w:type="spellEnd"/>
      <w:r w:rsidR="002276FE" w:rsidRPr="00F97C61">
        <w:rPr>
          <w:color w:val="000000" w:themeColor="text1"/>
        </w:rPr>
        <w:t xml:space="preserve"> </w:t>
      </w:r>
      <w:proofErr w:type="spellStart"/>
      <w:r w:rsidR="002276FE" w:rsidRPr="00F97C61">
        <w:rPr>
          <w:color w:val="000000" w:themeColor="text1"/>
        </w:rPr>
        <w:t>Suggestibility</w:t>
      </w:r>
      <w:proofErr w:type="spellEnd"/>
      <w:r w:rsidR="002276FE" w:rsidRPr="00F97C61">
        <w:rPr>
          <w:color w:val="000000" w:themeColor="text1"/>
        </w:rPr>
        <w:t xml:space="preserve"> </w:t>
      </w:r>
      <w:proofErr w:type="spellStart"/>
      <w:r w:rsidR="002276FE" w:rsidRPr="00F97C61">
        <w:rPr>
          <w:color w:val="000000" w:themeColor="text1"/>
        </w:rPr>
        <w:t>Scale</w:t>
      </w:r>
      <w:proofErr w:type="spellEnd"/>
      <w:r w:rsidR="002276FE" w:rsidRPr="00F97C61">
        <w:rPr>
          <w:color w:val="000000" w:themeColor="text1"/>
        </w:rPr>
        <w:t xml:space="preserve"> (SSS</w:t>
      </w:r>
      <w:proofErr w:type="gramStart"/>
      <w:r w:rsidR="002276FE" w:rsidRPr="00F97C61">
        <w:rPr>
          <w:color w:val="000000" w:themeColor="text1"/>
        </w:rPr>
        <w:t>) -</w:t>
      </w:r>
      <w:proofErr w:type="gramEnd"/>
      <w:r w:rsidR="002276FE" w:rsidRPr="00F97C61">
        <w:rPr>
          <w:color w:val="000000" w:themeColor="text1"/>
        </w:rPr>
        <w:t xml:space="preserve"> Kısa Telkine Yatkınlık Ölçeği (KTYÖ) ismini verdikleri 21 maddeli bir alt ölçek geliştirmiş</w:t>
      </w:r>
      <w:r w:rsidR="005E7E97" w:rsidRPr="00F97C61">
        <w:rPr>
          <w:color w:val="000000" w:themeColor="text1"/>
        </w:rPr>
        <w:t>tir.</w:t>
      </w:r>
    </w:p>
    <w:p w14:paraId="5EAB4FB3" w14:textId="30E1BC91" w:rsidR="008A183B" w:rsidRPr="00F97C61" w:rsidRDefault="002276FE" w:rsidP="00BD0596">
      <w:pPr>
        <w:spacing w:line="360" w:lineRule="auto"/>
        <w:ind w:left="851"/>
        <w:rPr>
          <w:color w:val="000000" w:themeColor="text1"/>
        </w:rPr>
      </w:pPr>
      <w:r w:rsidRPr="00F97C61">
        <w:rPr>
          <w:color w:val="000000" w:themeColor="text1"/>
        </w:rPr>
        <w:t>Diğer yapısal telkine yatkınlık ölçeklerinin aksine MISS ve KTYÖ çok sayıda ve farklı konulardaki araştırmada kullan</w:t>
      </w:r>
      <w:r w:rsidR="00444DF6" w:rsidRPr="00F97C61">
        <w:rPr>
          <w:color w:val="000000" w:themeColor="text1"/>
        </w:rPr>
        <w:t xml:space="preserve">ılmaktadır. </w:t>
      </w:r>
      <w:r w:rsidRPr="00F97C61">
        <w:rPr>
          <w:color w:val="000000" w:themeColor="text1"/>
        </w:rPr>
        <w:t xml:space="preserve"> </w:t>
      </w:r>
      <w:r w:rsidR="00444DF6" w:rsidRPr="00F97C61">
        <w:rPr>
          <w:color w:val="000000" w:themeColor="text1"/>
        </w:rPr>
        <w:t xml:space="preserve">Örneğin </w:t>
      </w:r>
      <w:proofErr w:type="spellStart"/>
      <w:r w:rsidR="00B57FF7" w:rsidRPr="00F97C61">
        <w:rPr>
          <w:color w:val="000000" w:themeColor="text1"/>
        </w:rPr>
        <w:t>Nitzan</w:t>
      </w:r>
      <w:proofErr w:type="spellEnd"/>
      <w:r w:rsidR="00B57FF7" w:rsidRPr="00F97C61">
        <w:rPr>
          <w:color w:val="000000" w:themeColor="text1"/>
        </w:rPr>
        <w:t xml:space="preserve"> </w:t>
      </w:r>
      <w:r w:rsidR="00444DF6" w:rsidRPr="00F97C61">
        <w:rPr>
          <w:color w:val="000000" w:themeColor="text1"/>
        </w:rPr>
        <w:t xml:space="preserve">ve arkadaşları KTYÖ kullanarak yaptıkları çalışmada </w:t>
      </w:r>
      <w:proofErr w:type="spellStart"/>
      <w:r w:rsidR="00444DF6" w:rsidRPr="00F97C61">
        <w:rPr>
          <w:color w:val="000000" w:themeColor="text1"/>
        </w:rPr>
        <w:t>antidepresan</w:t>
      </w:r>
      <w:proofErr w:type="spellEnd"/>
      <w:r w:rsidR="00444DF6" w:rsidRPr="00F97C61">
        <w:rPr>
          <w:color w:val="000000" w:themeColor="text1"/>
        </w:rPr>
        <w:t xml:space="preserve"> yanıtı ile telkine yatkınlık ilişkisini incelemiş ve yüksek telkine yatkınlığın düşük tedavi yanıtı ve yüksek yan etki oranları ile ilişkili olduğunu saptamıştır</w:t>
      </w:r>
      <w:r w:rsidR="000D3280" w:rsidRPr="00F97C61">
        <w:rPr>
          <w:color w:val="000000" w:themeColor="text1"/>
        </w:rPr>
        <w:t xml:space="preserve"> </w:t>
      </w:r>
      <w:r w:rsidR="000D3280" w:rsidRPr="00F97C61">
        <w:rPr>
          <w:color w:val="000000" w:themeColor="text1"/>
        </w:rPr>
        <w:fldChar w:fldCharType="begin" w:fldLock="1"/>
      </w:r>
      <w:r w:rsidR="00A95345" w:rsidRPr="00F97C61">
        <w:rPr>
          <w:color w:val="000000" w:themeColor="text1"/>
        </w:rPr>
        <w:instrText>ADDIN CSL_CITATION {"citationItems":[{"id":"ITEM-1","itemData":{"DOI":"10.1016/j.jad.2015.06.028","ISSN":"15732517","PMID":"26142688","abstract":"Background: The growing awareness that so many do not respond adequately to antidepressant (AD) pharmacotherapy has sparked research seeking to characterize those who do. While the pharmacological mechanisms of AD treatment have been extensively evaluated, much remains unknown about the placebo component of the response to medication. This study examined the association between suggestibility levels and response to ADs amongst depressed patients. Methods: Twenty unipolar depression outpatients, recruited before starting AD monotherapy, received clear, standardized instructions that the therapeutic effects of AD, though not side effects, would require 2-4 weeks. At baseline (T1), 1 week (T2), and 1 month (T3), participants were evaluated for depressive symptoms, using the Hamilton Rating Scale for Depression-17 items (HAM-D); for anxiety by the Hamilton Rating Scale for Anxiety (HAM-A); for side effects by the Antidepressant Side Effect Checklist (ASEC); and for suggestibility, using the Multidimensional Iowa Suggestibility Scale (MISS). Results: High levels of baseline suggestibility were associated with less improvement in depression level and more side-effects during the first week. In accordance with our hypothesis the more suggestible patients improved more between T2 and T3. No significant correlations were found between baseline suggestibility levels and change in anxiety. Limitations: Small sample size and a self-report questionnaire assessing suggestibility were limitations. Conclusion: This study offers a potentially new and clinically useful approach to understanding and predicting who will respond to AD treatment. Suggestibility seems to play a role, presumably by shaping expectation, in response to AD treatment. We hope that this avenue will be further explored.","author":[{"dropping-particle":"","family":"Nitzan","given":"Uri","non-dropping-particle":"","parse-names":false,"suffix":""},{"dropping-particle":"","family":"Chalamish","given":"Yossi","non-dropping-particle":"","parse-names":false,"suffix":""},{"dropping-particle":"","family":"Krieger","given":"Israel","non-dropping-particle":"","parse-names":false,"suffix":""},{"dropping-particle":"","family":"Erez","given":"Hany Burstein","non-dropping-particle":"","parse-names":false,"suffix":""},{"dropping-particle":"","family":"Braw","given":"Yoram","non-dropping-particle":"","parse-names":false,"suffix":""},{"dropping-particle":"","family":"Lichtenberg","given":"Pesach","non-dropping-particle":"","parse-names":false,"suffix":""}],"container-title":"Journal of Affective Disorders","id":"ITEM-1","issued":{"date-parts":[["2015","7","6"]]},"page":"8-11","publisher":"Elsevier","title":"Suggestibility as a predictor of response to antidepressants: A preliminary prospective trial","type":"article-journal","volume":"185"},"uris":["http://www.mendeley.com/documents/?uuid=015d1724-4d5d-3fc6-99e9-fbf33bc8a8b4"]}],"mendeley":{"formattedCitation":"(Nitzan et al., 2015)","plainTextFormattedCitation":"(Nitzan et al., 2015)","previouslyFormattedCitation":"(Nitzan et al., 2015)"},"properties":{"noteIndex":0},"schema":"https://github.com/citation-style-language/schema/raw/master/csl-citation.json"}</w:instrText>
      </w:r>
      <w:r w:rsidR="000D3280" w:rsidRPr="00F97C61">
        <w:rPr>
          <w:color w:val="000000" w:themeColor="text1"/>
        </w:rPr>
        <w:fldChar w:fldCharType="separate"/>
      </w:r>
      <w:r w:rsidR="00702DBA" w:rsidRPr="00F97C61">
        <w:rPr>
          <w:noProof/>
          <w:color w:val="000000" w:themeColor="text1"/>
        </w:rPr>
        <w:t>(Nitzan et al., 2015)</w:t>
      </w:r>
      <w:r w:rsidR="000D3280" w:rsidRPr="00F97C61">
        <w:rPr>
          <w:color w:val="000000" w:themeColor="text1"/>
        </w:rPr>
        <w:fldChar w:fldCharType="end"/>
      </w:r>
      <w:r w:rsidR="00444DF6" w:rsidRPr="00F97C61">
        <w:rPr>
          <w:color w:val="000000" w:themeColor="text1"/>
        </w:rPr>
        <w:t xml:space="preserve">. Benzer bir çalışmada da telkine yatkınlığın </w:t>
      </w:r>
      <w:proofErr w:type="spellStart"/>
      <w:r w:rsidR="00444DF6" w:rsidRPr="00F97C61">
        <w:rPr>
          <w:color w:val="000000" w:themeColor="text1"/>
        </w:rPr>
        <w:t>nosebo</w:t>
      </w:r>
      <w:proofErr w:type="spellEnd"/>
      <w:r w:rsidR="00444DF6" w:rsidRPr="00F97C61">
        <w:rPr>
          <w:color w:val="000000" w:themeColor="text1"/>
        </w:rPr>
        <w:t xml:space="preserve"> etkisi ile yakından ilişkili olduğu ve telkine yatkınlığı yüksek bireylerde ağrılı uyaranlara karşı </w:t>
      </w:r>
      <w:proofErr w:type="spellStart"/>
      <w:r w:rsidR="00444DF6" w:rsidRPr="00F97C61">
        <w:rPr>
          <w:color w:val="000000" w:themeColor="text1"/>
        </w:rPr>
        <w:t>felaketleştirmenin</w:t>
      </w:r>
      <w:proofErr w:type="spellEnd"/>
      <w:r w:rsidR="00444DF6" w:rsidRPr="00F97C61">
        <w:rPr>
          <w:color w:val="000000" w:themeColor="text1"/>
        </w:rPr>
        <w:t xml:space="preserve"> daha yüksek olduğu bulunmuştur</w:t>
      </w:r>
      <w:r w:rsidR="001F203E" w:rsidRPr="00F97C61">
        <w:rPr>
          <w:color w:val="000000" w:themeColor="text1"/>
        </w:rPr>
        <w:t xml:space="preserve"> </w:t>
      </w:r>
      <w:r w:rsidR="001F203E" w:rsidRPr="00F97C61">
        <w:rPr>
          <w:color w:val="000000" w:themeColor="text1"/>
        </w:rPr>
        <w:fldChar w:fldCharType="begin" w:fldLock="1"/>
      </w:r>
      <w:r w:rsidR="00A95345" w:rsidRPr="00F97C61">
        <w:rPr>
          <w:color w:val="000000" w:themeColor="text1"/>
        </w:rPr>
        <w:instrText>ADDIN CSL_CITATION {"citationItems":[{"id":"ITEM-1","itemData":{"DOI":"10.3389/fpsyg.2017.00308","ISSN":"1664-1078","abstract":"Several studies have explored the predictability of placebo and nocebo individual responses by investigating personality factors and expectations of pain decreases and increases. Psychological factors such as optimism, suggestibility, empathy and neuroticism have been linked to placebo effects, while pessimism, anxiety and catastrophizing have been associated to nocebo effects. We aimed to investigate the interplay between psychological factors, expectations of low and high pain and placebo hypoalgesia and nocebo hyperalgesia. We studied 46 healthy participants using a well-validated conditioning paradigm with contact heat thermal stimulations. Visual cues were presented to alert participants about the level of intensity of an upcoming thermal pain. We delivered high, medium and low levels of pain associated with red, yellow and green cues, respectively, during the conditioning phase. During the testing phase, the level of painful stimulations was surreptitiously set at the medium control level with all the three cues to measure placebo and nocebo effects. We found both robust placebo hypolagesic and nocebo hyperalgesic responses that were highly correlated with expectancy of low and high pain. Simple linear regression analyses showed that placebo responses were negatively correlated with anxiety severity and different aspects of fear of pain (e.g., medical pain, severe pain). Nocebo responses were positively correlated with anxiety sensitivity and physiological suggestibility with a trend toward catastrophizing. Step-wise regression analyses indicated that an aggregate score of motivation (value/utility and pressure/tense subscales) and suggestibility (physiological reactivity and persuadability subscales), accounted for the 51% of the variance in the placebo responsiveness. When considered together, anxiety severity, NEO openness-extraversion and depression accounted for the 49.1% of the variance of the nocebo responses. Psychological factors per se did not influence expectations. In fact, mediation analyses including expectations, personality factors and placebo and nocebo responses, revealed that expectations were not influenced by personality factors. These findings highlight the potential advantage of considering batteries of personality factors and measurements of expectation in predicting placebo and nocebo effects related to experimental acute pain.","author":[{"dropping-particle":"","family":"Corsi","given":"Nicole","non-dropping-particle":"","parse-names":false,"suffix":""},{"dropping-particle":"","family":"Colloca","given":"Luana","non-dropping-particle":"","parse-names":false,"suffix":""}],"container-title":"Frontiers in Psychology","id":"ITEM-1","issue":"MAR","issued":{"date-parts":[["2017","3","6"]]},"page":"308","publisher":"Frontiers Research Foundation","title":"Placebo and Nocebo Effects: The Advantage of Measuring Expectations and Psychological Factors","type":"article-journal","volume":"8"},"uris":["http://www.mendeley.com/documents/?uuid=3f9917af-d4e0-32b8-a3b3-c8639e1bc174"]}],"mendeley":{"formattedCitation":"(Corsi &amp; Colloca, 2017)","plainTextFormattedCitation":"(Corsi &amp; Colloca, 2017)","previouslyFormattedCitation":"(Corsi &amp; Colloca, 2017)"},"properties":{"noteIndex":0},"schema":"https://github.com/citation-style-language/schema/raw/master/csl-citation.json"}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(Corsi &amp; Colloca, 2017)</w:t>
      </w:r>
      <w:r w:rsidR="001F203E" w:rsidRPr="00F97C61">
        <w:rPr>
          <w:color w:val="000000" w:themeColor="text1"/>
        </w:rPr>
        <w:fldChar w:fldCharType="end"/>
      </w:r>
      <w:r w:rsidR="008A183B" w:rsidRPr="00F97C61">
        <w:rPr>
          <w:color w:val="000000" w:themeColor="text1"/>
        </w:rPr>
        <w:t xml:space="preserve">. </w:t>
      </w:r>
      <w:r w:rsidR="00444DF6" w:rsidRPr="00F97C61">
        <w:rPr>
          <w:color w:val="000000" w:themeColor="text1"/>
        </w:rPr>
        <w:t xml:space="preserve">Farklı bir bakış açısı ile yapılan bir çalışma da ise KTYÖ skorlarındaki yüksekliğin yüksek kalorili yiyecekleri ödül ve sosyal uyum amacıyla yeme ile pozitif </w:t>
      </w:r>
      <w:r w:rsidR="009E659E" w:rsidRPr="00F97C61">
        <w:rPr>
          <w:color w:val="000000" w:themeColor="text1"/>
        </w:rPr>
        <w:t>ilişkili</w:t>
      </w:r>
      <w:r w:rsidR="00444DF6" w:rsidRPr="00F97C61">
        <w:rPr>
          <w:color w:val="000000" w:themeColor="text1"/>
        </w:rPr>
        <w:t xml:space="preserve"> olduğu gösterilmiştir </w:t>
      </w:r>
      <w:r w:rsidR="001F203E" w:rsidRPr="00F97C61">
        <w:rPr>
          <w:color w:val="000000" w:themeColor="text1"/>
        </w:rPr>
        <w:fldChar w:fldCharType="begin" w:fldLock="1"/>
      </w:r>
      <w:r w:rsidR="00A95345" w:rsidRPr="00F97C61">
        <w:rPr>
          <w:color w:val="000000" w:themeColor="text1"/>
        </w:rPr>
        <w:instrText>ADDIN CSL_CITATION {"citationItems":[{"id":"ITEM-1","itemData":{"DOI":"10.1016/j.eatbeh.2020.101380","ISSN":"18737358","PMID":"32193130","abstract":"Differences in trait suggestibility among those with obesity may help explain differential responses to weight-loss interventions. Ubiquitous advertising of unhealthy foods, weight-loss products that are not evidence-based, and myths regarding weight loss could be particularly sabotaging in individuals with high levels of suggestibility, with or at risk of developing obesity. This study explored relationships between suggestibility, body mass index (BMI), and self-reported eating-related behaviors that vary among those with obesity. A sample of ethnically diverse adults (N = 73) with a BMI ≥25 completed the Short Suggestibility Scale (SSS), Palatable Eating Motives Scale (PEMS), Binge Eating Scale (BES), Dutch Eating Behavior Questionnaire-Restraint (DEBQ-R), and Barratt Impulsiveness Scale (BIS). Impulsiveness was controlled in analyses due to its strong association with suggestibility. Analyses revealed that BMI was not related to SSS scores, consistent with studies using hypnotic-suggestibility scales. However, SSS scores were positively associated with eating caloric food more frequently for Reward, Social, and Conformity motives, and with greater actual dieting behavior, and binge eating. Suggestibility was not related to eating for Coping motives or effort to diet. If supported by future replications, knowledge of these associations could potentially help inform and tailor weight-loss interventions to protect those that may be most susceptible to adopting invalid messages and products.","author":[{"dropping-particle":"","family":"Ray","given":"Mary Katherine","non-dropping-particle":"","parse-names":false,"suffix":""},{"dropping-particle":"","family":"Zachmann","given":"Ashley E.","non-dropping-particle":"","parse-names":false,"suffix":""},{"dropping-particle":"V.","family":"Caudill","given":"Caroline","non-dropping-particle":"","parse-names":false,"suffix":""},{"dropping-particle":"","family":"Boggiano","given":"Mary M.","non-dropping-particle":"","parse-names":false,"suffix":""}],"container-title":"Eating Behaviors","id":"ITEM-1","issued":{"date-parts":[["2020","4","1"]]},"page":"101380","publisher":"Elsevier Ltd","title":"Relationship between trait suggestibility and eating-related behaviors in overweight and obesity","type":"article-journal","volume":"37"},"uris":["http://www.mendeley.com/documents/?uuid=e8a7f655-d790-370b-bd9d-a2ec86ea7056"]}],"mendeley":{"formattedCitation":"(Ray et al., 2020)","plainTextFormattedCitation":"(Ray et al., 2020)","previouslyFormattedCitation":"(Ray et al., 2020)"},"properties":{"noteIndex":0},"schema":"https://github.com/citation-style-language/schema/raw/master/csl-citation.json"}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(Ray et al., 2020)</w:t>
      </w:r>
      <w:r w:rsidR="001F203E" w:rsidRPr="00F97C61">
        <w:rPr>
          <w:color w:val="000000" w:themeColor="text1"/>
        </w:rPr>
        <w:fldChar w:fldCharType="end"/>
      </w:r>
      <w:r w:rsidR="00F13E4E" w:rsidRPr="00F97C61">
        <w:rPr>
          <w:color w:val="000000" w:themeColor="text1"/>
        </w:rPr>
        <w:t xml:space="preserve">. </w:t>
      </w:r>
      <w:r w:rsidR="00444DF6" w:rsidRPr="00F97C61">
        <w:rPr>
          <w:color w:val="000000" w:themeColor="text1"/>
        </w:rPr>
        <w:t xml:space="preserve">Yine benzer </w:t>
      </w:r>
      <w:proofErr w:type="spellStart"/>
      <w:r w:rsidR="00444DF6" w:rsidRPr="00F97C61">
        <w:rPr>
          <w:color w:val="000000" w:themeColor="text1"/>
        </w:rPr>
        <w:t>metodolojili</w:t>
      </w:r>
      <w:proofErr w:type="spellEnd"/>
      <w:r w:rsidR="00444DF6" w:rsidRPr="00F97C61">
        <w:rPr>
          <w:color w:val="000000" w:themeColor="text1"/>
        </w:rPr>
        <w:t xml:space="preserve"> bir çalışmada da </w:t>
      </w:r>
      <w:proofErr w:type="spellStart"/>
      <w:r w:rsidR="00444DF6" w:rsidRPr="00F97C61">
        <w:rPr>
          <w:color w:val="000000" w:themeColor="text1"/>
        </w:rPr>
        <w:t>Prete</w:t>
      </w:r>
      <w:proofErr w:type="spellEnd"/>
      <w:r w:rsidR="00444DF6" w:rsidRPr="00F97C61">
        <w:rPr>
          <w:color w:val="000000" w:themeColor="text1"/>
        </w:rPr>
        <w:t xml:space="preserve"> ve ark. MISS skorlarındaki yüksekliğin, yani artmış telkine yatkınlığın </w:t>
      </w:r>
      <w:proofErr w:type="spellStart"/>
      <w:r w:rsidR="00444DF6" w:rsidRPr="00F97C61">
        <w:rPr>
          <w:color w:val="000000" w:themeColor="text1"/>
        </w:rPr>
        <w:lastRenderedPageBreak/>
        <w:t>komp</w:t>
      </w:r>
      <w:r w:rsidR="002E534C" w:rsidRPr="00F97C61">
        <w:rPr>
          <w:color w:val="000000" w:themeColor="text1"/>
        </w:rPr>
        <w:t>u</w:t>
      </w:r>
      <w:r w:rsidR="00444DF6" w:rsidRPr="00F97C61">
        <w:rPr>
          <w:color w:val="000000" w:themeColor="text1"/>
        </w:rPr>
        <w:t>lsif</w:t>
      </w:r>
      <w:proofErr w:type="spellEnd"/>
      <w:r w:rsidR="00444DF6" w:rsidRPr="00F97C61">
        <w:rPr>
          <w:color w:val="000000" w:themeColor="text1"/>
        </w:rPr>
        <w:t xml:space="preserve"> satın alma davranışı ile ilişkili olduğunu bulmuştur </w:t>
      </w:r>
      <w:r w:rsidR="001F203E" w:rsidRPr="00F97C61">
        <w:rPr>
          <w:color w:val="000000" w:themeColor="text1"/>
        </w:rPr>
        <w:fldChar w:fldCharType="begin" w:fldLock="1"/>
      </w:r>
      <w:r w:rsidR="00A95345" w:rsidRPr="00F97C61">
        <w:rPr>
          <w:color w:val="000000" w:themeColor="text1"/>
        </w:rPr>
        <w:instrText>ADDIN CSL_CITATION {"citationItems":[{"id":"ITEM-1","itemData":{"DOI":"10.2466/01.18.PR0.113x11z0","ISSN":"0033-2941","abstract":"&lt;p&gt;The authors hypothesize a concept, Consumer Hypnotic-Like Suggestibility (CHLS), defined as an altered state of consciousness, as a state causing a tendency to respond positively to messages aimed at inducing consumers to make unplanned purchases. This study aims to investigate the associations of CHLS with interpersonal variables and compulsive purchasing—a frequent and uncontrollable preoccupation with buying or impulses to buy. A study was conducted on a sample of 232 subjects ( n = 111 men; M age = 41 yr.), through the administration of a questionnaire, which measured: CHLS, compulsive purchasing, consumer susceptibility to interpersonal influence (the necessity to enhance one's image in the opinion of others through the consumption of products), and consumer atmospherics, i.e., environmental stimuli known to influence purchasing decisions. Modeling and mediation analyses suggested that internal and external drivers—Consumer Susceptibility to Interpersonal Influence and atmospherics—are positively related to CHLS which affects compulsive purchasing.&lt;/p&gt;","author":[{"dropping-particle":"","family":"Prete","given":"M. Irene","non-dropping-particle":"","parse-names":false,"suffix":""},{"dropping-particle":"","family":"Guido","given":"Gianluigi","non-dropping-particle":"","parse-names":false,"suffix":""},{"dropping-particle":"","family":"Pichierri","given":"Marco","non-dropping-particle":"","parse-names":false,"suffix":""}],"container-title":"Psychological Reports","id":"ITEM-1","issue":"1","issued":{"date-parts":[["2013","8","1"]]},"page":"162-174","publisher":"SAGE PublicationsSage CA: Los Angeles, CA","title":"Consumer Hypnotic-Like Suggestibility: Possible Mechanism in Compulsive Purchasing","type":"article-journal","volume":"113"},"uris":["http://www.mendeley.com/documents/?uuid=55c4dce0-f1e6-3ccd-ae4b-1facb74ab102"]}],"mendeley":{"formattedCitation":"(Prete et al., 2013)","plainTextFormattedCitation":"(Prete et al., 2013)","previouslyFormattedCitation":"(Prete et al., 2013)"},"properties":{"noteIndex":0},"schema":"https://github.com/citation-style-language/schema/raw/master/csl-citation.json"}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(Prete et al., 2013)</w:t>
      </w:r>
      <w:r w:rsidR="001F203E" w:rsidRPr="00F97C61">
        <w:rPr>
          <w:color w:val="000000" w:themeColor="text1"/>
        </w:rPr>
        <w:fldChar w:fldCharType="end"/>
      </w:r>
      <w:r w:rsidR="001F203E" w:rsidRPr="00F97C61">
        <w:rPr>
          <w:color w:val="000000" w:themeColor="text1"/>
        </w:rPr>
        <w:t xml:space="preserve">. </w:t>
      </w:r>
      <w:r w:rsidR="00444DF6" w:rsidRPr="00F97C61">
        <w:rPr>
          <w:color w:val="000000" w:themeColor="text1"/>
        </w:rPr>
        <w:t xml:space="preserve">Bu bağlamda yapısal telkine yatkınlık ile karar verme davranışının ilişkisini araştıran çalışmalar da yürütülmüş ve yüksek telkine yatkınlığın </w:t>
      </w:r>
      <w:proofErr w:type="spellStart"/>
      <w:r w:rsidR="00444DF6" w:rsidRPr="00F97C61">
        <w:rPr>
          <w:color w:val="000000" w:themeColor="text1"/>
        </w:rPr>
        <w:t>Ulimatum</w:t>
      </w:r>
      <w:proofErr w:type="spellEnd"/>
      <w:r w:rsidR="00444DF6" w:rsidRPr="00F97C61">
        <w:rPr>
          <w:color w:val="000000" w:themeColor="text1"/>
        </w:rPr>
        <w:t xml:space="preserve"> Game isimli </w:t>
      </w:r>
      <w:r w:rsidR="004860CA" w:rsidRPr="00F97C61">
        <w:rPr>
          <w:color w:val="000000" w:themeColor="text1"/>
        </w:rPr>
        <w:t>ekonomi oyununda</w:t>
      </w:r>
      <w:r w:rsidR="00444DF6" w:rsidRPr="00F97C61">
        <w:rPr>
          <w:color w:val="000000" w:themeColor="text1"/>
        </w:rPr>
        <w:t xml:space="preserve"> grup içi dayanışma ve dış grup</w:t>
      </w:r>
      <w:r w:rsidR="004860CA" w:rsidRPr="00F97C61">
        <w:rPr>
          <w:color w:val="000000" w:themeColor="text1"/>
        </w:rPr>
        <w:t xml:space="preserve"> reddi ile ilişkisi gösterilmiştir</w:t>
      </w:r>
      <w:r w:rsidR="00907E77" w:rsidRPr="00F97C61">
        <w:rPr>
          <w:color w:val="000000" w:themeColor="text1"/>
        </w:rPr>
        <w:t xml:space="preserve"> </w:t>
      </w:r>
      <w:r w:rsidR="001F203E" w:rsidRPr="00F97C61">
        <w:rPr>
          <w:color w:val="000000" w:themeColor="text1"/>
        </w:rPr>
        <w:fldChar w:fldCharType="begin" w:fldLock="1"/>
      </w:r>
      <w:r w:rsidR="00A95345" w:rsidRPr="00F97C61">
        <w:rPr>
          <w:color w:val="000000" w:themeColor="text1"/>
        </w:rPr>
        <w:instrText>ADDIN CSL_CITATION {"citationItems":[{"id":"ITEM-1","itemData":{"DOI":"10.1016/j.concog.2012.02.009","ISSN":"10538100","PMID":"22436887","abstract":"Studies in economic decision-making have demonstrated that individuals appreciate social values supporting equity and disapprove unfairness when distributing goods between two or more parties. However, this seems to critically depend on psychological mechanisms partly pertaining to the ingroup-outgroup distinction. Little is known as to what extent economic bargaining can be manipulated by means of psychological interventions such has hypnosis. Here we show that a hypnotic ingroup versus outgroup suggestion impacts the tolerance of unfairness in an Ultimatum Game. Specifically, the ingroup suggestion was associated with significantly greater acceptance rates of unfair offers than the outgroup suggestion, whereas hypnosis alone exerted only small effects on unfairness tolerance. These findings indicate that psychological interventions such as hypnotic suggestion can contribute to ingroup favoritism and outgroup rejection. © 2012 Elsevier Inc.","author":[{"dropping-particle":"","family":"Brüne","given":"Martin","non-dropping-particle":"","parse-names":false,"suffix":""},{"dropping-particle":"","family":"Tas","given":"Cumhur","non-dropping-particle":"","parse-names":false,"suffix":""},{"dropping-particle":"","family":"Wischniewski","given":"Julia","non-dropping-particle":"","parse-names":false,"suffix":""},{"dropping-particle":"","family":"Welpinghus","given":"Anna","non-dropping-particle":"","parse-names":false,"suffix":""},{"dropping-particle":"","family":"Heinisch","given":"Christine","non-dropping-particle":"","parse-names":false,"suffix":""},{"dropping-particle":"","family":"Newen","given":"Albert","non-dropping-particle":"","parse-names":false,"suffix":""}],"container-title":"Consciousness and Cognition","id":"ITEM-1","issue":"2","issued":{"date-parts":[["2012","6","1"]]},"page":"939-946","publisher":"Academic Press","title":"Hypnotic ingroup-outgroup suggestion influences economic decision-making in an Ultimatum Game","type":"article-journal","volume":"21"},"uris":["http://www.mendeley.com/documents/?uuid=18e2d102-8c32-31c4-9599-2cbd0758ab6b"]}],"mendeley":{"formattedCitation":"(Brüne et al., 2012)","plainTextFormattedCitation":"(Brüne et al., 2012)","previouslyFormattedCitation":"(Brüne et al., 2012)"},"properties":{"noteIndex":0},"schema":"https://github.com/citation-style-language/schema/raw/master/csl-citation.json"}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(Brüne et al., 2012)</w:t>
      </w:r>
      <w:r w:rsidR="001F203E" w:rsidRPr="00F97C61">
        <w:rPr>
          <w:color w:val="000000" w:themeColor="text1"/>
        </w:rPr>
        <w:fldChar w:fldCharType="end"/>
      </w:r>
      <w:r w:rsidR="00F13E4E" w:rsidRPr="00F97C61">
        <w:rPr>
          <w:color w:val="000000" w:themeColor="text1"/>
        </w:rPr>
        <w:t>.</w:t>
      </w:r>
      <w:r w:rsidR="00907E77" w:rsidRPr="00F97C61">
        <w:rPr>
          <w:color w:val="000000" w:themeColor="text1"/>
        </w:rPr>
        <w:t xml:space="preserve"> </w:t>
      </w:r>
      <w:r w:rsidR="00F13E4E" w:rsidRPr="00F97C61">
        <w:rPr>
          <w:color w:val="000000" w:themeColor="text1"/>
        </w:rPr>
        <w:t xml:space="preserve"> </w:t>
      </w:r>
      <w:r w:rsidR="00907E77" w:rsidRPr="00F97C61">
        <w:rPr>
          <w:color w:val="000000" w:themeColor="text1"/>
        </w:rPr>
        <w:t xml:space="preserve">Sosyal biliş perspektifi ile telkine yatkınlığı araştıran başka bir çalışmada ise Zihin Kuramı ve </w:t>
      </w:r>
      <w:proofErr w:type="spellStart"/>
      <w:r w:rsidR="00907E77" w:rsidRPr="00F97C61">
        <w:rPr>
          <w:color w:val="000000" w:themeColor="text1"/>
        </w:rPr>
        <w:t>empatik</w:t>
      </w:r>
      <w:proofErr w:type="spellEnd"/>
      <w:r w:rsidR="00907E77" w:rsidRPr="00F97C61">
        <w:rPr>
          <w:color w:val="000000" w:themeColor="text1"/>
        </w:rPr>
        <w:t xml:space="preserve"> becerileri yüksek bireylerde düşük telkine yatkınlık görülmüştür </w:t>
      </w:r>
      <w:r w:rsidR="001F203E" w:rsidRPr="00F97C61">
        <w:rPr>
          <w:color w:val="000000" w:themeColor="text1"/>
        </w:rPr>
        <w:fldChar w:fldCharType="begin" w:fldLock="1"/>
      </w:r>
      <w:r w:rsidR="00A95345" w:rsidRPr="00F97C61">
        <w:rPr>
          <w:color w:val="000000" w:themeColor="text1"/>
        </w:rPr>
        <w:instrText>ADDIN CSL_CITATION {"citationItems":[{"id":"ITEM-1","itemData":{"DOI":"10.4172/2572-0791.1000119","abstract":"This research investigated a potential linkage between mindfulness and personality characteristics such as openness to experience, empathy (empathic concern and theory of mind), pro-social behaviour and suggestibility. A sample of 275 volunteers was recruited. A series of the research questionnaires and scales was employed to measure mindfulness, empathic concern, theory of mind (or perspective taking), pro-social behaviour (or altruism) and suggestibility. Based on the quartile scores, participants were divided into two low (first quartile) and high (forth quartile) on mindfulness. Using a two-way MANOVA, the results showed that participants high on mindfulness exhibited increased theory of mind, pro-social behaviour and openness, in addition to decreased suggestibility. Neither main nor interaction effects were found for gender factor. Theoretical models in the field of social cognition will be discussed to explain how enhancement in cognitive functions due to mindfulness practice might alter personality characteristics and, in turn, influence socio-political behaviour.","author":[{"dropping-particle":"","family":"Kaviani","given":"Hossein","non-dropping-particle":"","parse-names":false,"suffix":""},{"dropping-particle":"","family":"Hatami","given":"Neda","non-dropping-particle":"","parse-names":false,"suffix":""}],"container-title":"Clinical Depression","id":"ITEM-1","issue":"04","issued":{"date-parts":[["2016"]]},"publisher":"OMICS Publishing Group","title":"Link between Mindfulness and Personality-Related Factors Including Empathy, Theory of Mind, Openness, Pro-social Behaviour and Suggestibility","type":"article-journal","volume":"02"},"uris":["http://www.mendeley.com/documents/?uuid=4511daf7-e305-3301-ba47-596d7c1bf8bb"]}],"mendeley":{"formattedCitation":"(Kaviani &amp; Hatami, 2016)","plainTextFormattedCitation":"(Kaviani &amp; Hatami, 2016)","previouslyFormattedCitation":"(Kaviani &amp; Hatami, 2016)"},"properties":{"noteIndex":0},"schema":"https://github.com/citation-style-language/schema/raw/master/csl-citation.json"}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(Kaviani &amp; Hatami, 2016)</w:t>
      </w:r>
      <w:r w:rsidR="001F203E" w:rsidRPr="00F97C61">
        <w:rPr>
          <w:color w:val="000000" w:themeColor="text1"/>
        </w:rPr>
        <w:fldChar w:fldCharType="end"/>
      </w:r>
      <w:r w:rsidR="008A183B" w:rsidRPr="00F97C61">
        <w:rPr>
          <w:color w:val="000000" w:themeColor="text1"/>
        </w:rPr>
        <w:t xml:space="preserve">. </w:t>
      </w:r>
    </w:p>
    <w:p w14:paraId="4F864D50" w14:textId="3BAC96D7" w:rsidR="00EC2FFD" w:rsidRDefault="002E534C" w:rsidP="00BD0596">
      <w:pPr>
        <w:spacing w:line="360" w:lineRule="auto"/>
        <w:ind w:left="851"/>
        <w:rPr>
          <w:color w:val="000000" w:themeColor="text1"/>
        </w:rPr>
      </w:pPr>
      <w:r w:rsidRPr="00F97C61">
        <w:rPr>
          <w:color w:val="000000" w:themeColor="text1"/>
        </w:rPr>
        <w:t xml:space="preserve">Telkine yatkınlığın yukarıda ele alınan farklı klinik ve klinik dışı kullanımı dışında özellikle madde kullanım bozuklukları ile ilişkisi de farklı çalışmalara konu olmuştur. </w:t>
      </w:r>
      <w:proofErr w:type="spellStart"/>
      <w:r w:rsidR="0087455A" w:rsidRPr="00F97C61">
        <w:rPr>
          <w:color w:val="000000" w:themeColor="text1"/>
        </w:rPr>
        <w:t>Cowand</w:t>
      </w:r>
      <w:proofErr w:type="spellEnd"/>
      <w:r w:rsidR="0087455A" w:rsidRPr="00F97C61">
        <w:rPr>
          <w:color w:val="000000" w:themeColor="text1"/>
        </w:rPr>
        <w:t xml:space="preserve"> </w:t>
      </w:r>
      <w:r w:rsidRPr="00F97C61">
        <w:rPr>
          <w:color w:val="000000" w:themeColor="text1"/>
        </w:rPr>
        <w:t>ve arkadaşları KTYÖ ile ölçülen telkine yatkınlıktaki artışın bağımlı olmayan bireylerde artmış alkol tüketimi ile ilişkili olduğunu ve bu ilişkinin özellikle genç yaşlarda belirgin olduğunu ortaya koymuştur</w:t>
      </w:r>
      <w:r w:rsidR="001F203E" w:rsidRPr="00F97C61">
        <w:rPr>
          <w:color w:val="000000" w:themeColor="text1"/>
        </w:rPr>
        <w:t xml:space="preserve"> </w:t>
      </w:r>
      <w:r w:rsidR="001F203E" w:rsidRPr="00F97C61">
        <w:rPr>
          <w:color w:val="000000" w:themeColor="text1"/>
        </w:rPr>
        <w:fldChar w:fldCharType="begin" w:fldLock="1"/>
      </w:r>
      <w:r w:rsidR="00A95345" w:rsidRPr="00F97C61">
        <w:rPr>
          <w:color w:val="000000" w:themeColor="text1"/>
        </w:rPr>
        <w:instrText>ADDIN CSL_CITATION {"citationItems":[{"id":"ITEM-1","itemData":{"DOI":"10.1017/cts.2019.357","ISSN":"2059-8661","abstract":"OBJECTIVES/SPECIFIC AIMS: Suggestibility, defined as the inclination to accept and internalize messages, has not been assessed much in relation to alcohol use. Prior research has shown that suggestibility to social cues and peer influence may play a role in driving alcohol consumption. Our previous work has shown associations between suggestibility and alcohol consumption in social drinkers. This study aims to examine how suggestibility and social susceptibility are related to ideas alcohol consumption and consequences across the spectrum of alcohol use and misuse. We hypothesize that those with higher suggestibility and social susceptibility reports will also have higher alcohol consumption and consequences, and that the impact of susceptibility is lower in dependent compared to non-dependent drinkers. METHODS/STUDY POPULATION: Study participants enrolled in the NIAAA screening and assessment protocol (N=157) completed questionnaires on suggestibility and alcohol consumption, The Multidimensional Iowa Suggestibility Scale (MISS) is a 95-question self-report assessment of suggestibility which draws from subcategories of consumer suggestibility, perceivability, physiological suggestibility, physiological reactivity, and peer conformity. Alcohol measures included 90-day Timeline Followback interviews and the Alcohol Use Disorder Identification Test (AUDIT). Participants also underwent the Structured Clinical Interviews for DSM-IV or DSM-5 disorders, and were stratified into two groups: alcohol dependent (N = 86) and non-dependent (N=71). Median split by age was additionally used to explore age’s relationship with suggestibility and alcohol with the under 36 (N = 45) and over 36 (N = 26) non-dependent groups. RESULTS/ANTICIPATED RESULTS: Initial analyses showed marked differences between the dependent and non-dependent groups in the relationship between the MISS total score and AUDIT total score. The non-dependent group showed significant positive correlations between MISS and AUDIT scores (r = 0.460, p &lt; 0.001), while the dependent group did not show any correlation between MISS and AUDIT scores. Further examination of these relationships in the nondependent group revealed that MISS scores were also significantly positively correlated with AUDIT subscores of consumption, harm, and dependence. Age was found to have a significant negative correlation with MISS score (r = −0.354, p &lt; 0.01). To better understand the role of age, the sample was split based on …","author":[{"dropping-particle":"","family":"Cowand","given":"Alexandra","non-dropping-particle":"","parse-names":false,"suffix":""},{"dropping-particle":"","family":"Stangl","given":"Bethany L.","non-dropping-particle":"","parse-names":false,"suffix":""},{"dropping-particle":"","family":"Schwandt","given":"Melanie L.","non-dropping-particle":"","parse-names":false,"suffix":""},{"dropping-particle":"","family":"Schneider","given":"Alyssa","non-dropping-particle":"","parse-names":false,"suffix":""},{"dropping-particle":"","family":"Gilman","given":"Jodi M.","non-dropping-particle":"","parse-names":false,"suffix":""},{"dropping-particle":"","family":"Diazgranados","given":"Nancy","non-dropping-particle":"","parse-names":false,"suffix":""},{"dropping-particle":"","family":"Ramchandani","given":"Vijay A.","non-dropping-particle":"","parse-names":false,"suffix":""}],"container-title":"Journal of Clinical and Translational Science","id":"ITEM-1","issue":"s1","issued":{"date-parts":[["2019","3"]]},"page":"156-156","publisher":"Cambridge University Press (CUP)","title":"3289 The Role of Suggestibility in Alcohol Use and Misuse","type":"article-journal","volume":"3"},"uris":["http://www.mendeley.com/documents/?uuid=b0016f87-e4f0-3e77-a73c-fb941b7bc0c5"]}],"mendeley":{"formattedCitation":"(Cowand et al., 2019)","plainTextFormattedCitation":"(Cowand et al., 2019)","previouslyFormattedCitation":"(Cowand et al., 2019)"},"properties":{"noteIndex":0},"schema":"https://github.com/citation-style-language/schema/raw/master/csl-citation.json"}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(Cowand et al., 2019)</w:t>
      </w:r>
      <w:r w:rsidR="001F203E" w:rsidRPr="00F97C61">
        <w:rPr>
          <w:color w:val="000000" w:themeColor="text1"/>
        </w:rPr>
        <w:fldChar w:fldCharType="end"/>
      </w:r>
      <w:r w:rsidR="0087455A" w:rsidRPr="00F97C61">
        <w:rPr>
          <w:color w:val="000000" w:themeColor="text1"/>
        </w:rPr>
        <w:t xml:space="preserve">. </w:t>
      </w:r>
      <w:r w:rsidRPr="00F97C61">
        <w:rPr>
          <w:color w:val="000000" w:themeColor="text1"/>
        </w:rPr>
        <w:t>Buna karşın telkine yatkınlığın halihazırda alkol kullanım bozukluğu tanısı olanlarda alkol tüketimine bir etkisi olmadığı, zira bu bireylerde alkol kullanım miktarını belirlemede tolerans ve aşermenin daha önemli faktörler olduğunu öne sürmüşlerdir. Bu açından bakıldığında artmış telkine yatkınlığın özellikle genç bireylerde alkol kullanım bozukluğu için bir risk oluşturabileceği düşünülmektedir</w:t>
      </w:r>
      <w:r w:rsidR="0087455A" w:rsidRPr="00F97C61">
        <w:rPr>
          <w:color w:val="000000" w:themeColor="text1"/>
        </w:rPr>
        <w:t>.</w:t>
      </w:r>
      <w:r w:rsidRPr="00F97C61">
        <w:rPr>
          <w:color w:val="000000" w:themeColor="text1"/>
        </w:rPr>
        <w:t xml:space="preserve"> Benzer şekilde başka bir çalışma da</w:t>
      </w:r>
      <w:r w:rsidR="004F301A" w:rsidRPr="00F97C61">
        <w:rPr>
          <w:color w:val="000000" w:themeColor="text1"/>
        </w:rPr>
        <w:t xml:space="preserve"> genç sosyal alkol kullanıcılarında</w:t>
      </w:r>
      <w:r w:rsidRPr="00F97C61">
        <w:rPr>
          <w:color w:val="000000" w:themeColor="text1"/>
        </w:rPr>
        <w:t xml:space="preserve"> </w:t>
      </w:r>
      <w:r w:rsidR="004F301A" w:rsidRPr="00F97C61">
        <w:rPr>
          <w:color w:val="000000" w:themeColor="text1"/>
        </w:rPr>
        <w:t xml:space="preserve">KTYÖ skorları ile AUDIT skorları ve sürekli </w:t>
      </w:r>
      <w:proofErr w:type="spellStart"/>
      <w:r w:rsidR="004F301A" w:rsidRPr="00F97C61">
        <w:rPr>
          <w:color w:val="000000" w:themeColor="text1"/>
        </w:rPr>
        <w:t>anksiyete</w:t>
      </w:r>
      <w:proofErr w:type="spellEnd"/>
      <w:r w:rsidR="004F301A" w:rsidRPr="00F97C61">
        <w:rPr>
          <w:color w:val="000000" w:themeColor="text1"/>
        </w:rPr>
        <w:t xml:space="preserve"> skorları arasında pozitif bir </w:t>
      </w:r>
      <w:r w:rsidR="009E659E" w:rsidRPr="00F97C61">
        <w:rPr>
          <w:color w:val="000000" w:themeColor="text1"/>
        </w:rPr>
        <w:t>ilişki</w:t>
      </w:r>
      <w:r w:rsidR="004F301A" w:rsidRPr="00F97C61">
        <w:rPr>
          <w:color w:val="000000" w:themeColor="text1"/>
        </w:rPr>
        <w:t xml:space="preserve"> olduğu,</w:t>
      </w:r>
      <w:r w:rsidR="00F8305B" w:rsidRPr="00F97C61">
        <w:rPr>
          <w:color w:val="000000" w:themeColor="text1"/>
        </w:rPr>
        <w:t xml:space="preserve"> </w:t>
      </w:r>
      <w:r w:rsidR="004F301A" w:rsidRPr="00F97C61">
        <w:rPr>
          <w:color w:val="000000" w:themeColor="text1"/>
        </w:rPr>
        <w:t xml:space="preserve">ve yüksel telkine yatkınlığın problemli alkol kullanımı açısından </w:t>
      </w:r>
      <w:proofErr w:type="spellStart"/>
      <w:r w:rsidR="004F301A" w:rsidRPr="00F97C61">
        <w:rPr>
          <w:color w:val="000000" w:themeColor="text1"/>
        </w:rPr>
        <w:t>modifiye</w:t>
      </w:r>
      <w:proofErr w:type="spellEnd"/>
      <w:r w:rsidR="004F301A" w:rsidRPr="00F97C61">
        <w:rPr>
          <w:color w:val="000000" w:themeColor="text1"/>
        </w:rPr>
        <w:t xml:space="preserve"> edilebilir bir risk faktörü olarak ele alınabileceği saptanmıştır</w:t>
      </w:r>
      <w:r w:rsidR="001F203E" w:rsidRPr="00F97C61">
        <w:rPr>
          <w:color w:val="000000" w:themeColor="text1"/>
        </w:rPr>
        <w:t xml:space="preserve"> </w:t>
      </w:r>
      <w:r w:rsidR="001F203E" w:rsidRPr="00F97C61">
        <w:rPr>
          <w:color w:val="000000" w:themeColor="text1"/>
        </w:rPr>
        <w:fldChar w:fldCharType="begin" w:fldLock="1"/>
      </w:r>
      <w:r w:rsidR="00A95345" w:rsidRPr="00F97C61">
        <w:rPr>
          <w:color w:val="000000" w:themeColor="text1"/>
        </w:rPr>
        <w:instrText>ADDIN CSL_CITATION {"citationItems":[{"id":"ITEM-1","itemData":{"DOI":"10.1017/cts.2020.438","ISSN":"2059-8661","abstract":" OBJECTIVES/GOALS: The purpose of this study was to investigate how suggestibility and social susceptibility relate to alcohol use in young adult non-dependent alcohol users, and the role of trait anxiety in this relationship. We hypothesized that greater trait anxiety would be associated with higher levels of alcohol misuse, and this would be mediated by suggestibility. METHODS/STUDY POPULATION: Study participants enrolled in the NIAAA screening and assessment protocol completed questionnaires on suggestibility, anxiety, and alcohol use. The Multidimensional Iowa Suggestibility Scale (MISS) is a 95-question self-report assessment of suggestibility. Trait anxiety is assessed with the State Trait Anxiety Inventory-Trait (STAI-T). Alcohol measures included the Alcohol Use Disorder Identification Test (AUDIT). Structured Clinical Interviews for DSM-IV or DSM-5 disorders were conducted, and non-dependent participants (N = 113) were considered. A median split was conducted (median age = 35.1 years), with the focus of this study on the younger individuals (N = 55). RESULTS/ANTICIPATED RESULTS: Initial analyses showed that suggestibility, alcohol misuse, and trait anxiety all had significant positive correlations with one another. To better understand the relationship of peer influence, specifically, with drinking and anxiety, MISS subscale of Peer Conformity was analyzed. MISS total score and Peer Conformity were positively correlated with AUDIT Total as well as STAI-T Score. STAI-T Score was additionally positively correlated with AUDIT Total (all p 2 = 0.222). We also looked at Peer Conformity in place of MISS Total (R 2 = 0.213). In both models, only suggestibility measures were significant predictors of harmful alcohol use (p&lt;0.01). DISCUSSION/SIGNIFICANCE OF IMPACT: In young social drinkers, there were significant positive associations between suggestibility, risky alcohol use, and trait anxiety. These results suggest that suggestibility may be a modifiable risk factor for risky alcohol consumption. Future directions include using mediation models to explore the associations between suggestibility, anxiety, and alcohol misuse. ","author":[{"dropping-particle":"","family":"Cowand","given":"Alexandra","non-dropping-particle":"","parse-names":false,"suffix":""},{"dropping-particle":"","family":"Schwandt","given":"Melanie","non-dropping-particle":"","parse-names":false,"suffix":""},{"dropping-particle":"","family":"Schneider","given":"Alyssa","non-dropping-particle":"","parse-names":false,"suffix":""},{"dropping-particle":"","family":"Gilman","given":"Jodi M.","non-dropping-particle":"","parse-names":false,"suffix":""},{"dropping-particle":"","family":"Diazgranados","given":"Nancy","non-dropping-particle":"","parse-names":false,"suffix":""},{"dropping-particle":"","family":"Ramchandani","given":"Vijay A.","non-dropping-particle":"","parse-names":false,"suffix":""},{"dropping-particle":"","family":"Stangl","given":"Bethany L.","non-dropping-particle":"","parse-names":false,"suffix":""}],"container-title":"Journal of Clinical and Translational Science","id":"ITEM-1","issue":"s1","issued":{"date-parts":[["2020","6"]]},"page":"149-149","publisher":"Cambridge University Press (CUP)","title":"4191 The Role of Suggestibility and Trait Anxiety in Young Adult Alcohol Use","type":"article-journal","volume":"4"},"uris":["http://www.mendeley.com/documents/?uuid=45412f58-8e3e-3f65-831f-f17e80dbf5f8"]}],"mendeley":{"formattedCitation":"(Cowand et al., 2020)","plainTextFormattedCitation":"(Cowand et al., 2020)","previouslyFormattedCitation":"(Cowand et al., 2020)"},"properties":{"noteIndex":0},"schema":"https://github.com/citation-style-language/schema/raw/master/csl-citation.json"}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(Cowand et al., 2020)</w:t>
      </w:r>
      <w:r w:rsidR="001F203E" w:rsidRPr="00F97C61">
        <w:rPr>
          <w:color w:val="000000" w:themeColor="text1"/>
        </w:rPr>
        <w:fldChar w:fldCharType="end"/>
      </w:r>
      <w:r w:rsidR="0087455A" w:rsidRPr="00F97C61">
        <w:rPr>
          <w:color w:val="000000" w:themeColor="text1"/>
        </w:rPr>
        <w:t xml:space="preserve">. </w:t>
      </w:r>
      <w:r w:rsidR="004F301A" w:rsidRPr="00F97C61">
        <w:rPr>
          <w:color w:val="000000" w:themeColor="text1"/>
        </w:rPr>
        <w:t xml:space="preserve">Bu bulgu farklı çalışmalarla da desteklenmiş ve telkine yatkınlığın madde kullanım bozukluklarındaki rolünü belirgin bir şekilde ortaya konmuştur </w:t>
      </w:r>
      <w:r w:rsidR="001F203E" w:rsidRPr="00F97C61">
        <w:rPr>
          <w:color w:val="000000" w:themeColor="text1"/>
        </w:rPr>
        <w:fldChar w:fldCharType="begin" w:fldLock="1"/>
      </w:r>
      <w:r w:rsidR="00A95345" w:rsidRPr="00F97C61">
        <w:rPr>
          <w:color w:val="000000" w:themeColor="text1"/>
        </w:rPr>
        <w:instrText>ADDIN CSL_CITATION {"citationItems":[{"id":"ITEM-1","itemData":{"DOI":"10.1177/0269881119827813","ISSN":"14617285","PMID":"30829118","abstract":"Background: Suggestibility, defined as an individual’s inclination to accept and internalize messages, has not been studied in relation to alcohol use. Peer conformity, a component of suggestibility, may be related to alcohol use, as peer groups show similarities in patterns of alcohol use. Few studies have assessed how suggestibility and peer conformity relate to alcohol self-administration or to reinforcing effects of alcohol. Aims: This study assessed whether suggestibility and peer conformity were associated with drinking behavior, alcohol self-administration, subjective response to alcohol, and drinking motives and expectancies. Methods: Study 1 participants were alcohol drinkers (n=20), who completed a laboratory study of free-access intravenous alcohol self-administration. Study 2 participants were adolescents and young adults, age 14–25 (n=150), with lifetime alcohol use. Participants completed surveys of suggestibility and drinking patterns (Study 1 and 2), subjective alcohol effects (Study 1 only), and alcohol motives and expectancies (Study 2 only). Results/outcomes: In Study 1, participants with higher levels of suggestiblity self-administered more alcohol, and reported greater subjective alcohol effects. Peer conformity, though correlated with suggestibility, was not related to these measures. In Study 2, participants with higher suggestiblity reported more alcohol consumption, higher drinking motives and alcohol expectancies. Peer conformity was not related to alcohol consumption, but was related to coping and enhancement drinking motives, and all expectancies measures. Conclusions/interpretation: Results indicate that suggestibility, beyond peer conformity, may be a critical factor to study when examining alcohol consumption behavior, and may provide insight into the development of alcohol use disorder.","author":[{"dropping-particle":"","family":"Stangl","given":"Bethany L.","non-dropping-particle":"","parse-names":false,"suffix":""},{"dropping-particle":"","family":"Schuster","given":"Randi M.","non-dropping-particle":"","parse-names":false,"suffix":""},{"dropping-particle":"","family":"Schneider","given":"Alyssa","non-dropping-particle":"","parse-names":false,"suffix":""},{"dropping-particle":"","family":"Dechert","given":"Alyson","non-dropping-particle":"","parse-names":false,"suffix":""},{"dropping-particle":"","family":"Potter","given":"Kevin W.","non-dropping-particle":"","parse-names":false,"suffix":""},{"dropping-particle":"","family":"Hareli","given":"Maya","non-dropping-particle":"","parse-names":false,"suffix":""},{"dropping-particle":"","family":"Mahmud","given":"Fahim","non-dropping-particle":"","parse-names":false,"suffix":""},{"dropping-particle":"","family":"Yalin","given":"Elgin R.","non-dropping-particle":"","parse-names":false,"suffix":""},{"dropping-particle":"","family":"Ramchandani","given":"Vijay A.","non-dropping-particle":"","parse-names":false,"suffix":""},{"dropping-particle":"","family":"Gilman","given":"Jodi M.","non-dropping-particle":"","parse-names":false,"suffix":""}],"container-title":"Journal of Psychopharmacology","id":"ITEM-1","issue":"7","issued":{"date-parts":[["2019","7","1"]]},"page":"769-778","publisher":"SAGE Publications Ltd","title":"Suggestibility is associated with alcohol self-administration, subjective alcohol effects, and self-reported drinking behavior","type":"article-journal","volume":"33"},"uris":["http://www.mendeley.com/documents/?uuid=8d7febcd-a016-3e1b-9545-e90f7f75556d"]}],"mendeley":{"formattedCitation":"(Stangl et al., 2019)","plainTextFormattedCitation":"(Stangl et al., 2019)","previouslyFormattedCitation":"(Stangl et al., 2019)"},"properties":{"noteIndex":0},"schema":"https://github.com/citation-style-language/schema/raw/master/csl-citation.json"}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(Stangl et al., 2019)</w:t>
      </w:r>
      <w:r w:rsidR="001F203E" w:rsidRPr="00F97C61">
        <w:rPr>
          <w:color w:val="000000" w:themeColor="text1"/>
        </w:rPr>
        <w:fldChar w:fldCharType="end"/>
      </w:r>
      <w:r w:rsidR="00C84E54" w:rsidRPr="00F97C61">
        <w:rPr>
          <w:color w:val="000000" w:themeColor="text1"/>
        </w:rPr>
        <w:t xml:space="preserve">. </w:t>
      </w:r>
      <w:r w:rsidR="004F301A" w:rsidRPr="00F97C61">
        <w:rPr>
          <w:color w:val="000000" w:themeColor="text1"/>
        </w:rPr>
        <w:t xml:space="preserve">Riskli alkol kullanımındaki telkine yatkınlığın bu rolü daha çok akran etkisi ile açıklanmakta ve bu bulguyu destekleyen ilginç bir çalışmada telkine yatkınlığı yüksek bireylerin küçük ama daha kısa sürede elde edilen ödülleri büyük ama geç elde edilen ödüllere tercih ettikleri ve bu etkinin telkine yatkınlığı yüksek bireylerin akran etkisi ile ilişkili olduğu gösterilmiştir </w:t>
      </w:r>
      <w:r w:rsidR="001F203E" w:rsidRPr="00F97C61">
        <w:rPr>
          <w:color w:val="000000" w:themeColor="text1"/>
        </w:rPr>
        <w:fldChar w:fldCharType="begin" w:fldLock="1"/>
      </w:r>
      <w:r w:rsidR="00A95345" w:rsidRPr="00F97C61">
        <w:rPr>
          <w:color w:val="000000" w:themeColor="text1"/>
        </w:rPr>
        <w:instrText>ADDIN CSL_CITATION {"citationItems":[{"id":"ITEM-1","itemData":{"DOI":"10.1371/journal.pone.0101570","ISSN":"1932-6203","abstract":"Adolescents and young adults who affiliate with friends who engage in impulsive behavior are more likely to engage in impulsive behaviors themselves, and those who associate with prosocial (i.e. more prudent, future oriented) peers are more likely to engage in prosocial behavior. However, it is difficult to disentangle the contribution of peer influence vs. peer selection (i.e., whether individuals choose friends with similar traits) when interpreting social behaviors. In this study, we combined a novel social manipulation with a well-validated delay discounting task assessing impulsive behavior to create a social influence delay discounting task, in which participants were exposed to both impulsive (smaller, sooner or SS payment) and non-impulsive (larger, later or LL payment) choices from their peers. Young adults in this sample, n = 51, aged 18-25 had a higher rate of SS choices after exposure to impulsive peer influence than after exposure to non-impulsive peer influence. Interestingly, in highly susceptible individuals, the rate of non-impulsive choices did not increase after exposure to non-impulsive influence. There was a positive correlation between self-reported suggestibility and degree of peer influence on SS choices. These results suggest that, in young adults, SS choices appear to be influenced by the choices of same-aged peers, especially for individuals who are highly susceptible to influence. © 2014 Gilman et al.","author":[{"dropping-particle":"","family":"Gilman","given":"Jodi M.","non-dropping-particle":"","parse-names":false,"suffix":""},{"dropping-particle":"","family":"Curran","given":"Max T.","non-dropping-particle":"","parse-names":false,"suffix":""},{"dropping-particle":"","family":"Calderon","given":"Vanessa","non-dropping-particle":"","parse-names":false,"suffix":""},{"dropping-particle":"","family":"Stoeckel","given":"Luke E.","non-dropping-particle":"","parse-names":false,"suffix":""},{"dropping-particle":"","family":"Evins","given":"A. Eden","non-dropping-particle":"","parse-names":false,"suffix":""}],"container-title":"PLoS ONE","editor":[{"dropping-particle":"","family":"Wit","given":"Harriet","non-dropping-particle":"de","parse-names":false,"suffix":""}],"id":"ITEM-1","issue":"7","issued":{"date-parts":[["2014","7","2"]]},"page":"e101570","publisher":"Public Library of Science","title":"Impulsive Social Influence Increases Impulsive Choices on a Temporal Discounting Task in Young Adults","type":"article-journal","volume":"9"},"uris":["http://www.mendeley.com/documents/?uuid=516a2482-c62f-3238-a478-f4a209faa23b"]}],"mendeley":{"formattedCitation":"(Gilman et al., 2014)","plainTextFormattedCitation":"(Gilman et al., 2014)","previouslyFormattedCitation":"(Gilman et al., 2014)"},"properties":{"noteIndex":0},"schema":"https://github.com/citation-style-language/schema/raw/master/csl-citation.json"}</w:instrText>
      </w:r>
      <w:r w:rsidR="001F203E" w:rsidRPr="00F97C61">
        <w:rPr>
          <w:color w:val="000000" w:themeColor="text1"/>
        </w:rPr>
        <w:fldChar w:fldCharType="separate"/>
      </w:r>
      <w:r w:rsidR="00702DBA" w:rsidRPr="00F97C61">
        <w:rPr>
          <w:noProof/>
          <w:color w:val="000000" w:themeColor="text1"/>
        </w:rPr>
        <w:t>(Gilman et al., 2014)</w:t>
      </w:r>
      <w:r w:rsidR="001F203E" w:rsidRPr="00F97C61">
        <w:rPr>
          <w:color w:val="000000" w:themeColor="text1"/>
        </w:rPr>
        <w:fldChar w:fldCharType="end"/>
      </w:r>
      <w:r w:rsidR="00C84E54" w:rsidRPr="00F97C61">
        <w:rPr>
          <w:color w:val="000000" w:themeColor="text1"/>
        </w:rPr>
        <w:t xml:space="preserve">.   </w:t>
      </w:r>
    </w:p>
    <w:p w14:paraId="3B8B8B41" w14:textId="77777777" w:rsidR="00D65DAE" w:rsidRDefault="00DC3F35" w:rsidP="00BD0596">
      <w:pPr>
        <w:spacing w:line="360" w:lineRule="auto"/>
        <w:ind w:left="851"/>
        <w:rPr>
          <w:color w:val="000000" w:themeColor="text1"/>
        </w:rPr>
      </w:pPr>
      <w:r>
        <w:rPr>
          <w:color w:val="000000" w:themeColor="text1"/>
        </w:rPr>
        <w:tab/>
      </w:r>
    </w:p>
    <w:p w14:paraId="54155DDF" w14:textId="77777777" w:rsidR="006E35FA" w:rsidRDefault="006E35FA" w:rsidP="00D65DAE">
      <w:pPr>
        <w:spacing w:line="360" w:lineRule="auto"/>
        <w:ind w:left="851" w:firstLine="589"/>
        <w:rPr>
          <w:color w:val="FF0000"/>
        </w:rPr>
      </w:pPr>
    </w:p>
    <w:p w14:paraId="67238707" w14:textId="71CCACFD" w:rsidR="00DC3F35" w:rsidRPr="00F97C61" w:rsidRDefault="00DC3F35" w:rsidP="00D65DAE">
      <w:pPr>
        <w:spacing w:line="360" w:lineRule="auto"/>
        <w:ind w:left="851" w:firstLine="589"/>
        <w:rPr>
          <w:color w:val="000000" w:themeColor="text1"/>
        </w:rPr>
      </w:pPr>
      <w:r w:rsidRPr="00B75A25">
        <w:rPr>
          <w:color w:val="000000" w:themeColor="text1"/>
          <w:highlight w:val="yellow"/>
        </w:rPr>
        <w:lastRenderedPageBreak/>
        <w:t xml:space="preserve">Literatürde telkine yatkınlık ile benliğin farklı boyutları arasındaki ilişkiyi inceleyen pek çok çalışma bulunmaktadır. </w:t>
      </w:r>
      <w:r w:rsidR="005717CC" w:rsidRPr="00B75A25">
        <w:rPr>
          <w:color w:val="000000" w:themeColor="text1"/>
          <w:highlight w:val="yellow"/>
        </w:rPr>
        <w:t>Be</w:t>
      </w:r>
      <w:r w:rsidR="00D65DAE" w:rsidRPr="00B75A25">
        <w:rPr>
          <w:color w:val="000000" w:themeColor="text1"/>
          <w:highlight w:val="yellow"/>
        </w:rPr>
        <w:t>nlik kavramının</w:t>
      </w:r>
      <w:r w:rsidR="005717CC" w:rsidRPr="00B75A25">
        <w:rPr>
          <w:color w:val="000000" w:themeColor="text1"/>
          <w:highlight w:val="yellow"/>
        </w:rPr>
        <w:t xml:space="preserve"> kapsamı ve sınırları konusunda literatürde farklı görüşler bulunsa da benliğin temel olarak bireyin kendisiyle ve dış dünya ile olan ilişkisini düzenleyen </w:t>
      </w:r>
      <w:proofErr w:type="spellStart"/>
      <w:r w:rsidR="0059223E" w:rsidRPr="00B75A25">
        <w:rPr>
          <w:color w:val="000000" w:themeColor="text1"/>
          <w:highlight w:val="yellow"/>
        </w:rPr>
        <w:t>mental</w:t>
      </w:r>
      <w:proofErr w:type="spellEnd"/>
      <w:r w:rsidR="0059223E" w:rsidRPr="00B75A25">
        <w:rPr>
          <w:color w:val="000000" w:themeColor="text1"/>
          <w:highlight w:val="yellow"/>
        </w:rPr>
        <w:t xml:space="preserve"> bir fonksiyon olduğu düşünülmektedir </w:t>
      </w:r>
      <w:r w:rsidR="0059223E" w:rsidRPr="00B75A25">
        <w:rPr>
          <w:color w:val="000000" w:themeColor="text1"/>
          <w:highlight w:val="yellow"/>
        </w:rPr>
        <w:fldChar w:fldCharType="begin" w:fldLock="1"/>
      </w:r>
      <w:r w:rsidR="00CE2087" w:rsidRPr="00B75A25">
        <w:rPr>
          <w:color w:val="000000" w:themeColor="text1"/>
          <w:highlight w:val="yellow"/>
        </w:rPr>
        <w:instrText>ADDIN CSL_CITATION {"citationItems":[{"id":"ITEM-1","itemData":{"DOI":"10.1177/0022022105275959","ISSN":"00220221","abstract":"Autonomy and agency are used extensively and often interchangeably; there is a debate regarding their intersections with relatedness and separateness. This scholarship occurs within mainly a Euro-American cultural context that provides an ideological background of individualism, shedding light on psychological thinking. The article attempts to provide a broad overview of the issues involved. Two distinct dimensions, agency and interpersonal distance, are seen to underlie the self constructs involving autonomy and relatedness that are developed in different spheres of psychological inquiry. Autonomy and relatedness are viewed as basic human needs, and though apparently conflicting, are proposed to be compatible. Problems of conceptualization and operationalization are noted that have prevented the recognition of this compatibility. A model is put forward that involves a fourfold combination of the two dimensions, leading to different types of self and the societal and familial contexts in which they develop. Recent research provides credibility to the model proposed. © 2005 Sage Publications.","author":[{"dropping-particle":"","family":"Kagitcibasi","given":"Cigdem","non-dropping-particle":"","parse-names":false,"suffix":""}],"container-title":"Journal of Cross-Cultural Psychology","id":"ITEM-1","issue":"4","issued":{"date-parts":[["2005","7"]]},"page":"403-422","title":"Autonomy and relatedness in cultural context implications for self and family","type":"article-journal","volume":"36"},"uris":["http://www.mendeley.com/documents/?uuid=d30d37f9-72ef-3e76-a334-0e29440ef78d"]}],"mendeley":{"formattedCitation":"(Kagitcibasi, 2005)","plainTextFormattedCitation":"(Kagitcibasi, 2005)","previouslyFormattedCitation":"(Kagitcibasi, 2005)"},"properties":{"noteIndex":0},"schema":"https://github.com/citation-style-language/schema/raw/master/csl-citation.json"}</w:instrText>
      </w:r>
      <w:r w:rsidR="0059223E" w:rsidRPr="00B75A25">
        <w:rPr>
          <w:color w:val="000000" w:themeColor="text1"/>
          <w:highlight w:val="yellow"/>
        </w:rPr>
        <w:fldChar w:fldCharType="separate"/>
      </w:r>
      <w:r w:rsidR="0059223E" w:rsidRPr="00B75A25">
        <w:rPr>
          <w:noProof/>
          <w:color w:val="000000" w:themeColor="text1"/>
          <w:highlight w:val="yellow"/>
        </w:rPr>
        <w:t>(Kagitcibasi, 2005)</w:t>
      </w:r>
      <w:r w:rsidR="0059223E" w:rsidRPr="00B75A25">
        <w:rPr>
          <w:color w:val="000000" w:themeColor="text1"/>
          <w:highlight w:val="yellow"/>
        </w:rPr>
        <w:fldChar w:fldCharType="end"/>
      </w:r>
      <w:r w:rsidR="0059223E" w:rsidRPr="00B75A25">
        <w:rPr>
          <w:color w:val="000000" w:themeColor="text1"/>
          <w:highlight w:val="yellow"/>
        </w:rPr>
        <w:t xml:space="preserve">. Telkine yatkınlığın farklı tipleri ile benlik fonksiyonları arasındaki ilişkileri inceleyen çalışmalar daha çok </w:t>
      </w:r>
      <w:r w:rsidR="00CE2087" w:rsidRPr="00B75A25">
        <w:rPr>
          <w:color w:val="000000" w:themeColor="text1"/>
          <w:highlight w:val="yellow"/>
        </w:rPr>
        <w:t>benlik</w:t>
      </w:r>
      <w:r w:rsidR="0059223E" w:rsidRPr="00B75A25">
        <w:rPr>
          <w:color w:val="000000" w:themeColor="text1"/>
          <w:highlight w:val="yellow"/>
        </w:rPr>
        <w:t xml:space="preserve"> algısı ve </w:t>
      </w:r>
      <w:r w:rsidR="00CE2087" w:rsidRPr="00B75A25">
        <w:rPr>
          <w:color w:val="000000" w:themeColor="text1"/>
          <w:highlight w:val="yellow"/>
        </w:rPr>
        <w:t>benlik</w:t>
      </w:r>
      <w:r w:rsidR="0059223E" w:rsidRPr="00B75A25">
        <w:rPr>
          <w:color w:val="000000" w:themeColor="text1"/>
          <w:highlight w:val="yellow"/>
        </w:rPr>
        <w:t xml:space="preserve"> saygısı üzerinde yoğunlaşmaktadır. </w:t>
      </w:r>
      <w:r w:rsidR="00CE2087" w:rsidRPr="00B75A25">
        <w:rPr>
          <w:color w:val="000000" w:themeColor="text1"/>
          <w:highlight w:val="yellow"/>
        </w:rPr>
        <w:t xml:space="preserve">Bu bağlamda örneğin düşük benlik saygısı ve güvensiz bağlanma ile telkine yatkınlık ilişkisi gösteren pek çok çalışma bulunmaktadır </w:t>
      </w:r>
      <w:r w:rsidR="00CE2087" w:rsidRPr="00B75A25">
        <w:rPr>
          <w:color w:val="000000" w:themeColor="text1"/>
          <w:highlight w:val="yellow"/>
        </w:rPr>
        <w:fldChar w:fldCharType="begin" w:fldLock="1"/>
      </w:r>
      <w:r w:rsidR="003B2CF5" w:rsidRPr="00B75A25">
        <w:rPr>
          <w:color w:val="000000" w:themeColor="text1"/>
          <w:highlight w:val="yellow"/>
        </w:rPr>
        <w:instrText>ADDIN CSL_CITATION {"citationItems":[{"id":"ITEM-1","itemData":{"DOI":"10.1016/J.PAID.2013.03.017","ISSN":"0191-8869","abstract":"This study addresses the relationship between personality styles measured with the Portuguese adaptation of the Millon Index of Personality Styles Revised - MIPS-R and interrogative suggestibility assessed by the Portuguese adaptation of the Gudjonsson Suggestibility Scale - GSS1. Hypotheses predicted individual differences in suggestibility and that these differences correspond to differences in individuals' personality styles. The study was conducted with a sample of 258 individuals (Mage=31.8years, SD=12.0). Results showed that there were individual differences in suggestibility and that these differences corresponded to certain personality characteristics, mainly related to the Thinking Styles and some Behaving Styles. © 2013 Elsevier Ltd.","author":[{"dropping-particle":"","family":"Pires","given":"Rute","non-dropping-particle":"","parse-names":false,"suffix":""},{"dropping-particle":"","family":"Silva","given":"Danilo R.","non-dropping-particle":"","parse-names":false,"suffix":""},{"dropping-particle":"","family":"Ferreira","given":"Ana Sousa","non-dropping-particle":"","parse-names":false,"suffix":""}],"container-title":"Personality and Individual Differences","id":"ITEM-1","issue":"4","issued":{"date-parts":[["2013","8","1"]]},"page":"381-386","publisher":"Pergamon","title":"Personality styles and suggestibility: A differential approach","type":"article-journal","volume":"55"},"uris":["http://www.mendeley.com/documents/?uuid=5802c712-51d1-371c-b9dc-21b8242cf2b7"]}],"mendeley":{"formattedCitation":"(Pires et al., 2013)","plainTextFormattedCitation":"(Pires et al., 2013)","previouslyFormattedCitation":"(Pires et al., 2013)"},"properties":{"noteIndex":0},"schema":"https://github.com/citation-style-language/schema/raw/master/csl-citation.json"}</w:instrText>
      </w:r>
      <w:r w:rsidR="00CE2087" w:rsidRPr="00B75A25">
        <w:rPr>
          <w:color w:val="000000" w:themeColor="text1"/>
          <w:highlight w:val="yellow"/>
        </w:rPr>
        <w:fldChar w:fldCharType="separate"/>
      </w:r>
      <w:r w:rsidR="00CE2087" w:rsidRPr="00B75A25">
        <w:rPr>
          <w:noProof/>
          <w:color w:val="000000" w:themeColor="text1"/>
          <w:highlight w:val="yellow"/>
        </w:rPr>
        <w:t>(Pires et al., 2013)</w:t>
      </w:r>
      <w:r w:rsidR="00CE2087" w:rsidRPr="00B75A25">
        <w:rPr>
          <w:color w:val="000000" w:themeColor="text1"/>
          <w:highlight w:val="yellow"/>
        </w:rPr>
        <w:fldChar w:fldCharType="end"/>
      </w:r>
      <w:r w:rsidR="00CE2087" w:rsidRPr="00B75A25">
        <w:rPr>
          <w:color w:val="000000" w:themeColor="text1"/>
          <w:highlight w:val="yellow"/>
        </w:rPr>
        <w:t>.</w:t>
      </w:r>
      <w:r w:rsidR="003B2CF5" w:rsidRPr="00B75A25">
        <w:rPr>
          <w:color w:val="000000" w:themeColor="text1"/>
          <w:highlight w:val="yellow"/>
        </w:rPr>
        <w:t xml:space="preserve"> Benzer şekilde benlik algısı pozitif geribildirimlerle yükseltilen bireylerde telkine yatkınlığın azaldığını gösteren çalışmalar bulunmaktadır </w:t>
      </w:r>
      <w:r w:rsidR="003B2CF5" w:rsidRPr="00B75A25">
        <w:rPr>
          <w:color w:val="000000" w:themeColor="text1"/>
          <w:highlight w:val="yellow"/>
        </w:rPr>
        <w:fldChar w:fldCharType="begin" w:fldLock="1"/>
      </w:r>
      <w:r w:rsidR="00FA0F23" w:rsidRPr="00B75A25">
        <w:rPr>
          <w:color w:val="000000" w:themeColor="text1"/>
          <w:highlight w:val="yellow"/>
        </w:rPr>
        <w:instrText>ADDIN CSL_CITATION {"citationItems":[{"id":"ITEM-1","itemData":{"DOI":"10.1080/13218719.2015.1081088","ISSN":"19341687","abstract":"In this study, we aimed to determine whether reinforced self-affirmation (RSA), consisting of positive feedback about one’s memory skills and reflecting on one’s achievements, can reduce vulnerability to interrogative suggestibility. We used the Gudjonsson Suggestibility Scale (GSS) to assess two kinds of suggestibility: the tendency to yield to suggestive questions (Yield) and the tendency to give different answers after negative feedback (Shift). The RSA group was administered the RSA before undergoing the standard GSS2 procedure. The control group did not perform the RSA. The results showed that compared with the control group, the RSA group demonstrated significantly lower scores for all measures of interrogative suggestibility. There were no differences in memory skills and confabulation between the groups. Our results suggest that RSA may constitute the basis of an effective method to counteract the effects of misleading questions and negative feedback in the context of interrogation.","author":[{"dropping-particle":"","family":"Szpitalak","given":"Malwina","non-dropping-particle":"","parse-names":false,"suffix":""},{"dropping-particle":"","family":"Polczyk","given":"Romuald","non-dropping-particle":"","parse-names":false,"suffix":""}],"container-title":"Psychiatry, Psychology and Law","id":"ITEM-1","issue":"4","issued":{"date-parts":[["2016"]]},"page":"512-520","publisher":"Routledge","title":"Reinforced self-affirmation and interrogative suggestibility","type":"article-journal","volume":"23"},"uris":["http://www.mendeley.com/documents/?uuid=97827d5d-ed8d-37b7-adb5-335b1fc8e10b"]}],"mendeley":{"formattedCitation":"(Szpitalak &amp; Polczyk, 2016)","plainTextFormattedCitation":"(Szpitalak &amp; Polczyk, 2016)","previouslyFormattedCitation":"(Szpitalak &amp; Polczyk, 2016)"},"properties":{"noteIndex":0},"schema":"https://github.com/citation-style-language/schema/raw/master/csl-citation.json"}</w:instrText>
      </w:r>
      <w:r w:rsidR="003B2CF5" w:rsidRPr="00B75A25">
        <w:rPr>
          <w:color w:val="000000" w:themeColor="text1"/>
          <w:highlight w:val="yellow"/>
        </w:rPr>
        <w:fldChar w:fldCharType="separate"/>
      </w:r>
      <w:r w:rsidR="003B2CF5" w:rsidRPr="00B75A25">
        <w:rPr>
          <w:noProof/>
          <w:color w:val="000000" w:themeColor="text1"/>
          <w:highlight w:val="yellow"/>
        </w:rPr>
        <w:t>(Szpitalak &amp; Polczyk, 2016)</w:t>
      </w:r>
      <w:r w:rsidR="003B2CF5" w:rsidRPr="00B75A25">
        <w:rPr>
          <w:color w:val="000000" w:themeColor="text1"/>
          <w:highlight w:val="yellow"/>
        </w:rPr>
        <w:fldChar w:fldCharType="end"/>
      </w:r>
      <w:r w:rsidR="003B2CF5" w:rsidRPr="00B75A25">
        <w:rPr>
          <w:color w:val="000000" w:themeColor="text1"/>
          <w:highlight w:val="yellow"/>
        </w:rPr>
        <w:t xml:space="preserve">. </w:t>
      </w:r>
      <w:r w:rsidR="00CE2087" w:rsidRPr="00B75A25">
        <w:rPr>
          <w:color w:val="000000" w:themeColor="text1"/>
          <w:highlight w:val="yellow"/>
        </w:rPr>
        <w:t xml:space="preserve"> </w:t>
      </w:r>
      <w:r w:rsidR="003B2CF5" w:rsidRPr="00B75A25">
        <w:rPr>
          <w:color w:val="000000" w:themeColor="text1"/>
          <w:highlight w:val="yellow"/>
        </w:rPr>
        <w:t xml:space="preserve">Özel olarak KTYÖ ile yapılan telkine yatkınlık çalışmalarında da sıklıkla </w:t>
      </w:r>
      <w:r w:rsidR="009A69D4" w:rsidRPr="00B75A25">
        <w:rPr>
          <w:color w:val="000000" w:themeColor="text1"/>
          <w:highlight w:val="yellow"/>
        </w:rPr>
        <w:t>benlik algısı ve benlik algısı ile yakından ilişkili</w:t>
      </w:r>
      <w:r w:rsidR="00FA0F23" w:rsidRPr="00B75A25">
        <w:rPr>
          <w:color w:val="000000" w:themeColor="text1"/>
          <w:highlight w:val="yellow"/>
        </w:rPr>
        <w:t xml:space="preserve"> öz-şefkat gibi</w:t>
      </w:r>
      <w:r w:rsidR="009A69D4" w:rsidRPr="00B75A25">
        <w:rPr>
          <w:color w:val="000000" w:themeColor="text1"/>
          <w:highlight w:val="yellow"/>
        </w:rPr>
        <w:t xml:space="preserve"> konseptlerin bir değişken olarak ele alındığı görülmektedir</w:t>
      </w:r>
      <w:r w:rsidR="00FA0F23" w:rsidRPr="00B75A25">
        <w:rPr>
          <w:color w:val="000000" w:themeColor="text1"/>
          <w:highlight w:val="yellow"/>
        </w:rPr>
        <w:fldChar w:fldCharType="begin" w:fldLock="1"/>
      </w:r>
      <w:r w:rsidR="00F21E13" w:rsidRPr="00B75A25">
        <w:rPr>
          <w:color w:val="000000" w:themeColor="text1"/>
          <w:highlight w:val="yellow"/>
        </w:rPr>
        <w:instrText>ADDIN CSL_CITATION {"citationItems":[{"id":"ITEM-1","itemData":{"DOI":"10.1016/J.EATBEH.2016.10.008","ISSN":"1471-0153","PMID":"27816857","abstract":"Objective The dual pathway model, a theoretical model of eating disorder development, suggests that thin ideal internalization leads to body dissatisfaction which leads to disordered eating via the dual pathways of negative affect and dietary restraint. While the dual pathway model has been a valuable guide for eating disorder prevention, greater knowledge of characteristics that predict thin ideal internalization is needed. Method The present study replicated and extended the dual pathway model by considering the addition of fear of negative evaluation, suggestibility, rumination, and self-compassion in a sample of community women and female university students. Results Results showed that fear of negative evaluation and suggestibility predicted thin ideal internalization whereas rumination and self-compassion (inversely) predicted body dissatisfaction. Negative affect was predicted by fear of negative evaluation, rumination, and self-compassion (inversely). Discussion The extended model fit the data well in both samples. Analogue and longitudinal study of these constructs is warranted in future research.","author":[{"dropping-particle":"","family":"Maraldo","given":"Toni M.","non-dropping-particle":"","parse-names":false,"suffix":""},{"dropping-particle":"","family":"Zhou","given":"Wanni","non-dropping-particle":"","parse-names":false,"suffix":""},{"dropping-particle":"","family":"Dowling","given":"Jessica","non-dropping-particle":"","parse-names":false,"suffix":""},{"dropping-particle":"","family":"Wal","given":"Jillon S.","non-dropping-particle":"Vander","parse-names":false,"suffix":""}],"container-title":"Eating Behaviors","id":"ITEM-1","issued":{"date-parts":[["2016","12","1"]]},"page":"187-194","publisher":"Pergamon","title":"Replication and extension of the dual pathway model of disordered eating: The role of fear of negative evaluation, suggestibility, rumination, and self-compassion","type":"article-journal","volume":"23"},"uris":["http://www.mendeley.com/documents/?uuid=bc22517c-22d1-390c-8f31-fb3d55c51186"]},{"id":"ITEM-2","itemData":{"DOI":"10.4172/2572-0791.1000119","abstract":"This research investigated a potential linkage between mindfulness and personality characteristics such as openness to experience, empathy (empathic concern and theory of mind), pro-social behaviour and suggestibility. A sample of 275 volunteers was recruited. A series of the research questionnaires and scales was employed to measure mindfulness, empathic concern, theory of mind (or perspective taking), pro-social behaviour (or altruism) and suggestibility. Based on the quartile scores, participants were divided into two low (first quartile) and high (forth quartile) on mindfulness. Using a two-way MANOVA, the results showed that participants high on mindfulness exhibited increased theory of mind, pro-social behaviour and openness, in addition to decreased suggestibility. Neither main nor interaction effects were found for gender factor. Theoretical models in the field of social cognition will be discussed to explain how enhancement in cognitive functions due to mindfulness practice might alter personality characteristics and, in turn, influence socio-political behaviour.","author":[{"dropping-particle":"","family":"Kaviani","given":"Hossein","non-dropping-particle":"","parse-names":false,"suffix":""},{"dropping-particle":"","family":"Hatami","given":"Neda","non-dropping-particle":"","parse-names":false,"suffix":""}],"container-title":"Clinical Depression","id":"ITEM-2","issue":"04","issued":{"date-parts":[["2016"]]},"publisher":"OMICS Publishing Group","title":"Link between Mindfulness and Personality-Related Factors Including Empathy, Theory of Mind, Openness, Pro-social Behaviour and Suggestibility","type":"article-journal","volume":"02"},"uris":["http://www.mendeley.com/documents/?uuid=4511daf7-e305-3301-ba47-596d7c1bf8bb"]}],"mendeley":{"formattedCitation":"(Kaviani &amp; Hatami, 2016; Maraldo et al., 2016)","plainTextFormattedCitation":"(Kaviani &amp; Hatami, 2016; Maraldo et al., 2016)","previouslyFormattedCitation":"(Kaviani &amp; Hatami, 2016; Maraldo et al., 2016)"},"properties":{"noteIndex":0},"schema":"https://github.com/citation-style-language/schema/raw/master/csl-citation.json"}</w:instrText>
      </w:r>
      <w:r w:rsidR="00FA0F23" w:rsidRPr="00B75A25">
        <w:rPr>
          <w:color w:val="000000" w:themeColor="text1"/>
          <w:highlight w:val="yellow"/>
        </w:rPr>
        <w:fldChar w:fldCharType="separate"/>
      </w:r>
      <w:r w:rsidR="00FA0F23" w:rsidRPr="00B75A25">
        <w:rPr>
          <w:noProof/>
          <w:color w:val="000000" w:themeColor="text1"/>
          <w:highlight w:val="yellow"/>
        </w:rPr>
        <w:t>(Kaviani &amp; Hatami, 2016; Maraldo et al., 2016)</w:t>
      </w:r>
      <w:r w:rsidR="00FA0F23" w:rsidRPr="00B75A25">
        <w:rPr>
          <w:color w:val="000000" w:themeColor="text1"/>
          <w:highlight w:val="yellow"/>
        </w:rPr>
        <w:fldChar w:fldCharType="end"/>
      </w:r>
      <w:r w:rsidR="009A69D4" w:rsidRPr="00B75A25">
        <w:rPr>
          <w:color w:val="000000" w:themeColor="text1"/>
          <w:highlight w:val="yellow"/>
        </w:rPr>
        <w:t>.</w:t>
      </w:r>
      <w:r w:rsidR="007522E8" w:rsidRPr="00B75A25">
        <w:rPr>
          <w:color w:val="000000" w:themeColor="text1"/>
          <w:highlight w:val="yellow"/>
        </w:rPr>
        <w:t xml:space="preserve"> Bu çalışmalarla ilişkili olarak </w:t>
      </w:r>
      <w:proofErr w:type="spellStart"/>
      <w:r w:rsidR="007522E8" w:rsidRPr="00B75A25">
        <w:rPr>
          <w:color w:val="000000" w:themeColor="text1"/>
          <w:highlight w:val="yellow"/>
        </w:rPr>
        <w:t>ÖİBÖ’nün</w:t>
      </w:r>
      <w:proofErr w:type="spellEnd"/>
      <w:r w:rsidR="007522E8" w:rsidRPr="00B75A25">
        <w:rPr>
          <w:color w:val="000000" w:themeColor="text1"/>
          <w:highlight w:val="yellow"/>
        </w:rPr>
        <w:t xml:space="preserve"> de telkine yatkınlıkla yakından ilişkili eylemlilik (</w:t>
      </w:r>
      <w:proofErr w:type="spellStart"/>
      <w:r w:rsidR="007522E8" w:rsidRPr="00B75A25">
        <w:rPr>
          <w:color w:val="000000" w:themeColor="text1"/>
          <w:highlight w:val="yellow"/>
        </w:rPr>
        <w:t>agency</w:t>
      </w:r>
      <w:proofErr w:type="spellEnd"/>
      <w:r w:rsidR="007522E8" w:rsidRPr="00B75A25">
        <w:rPr>
          <w:color w:val="000000" w:themeColor="text1"/>
          <w:highlight w:val="yellow"/>
        </w:rPr>
        <w:t>), kendine itimat (self-</w:t>
      </w:r>
      <w:proofErr w:type="spellStart"/>
      <w:r w:rsidR="007522E8" w:rsidRPr="00B75A25">
        <w:rPr>
          <w:color w:val="000000" w:themeColor="text1"/>
          <w:highlight w:val="yellow"/>
        </w:rPr>
        <w:t>reliance</w:t>
      </w:r>
      <w:proofErr w:type="spellEnd"/>
      <w:r w:rsidR="007522E8" w:rsidRPr="00B75A25">
        <w:rPr>
          <w:color w:val="000000" w:themeColor="text1"/>
          <w:highlight w:val="yellow"/>
        </w:rPr>
        <w:t>)</w:t>
      </w:r>
      <w:r w:rsidR="00F21E13" w:rsidRPr="00B75A25">
        <w:rPr>
          <w:color w:val="000000" w:themeColor="text1"/>
          <w:highlight w:val="yellow"/>
        </w:rPr>
        <w:t xml:space="preserve"> veya psikolojik dayanıklılık (</w:t>
      </w:r>
      <w:proofErr w:type="spellStart"/>
      <w:r w:rsidR="00F21E13" w:rsidRPr="00B75A25">
        <w:rPr>
          <w:color w:val="000000" w:themeColor="text1"/>
          <w:highlight w:val="yellow"/>
        </w:rPr>
        <w:t>resilience</w:t>
      </w:r>
      <w:proofErr w:type="spellEnd"/>
      <w:r w:rsidR="00F21E13" w:rsidRPr="00B75A25">
        <w:rPr>
          <w:color w:val="000000" w:themeColor="text1"/>
          <w:highlight w:val="yellow"/>
        </w:rPr>
        <w:t>) gibi</w:t>
      </w:r>
      <w:r w:rsidR="007522E8" w:rsidRPr="00B75A25">
        <w:rPr>
          <w:color w:val="000000" w:themeColor="text1"/>
          <w:highlight w:val="yellow"/>
        </w:rPr>
        <w:t xml:space="preserve"> kavramlarla bağlantısını araştıran pek çok çalışma bulunmaktadır</w:t>
      </w:r>
      <w:r w:rsidR="00F21E13" w:rsidRPr="00B75A25">
        <w:rPr>
          <w:color w:val="000000" w:themeColor="text1"/>
          <w:highlight w:val="yellow"/>
        </w:rPr>
        <w:t xml:space="preserve"> </w:t>
      </w:r>
      <w:r w:rsidR="00F21E13" w:rsidRPr="00B75A25">
        <w:rPr>
          <w:color w:val="000000" w:themeColor="text1"/>
          <w:highlight w:val="yellow"/>
        </w:rPr>
        <w:fldChar w:fldCharType="begin" w:fldLock="1"/>
      </w:r>
      <w:r w:rsidR="00F21E13" w:rsidRPr="00B75A25">
        <w:rPr>
          <w:color w:val="000000" w:themeColor="text1"/>
          <w:highlight w:val="yellow"/>
        </w:rPr>
        <w:instrText>ADDIN CSL_CITATION {"citationItems":[{"id":"ITEM-1","itemData":{"DOI":"10.24289/IJSSER.268562","ISSN":"2149-5939","abstract":"The aim of this study is to determine the predictive role of autonomous-related self of adolescent and the critical thinking disposition of parents on adolescent psychological resilience. The study was carried out on 339 participants who were selected randomly including 113 adolescents (in the range of 14-18 ages; female 57, male 56) and 113 mother – 113 father of these adolescents. Adolescent Psychological Resilience Scale, Autonomous-Related Self Scale, Critical Thinking Disposition Scale and Demographical information form were used for data collection. Pearson Correlation, Independent Samples t-Test and Hierarchical Regression were used in analysis of data. The findings reveal that there was a statistically significant positive correlation between adolescent psychological resilience and critical thinking disposition of parents. Also there was a statistically significant positive correlation between adolescent psychological resilience and relatedness of adolescent. Furthermore there was a statistically significant positive correlation between family, peer and school support subdimensions of adolescent psychological resilience and relatedness. The results showed that there was no significant difference regarding to adolescent psychological resilience level according to gender. According to hierarchical regression analysis’ results there was a predictive role of relatedness subdimension of self-construal of adolescent and critical thinking disposition of parents on adolescent psychological resilience.","author":[{"dropping-particle":"","family":"Yıldırım","given":"Melis Seray Özden","non-dropping-particle":"","parse-names":false,"suffix":""},{"dropping-particle":"","family":"Ermiş","given":"Ece Naz","non-dropping-particle":"","parse-names":false,"suffix":""}],"container-title":"International Journal of Social Sciences and Education Research","id":"ITEM-1","issue":"1","issued":{"date-parts":[["2017","1","5"]]},"page":"319-327","publisher":"International Journal of Social Sciences and Education Research","title":"The predictive role of autonomous-related self of adolescent and the critical thinking disposition of parents on adolescent psychological resilience","type":"article-journal","volume":"3"},"uris":["http://www.mendeley.com/documents/?uuid=9dbc94bb-5663-3e57-9440-ddfce9be95f9"]},{"id":"ITEM-2","itemData":{"DOI":"10.1111/J.1750-8606.2011.00173.X","ISSN":"1750-8606","abstract":"Understanding human development in the context of socioeconomic-cultural change requires a consideration of both the contextual and the global aspects of development that involves an \"integrative synthesis\" of the 2. Such a synthesis may be considered a conceptual model or goal of human development and may be observed in different spheres of development. This article proposes \"autonomous-related self\" and \"cognitive-social competence\" as 2 integrative syntheses that provide insight into adaptations to changing environmental demands and suggests that although they are not adequately recognized in psychology, these syntheses can be considered as aspects of optimal development. The article presents the 22-year longitudinal Turkish Early Enrichment Project as a case in point that illustrates the relevance of these integrative syntheses, as well as how they can be promoted. © 2011 The Author. Child Development Perspectives © 2011 The Society for Research in Child Development.","author":[{"dropping-particle":"","family":"Kagitcibasi","given":"Cigdem","non-dropping-particle":"","parse-names":false,"suffix":""}],"container-title":"Child Development Perspectives","id":"ITEM-2","issue":"1","issued":{"date-parts":[["2012","3","1"]]},"page":"5-11","publisher":"John Wiley &amp; Sons, Ltd","title":"Sociocultural Change and Integrative Syntheses in Human Development: Autonomous-Related Self and Social–Cognitive Competence","type":"article-journal","volume":"6"},"uris":["http://www.mendeley.com/documents/?uuid=bf365025-8075-3c13-b23f-f1d660ba6c09"]}],"mendeley":{"formattedCitation":"(Kagitcibasi, 2012; Yıldırım &amp; Ermiş, 2017)","plainTextFormattedCitation":"(Kagitcibasi, 2012; Yıldırım &amp; Ermiş, 2017)"},"properties":{"noteIndex":0},"schema":"https://github.com/citation-style-language/schema/raw/master/csl-citation.json"}</w:instrText>
      </w:r>
      <w:r w:rsidR="00F21E13" w:rsidRPr="00B75A25">
        <w:rPr>
          <w:color w:val="000000" w:themeColor="text1"/>
          <w:highlight w:val="yellow"/>
        </w:rPr>
        <w:fldChar w:fldCharType="separate"/>
      </w:r>
      <w:r w:rsidR="00F21E13" w:rsidRPr="00B75A25">
        <w:rPr>
          <w:noProof/>
          <w:color w:val="000000" w:themeColor="text1"/>
          <w:highlight w:val="yellow"/>
        </w:rPr>
        <w:t>(Kagitcibasi, 2012; Yıldırım &amp; Ermiş, 2017)</w:t>
      </w:r>
      <w:r w:rsidR="00F21E13" w:rsidRPr="00B75A25">
        <w:rPr>
          <w:color w:val="000000" w:themeColor="text1"/>
          <w:highlight w:val="yellow"/>
        </w:rPr>
        <w:fldChar w:fldCharType="end"/>
      </w:r>
      <w:r w:rsidR="00F21E13" w:rsidRPr="00B75A25">
        <w:rPr>
          <w:color w:val="000000" w:themeColor="text1"/>
          <w:highlight w:val="yellow"/>
        </w:rPr>
        <w:t>.</w:t>
      </w:r>
      <w:r w:rsidR="00F21E13">
        <w:rPr>
          <w:color w:val="000000" w:themeColor="text1"/>
        </w:rPr>
        <w:t xml:space="preserve"> </w:t>
      </w:r>
    </w:p>
    <w:p w14:paraId="4CC385E1" w14:textId="439BAA28" w:rsidR="00BD0596" w:rsidRDefault="004F301A" w:rsidP="00BD0596">
      <w:pPr>
        <w:spacing w:line="360" w:lineRule="auto"/>
        <w:ind w:left="851"/>
        <w:rPr>
          <w:color w:val="000000" w:themeColor="text1"/>
        </w:rPr>
      </w:pPr>
      <w:r w:rsidRPr="00F97C61">
        <w:rPr>
          <w:color w:val="000000" w:themeColor="text1"/>
        </w:rPr>
        <w:t xml:space="preserve">Sonuç olarak telkine yatkınlık kişilik yapısı ile yakından ilişkili bir kavram olarak temelde </w:t>
      </w:r>
      <w:proofErr w:type="spellStart"/>
      <w:r w:rsidRPr="00F97C61">
        <w:rPr>
          <w:color w:val="000000" w:themeColor="text1"/>
        </w:rPr>
        <w:t>hipnotik</w:t>
      </w:r>
      <w:proofErr w:type="spellEnd"/>
      <w:r w:rsidRPr="00F97C61">
        <w:rPr>
          <w:color w:val="000000" w:themeColor="text1"/>
        </w:rPr>
        <w:t xml:space="preserve"> ve </w:t>
      </w:r>
      <w:proofErr w:type="spellStart"/>
      <w:r w:rsidRPr="00F97C61">
        <w:rPr>
          <w:color w:val="000000" w:themeColor="text1"/>
        </w:rPr>
        <w:t>sorgusal</w:t>
      </w:r>
      <w:proofErr w:type="spellEnd"/>
      <w:r w:rsidRPr="00F97C61">
        <w:rPr>
          <w:color w:val="000000" w:themeColor="text1"/>
        </w:rPr>
        <w:t xml:space="preserve"> telkine yatkınlık düzlemlerinde çalışılmış olsa da </w:t>
      </w:r>
      <w:r w:rsidR="00D87235" w:rsidRPr="00F97C61">
        <w:rPr>
          <w:color w:val="000000" w:themeColor="text1"/>
        </w:rPr>
        <w:t xml:space="preserve">yapısal telkine yatkınlığın daha farklı bir kavram olduğu ve farklı klinik ve klinik dışı düzlemlerde yapılan araştırmalarla doğasının daha iyi anlaşılabileceği düşünülmektedir. </w:t>
      </w:r>
    </w:p>
    <w:p w14:paraId="45DB9E44" w14:textId="18EE2252" w:rsidR="00F21E13" w:rsidRDefault="00F21E13" w:rsidP="00BD0596">
      <w:pPr>
        <w:spacing w:line="360" w:lineRule="auto"/>
        <w:ind w:left="851"/>
        <w:rPr>
          <w:color w:val="000000" w:themeColor="text1"/>
        </w:rPr>
      </w:pPr>
      <w:r>
        <w:rPr>
          <w:color w:val="000000" w:themeColor="text1"/>
        </w:rPr>
        <w:tab/>
      </w:r>
      <w:r w:rsidRPr="00B75A25">
        <w:rPr>
          <w:color w:val="000000" w:themeColor="text1"/>
          <w:highlight w:val="yellow"/>
        </w:rPr>
        <w:t xml:space="preserve">Çalışmamızın ana </w:t>
      </w:r>
      <w:r w:rsidR="004F0324">
        <w:rPr>
          <w:color w:val="000000" w:themeColor="text1"/>
          <w:highlight w:val="yellow"/>
        </w:rPr>
        <w:t>amaçlarından</w:t>
      </w:r>
      <w:r w:rsidRPr="00B75A25">
        <w:rPr>
          <w:color w:val="000000" w:themeColor="text1"/>
          <w:highlight w:val="yellow"/>
        </w:rPr>
        <w:t xml:space="preserve"> biri bireylerin telkine yatkınlığını farklı boyutlarda ölçen </w:t>
      </w:r>
      <w:proofErr w:type="spellStart"/>
      <w:r w:rsidRPr="00B75A25">
        <w:rPr>
          <w:color w:val="000000" w:themeColor="text1"/>
          <w:highlight w:val="yellow"/>
        </w:rPr>
        <w:t>KTYÖ’nün</w:t>
      </w:r>
      <w:proofErr w:type="spellEnd"/>
      <w:r w:rsidRPr="00B75A25">
        <w:rPr>
          <w:color w:val="000000" w:themeColor="text1"/>
          <w:highlight w:val="yellow"/>
        </w:rPr>
        <w:t xml:space="preserve"> Türkçe dilinde</w:t>
      </w:r>
      <w:r w:rsidR="004F0324">
        <w:rPr>
          <w:color w:val="000000" w:themeColor="text1"/>
          <w:highlight w:val="yellow"/>
        </w:rPr>
        <w:t xml:space="preserve"> ve ele alınan örneklemde</w:t>
      </w:r>
      <w:r w:rsidRPr="00B75A25">
        <w:rPr>
          <w:color w:val="000000" w:themeColor="text1"/>
          <w:highlight w:val="yellow"/>
        </w:rPr>
        <w:t xml:space="preserve"> geçerliliği ve güvenirliğinin test edilmesidir.</w:t>
      </w:r>
      <w:r w:rsidR="00CF2920" w:rsidRPr="00B75A25">
        <w:rPr>
          <w:color w:val="000000" w:themeColor="text1"/>
          <w:highlight w:val="yellow"/>
        </w:rPr>
        <w:t xml:space="preserve"> Çalışmamız</w:t>
      </w:r>
      <w:r w:rsidR="004F0324">
        <w:rPr>
          <w:color w:val="000000" w:themeColor="text1"/>
          <w:highlight w:val="yellow"/>
        </w:rPr>
        <w:t xml:space="preserve">ın diğer bir amacı </w:t>
      </w:r>
      <w:r w:rsidR="00992118">
        <w:rPr>
          <w:color w:val="000000" w:themeColor="text1"/>
          <w:highlight w:val="yellow"/>
        </w:rPr>
        <w:t xml:space="preserve">ise </w:t>
      </w:r>
      <w:r w:rsidR="00CF2920" w:rsidRPr="00B75A25">
        <w:rPr>
          <w:color w:val="000000" w:themeColor="text1"/>
          <w:highlight w:val="yellow"/>
        </w:rPr>
        <w:t>telkine yatkınlı</w:t>
      </w:r>
      <w:r w:rsidR="004F0324">
        <w:rPr>
          <w:color w:val="000000" w:themeColor="text1"/>
          <w:highlight w:val="yellow"/>
        </w:rPr>
        <w:t xml:space="preserve">k </w:t>
      </w:r>
      <w:r w:rsidR="00CF2920" w:rsidRPr="00B75A25">
        <w:rPr>
          <w:color w:val="000000" w:themeColor="text1"/>
          <w:highlight w:val="yellow"/>
        </w:rPr>
        <w:t xml:space="preserve">ile benlik </w:t>
      </w:r>
      <w:r w:rsidR="004F0324">
        <w:rPr>
          <w:color w:val="000000" w:themeColor="text1"/>
          <w:highlight w:val="yellow"/>
        </w:rPr>
        <w:t xml:space="preserve">kurgusu arasındaki ilişkiyi </w:t>
      </w:r>
      <w:r w:rsidR="00CF2920" w:rsidRPr="00B75A25">
        <w:rPr>
          <w:color w:val="000000" w:themeColor="text1"/>
          <w:highlight w:val="yellow"/>
        </w:rPr>
        <w:t>test etmektir.</w:t>
      </w:r>
      <w:r w:rsidR="00CF2920">
        <w:rPr>
          <w:color w:val="000000" w:themeColor="text1"/>
        </w:rPr>
        <w:t xml:space="preserve"> </w:t>
      </w:r>
      <w:r w:rsidR="00992118">
        <w:rPr>
          <w:color w:val="000000" w:themeColor="text1"/>
        </w:rPr>
        <w:t>Ç</w:t>
      </w:r>
      <w:r w:rsidR="004F0324">
        <w:rPr>
          <w:color w:val="000000" w:themeColor="text1"/>
        </w:rPr>
        <w:t>alışmanın ana hipotezi</w:t>
      </w:r>
      <w:r w:rsidR="00992118">
        <w:rPr>
          <w:color w:val="000000" w:themeColor="text1"/>
        </w:rPr>
        <w:t>,</w:t>
      </w:r>
      <w:r w:rsidR="004F0324">
        <w:rPr>
          <w:color w:val="000000" w:themeColor="text1"/>
        </w:rPr>
        <w:t xml:space="preserve"> </w:t>
      </w:r>
      <w:proofErr w:type="spellStart"/>
      <w:r w:rsidR="00992118">
        <w:rPr>
          <w:color w:val="000000" w:themeColor="text1"/>
        </w:rPr>
        <w:t>KTYÖ</w:t>
      </w:r>
      <w:r w:rsidR="00600F82">
        <w:rPr>
          <w:color w:val="000000" w:themeColor="text1"/>
        </w:rPr>
        <w:t>’nin</w:t>
      </w:r>
      <w:proofErr w:type="spellEnd"/>
      <w:r w:rsidR="00992118">
        <w:rPr>
          <w:color w:val="000000" w:themeColor="text1"/>
        </w:rPr>
        <w:t xml:space="preserve"> Türkçe dilinde ve ele alınan örneklemde geçerli</w:t>
      </w:r>
      <w:r w:rsidR="00600F82">
        <w:rPr>
          <w:color w:val="000000" w:themeColor="text1"/>
        </w:rPr>
        <w:t xml:space="preserve"> </w:t>
      </w:r>
      <w:r w:rsidR="00992118">
        <w:rPr>
          <w:color w:val="000000" w:themeColor="text1"/>
        </w:rPr>
        <w:t xml:space="preserve">ve güvenilir bir </w:t>
      </w:r>
      <w:r w:rsidR="00600F82">
        <w:rPr>
          <w:color w:val="000000" w:themeColor="text1"/>
        </w:rPr>
        <w:t>ölçek olduğu yönünde,</w:t>
      </w:r>
      <w:r w:rsidR="00992118">
        <w:rPr>
          <w:color w:val="000000" w:themeColor="text1"/>
        </w:rPr>
        <w:t xml:space="preserve"> </w:t>
      </w:r>
      <w:r w:rsidR="00600F82">
        <w:rPr>
          <w:color w:val="000000" w:themeColor="text1"/>
        </w:rPr>
        <w:t>i</w:t>
      </w:r>
      <w:r w:rsidR="00992118">
        <w:rPr>
          <w:color w:val="000000" w:themeColor="text1"/>
        </w:rPr>
        <w:t xml:space="preserve">kinci hipotezi ise telkine yatkınlık ile ilişkisel benlik arasında pozitif bir ilişki </w:t>
      </w:r>
      <w:r w:rsidR="00600F82">
        <w:rPr>
          <w:color w:val="000000" w:themeColor="text1"/>
        </w:rPr>
        <w:t>olduğu yönündedir.</w:t>
      </w:r>
    </w:p>
    <w:p w14:paraId="14688A86" w14:textId="099705A8" w:rsidR="006C195A" w:rsidRDefault="006C195A" w:rsidP="00BD0596">
      <w:pPr>
        <w:spacing w:line="360" w:lineRule="auto"/>
        <w:ind w:left="851"/>
        <w:rPr>
          <w:color w:val="000000" w:themeColor="text1"/>
        </w:rPr>
      </w:pPr>
    </w:p>
    <w:p w14:paraId="4745FA9F" w14:textId="60BC87F4" w:rsidR="00FB54BC" w:rsidRPr="00F97C61" w:rsidRDefault="00BD0596" w:rsidP="00BD0596">
      <w:pPr>
        <w:spacing w:after="0" w:line="240" w:lineRule="auto"/>
        <w:jc w:val="left"/>
        <w:rPr>
          <w:color w:val="000000" w:themeColor="text1"/>
        </w:rPr>
      </w:pPr>
      <w:r w:rsidRPr="00F97C61">
        <w:rPr>
          <w:color w:val="000000" w:themeColor="text1"/>
        </w:rPr>
        <w:br w:type="page"/>
      </w:r>
    </w:p>
    <w:p w14:paraId="75F155A5" w14:textId="77777777" w:rsidR="00A42654" w:rsidRPr="00F97C61" w:rsidRDefault="00A42654" w:rsidP="00BD0596">
      <w:pPr>
        <w:spacing w:line="360" w:lineRule="auto"/>
        <w:ind w:left="851"/>
        <w:rPr>
          <w:b/>
          <w:bCs/>
          <w:color w:val="000000" w:themeColor="text1"/>
        </w:rPr>
      </w:pPr>
      <w:r w:rsidRPr="00F97C61">
        <w:rPr>
          <w:b/>
          <w:bCs/>
          <w:color w:val="000000" w:themeColor="text1"/>
        </w:rPr>
        <w:lastRenderedPageBreak/>
        <w:t>YÖNTEM</w:t>
      </w:r>
    </w:p>
    <w:p w14:paraId="466F8A96" w14:textId="74E91667" w:rsidR="00A42654" w:rsidRPr="00F97C61" w:rsidRDefault="00A42654" w:rsidP="00BD0596">
      <w:pPr>
        <w:spacing w:line="360" w:lineRule="auto"/>
        <w:ind w:left="851"/>
        <w:rPr>
          <w:b/>
          <w:bCs/>
          <w:color w:val="000000" w:themeColor="text1"/>
        </w:rPr>
      </w:pPr>
      <w:r w:rsidRPr="00F97C61">
        <w:rPr>
          <w:b/>
          <w:bCs/>
          <w:color w:val="000000" w:themeColor="text1"/>
        </w:rPr>
        <w:t>Örneklem</w:t>
      </w:r>
    </w:p>
    <w:p w14:paraId="402468D8" w14:textId="08D51457" w:rsidR="00A42654" w:rsidRPr="00F97C61" w:rsidRDefault="004C22A1" w:rsidP="00BD0596">
      <w:pPr>
        <w:spacing w:line="360" w:lineRule="auto"/>
        <w:ind w:left="851"/>
        <w:rPr>
          <w:color w:val="000000" w:themeColor="text1"/>
        </w:rPr>
      </w:pPr>
      <w:bookmarkStart w:id="0" w:name="_Hlk70077844"/>
      <w:r w:rsidRPr="00F97C61">
        <w:rPr>
          <w:color w:val="000000" w:themeColor="text1"/>
        </w:rPr>
        <w:t xml:space="preserve">Kısa Telkine Yatkınlık </w:t>
      </w:r>
      <w:proofErr w:type="spellStart"/>
      <w:r w:rsidRPr="00F97C61">
        <w:rPr>
          <w:color w:val="000000" w:themeColor="text1"/>
        </w:rPr>
        <w:t>Ölçeği</w:t>
      </w:r>
      <w:bookmarkEnd w:id="0"/>
      <w:r w:rsidRPr="00F97C61">
        <w:rPr>
          <w:color w:val="000000" w:themeColor="text1"/>
        </w:rPr>
        <w:t>’nin</w:t>
      </w:r>
      <w:proofErr w:type="spellEnd"/>
      <w:r w:rsidR="00A42654" w:rsidRPr="00F97C61">
        <w:rPr>
          <w:color w:val="000000" w:themeColor="text1"/>
        </w:rPr>
        <w:t xml:space="preserve"> </w:t>
      </w:r>
      <w:proofErr w:type="spellStart"/>
      <w:r w:rsidR="00A42654" w:rsidRPr="00F97C61">
        <w:rPr>
          <w:color w:val="000000" w:themeColor="text1"/>
        </w:rPr>
        <w:t>Türkçe’ye</w:t>
      </w:r>
      <w:proofErr w:type="spellEnd"/>
      <w:r w:rsidR="00A42654" w:rsidRPr="00F97C61">
        <w:rPr>
          <w:color w:val="000000" w:themeColor="text1"/>
        </w:rPr>
        <w:t xml:space="preserve"> uyarlanması çalışması </w:t>
      </w:r>
      <w:r w:rsidR="00FA6D6E" w:rsidRPr="00F97C61">
        <w:rPr>
          <w:color w:val="000000" w:themeColor="text1"/>
        </w:rPr>
        <w:t xml:space="preserve">77 “18 yaş altı”, 217 “18 yaş ve üzeri” toplam 294 lise ve </w:t>
      </w:r>
      <w:r w:rsidR="00A42654" w:rsidRPr="00F97C61">
        <w:rPr>
          <w:color w:val="000000" w:themeColor="text1"/>
        </w:rPr>
        <w:t xml:space="preserve">üniversite öğrencisinden oluşan bir örneklem ile yürütülmüştür. 294 katılımcının 162’si kadın, 132’si erkektir. Tüm katılımcıların yaş ortalaması ve standart sapması 20,3±3,1; kadınların 19,9±2,9; erkeklerin 20,6±3,2’dir. </w:t>
      </w:r>
    </w:p>
    <w:p w14:paraId="4FD703D4" w14:textId="73E064C9" w:rsidR="00A42654" w:rsidRPr="00F97C61" w:rsidRDefault="00A42654" w:rsidP="00BD0596">
      <w:pPr>
        <w:spacing w:line="360" w:lineRule="auto"/>
        <w:ind w:left="851"/>
        <w:rPr>
          <w:b/>
          <w:bCs/>
          <w:color w:val="000000" w:themeColor="text1"/>
        </w:rPr>
      </w:pPr>
      <w:r w:rsidRPr="00F97C61">
        <w:rPr>
          <w:b/>
          <w:bCs/>
          <w:color w:val="000000" w:themeColor="text1"/>
        </w:rPr>
        <w:t>Veri Toplama Araçları</w:t>
      </w:r>
    </w:p>
    <w:p w14:paraId="0AB73910" w14:textId="2D7ECBB5" w:rsidR="002F73AD" w:rsidRPr="00F97C61" w:rsidRDefault="004C22A1" w:rsidP="00BD0596">
      <w:pPr>
        <w:spacing w:line="360" w:lineRule="auto"/>
        <w:ind w:left="851"/>
        <w:rPr>
          <w:color w:val="000000" w:themeColor="text1"/>
        </w:rPr>
      </w:pPr>
      <w:r w:rsidRPr="00F97C61">
        <w:rPr>
          <w:b/>
          <w:bCs/>
          <w:color w:val="000000" w:themeColor="text1"/>
        </w:rPr>
        <w:t>Kısa Telkine Yatkınlık Ölçeği</w:t>
      </w:r>
      <w:r w:rsidR="0059086B" w:rsidRPr="00F97C61">
        <w:rPr>
          <w:b/>
          <w:bCs/>
          <w:color w:val="000000" w:themeColor="text1"/>
        </w:rPr>
        <w:t xml:space="preserve"> (</w:t>
      </w:r>
      <w:r w:rsidRPr="00F97C61">
        <w:rPr>
          <w:b/>
          <w:bCs/>
          <w:color w:val="000000" w:themeColor="text1"/>
        </w:rPr>
        <w:t>KTYÖ</w:t>
      </w:r>
      <w:r w:rsidR="0059086B" w:rsidRPr="00F97C61">
        <w:rPr>
          <w:b/>
          <w:bCs/>
          <w:color w:val="000000" w:themeColor="text1"/>
        </w:rPr>
        <w:t>)</w:t>
      </w:r>
      <w:r w:rsidR="002F73AD" w:rsidRPr="00F97C61">
        <w:rPr>
          <w:b/>
          <w:bCs/>
          <w:color w:val="000000" w:themeColor="text1"/>
        </w:rPr>
        <w:t xml:space="preserve"> </w:t>
      </w:r>
      <w:proofErr w:type="spellStart"/>
      <w:r w:rsidR="002F73AD" w:rsidRPr="00F97C61">
        <w:rPr>
          <w:color w:val="000000" w:themeColor="text1"/>
        </w:rPr>
        <w:t>Kotov</w:t>
      </w:r>
      <w:proofErr w:type="spellEnd"/>
      <w:r w:rsidR="002F73AD" w:rsidRPr="00F97C61">
        <w:rPr>
          <w:color w:val="000000" w:themeColor="text1"/>
        </w:rPr>
        <w:t xml:space="preserve"> ve arkadaşları </w:t>
      </w:r>
      <w:r w:rsidR="005E7E97" w:rsidRPr="00F97C61">
        <w:rPr>
          <w:color w:val="000000" w:themeColor="text1"/>
        </w:rPr>
        <w:t xml:space="preserve">(2004) </w:t>
      </w:r>
      <w:r w:rsidR="002F73AD" w:rsidRPr="00F97C61">
        <w:rPr>
          <w:color w:val="000000" w:themeColor="text1"/>
        </w:rPr>
        <w:t>tarafından</w:t>
      </w:r>
      <w:r w:rsidR="002F73AD" w:rsidRPr="00F97C61">
        <w:rPr>
          <w:b/>
          <w:bCs/>
          <w:color w:val="000000" w:themeColor="text1"/>
        </w:rPr>
        <w:t xml:space="preserve"> </w:t>
      </w:r>
      <w:r w:rsidR="002F73AD" w:rsidRPr="00F97C61">
        <w:rPr>
          <w:color w:val="000000" w:themeColor="text1"/>
        </w:rPr>
        <w:t xml:space="preserve">geliştirilen </w:t>
      </w:r>
      <w:bookmarkStart w:id="1" w:name="_Hlk69683503"/>
      <w:r w:rsidR="0059086B" w:rsidRPr="00F97C61">
        <w:rPr>
          <w:color w:val="000000" w:themeColor="text1"/>
        </w:rPr>
        <w:t>TYÖKF</w:t>
      </w:r>
      <w:bookmarkEnd w:id="1"/>
      <w:r w:rsidR="002F73AD" w:rsidRPr="00F97C61">
        <w:rPr>
          <w:color w:val="000000" w:themeColor="text1"/>
        </w:rPr>
        <w:t xml:space="preserve"> 21 maddeden oluşan ve Çok</w:t>
      </w:r>
      <w:r w:rsidR="00BD0596" w:rsidRPr="00F97C61">
        <w:rPr>
          <w:color w:val="000000" w:themeColor="text1"/>
        </w:rPr>
        <w:t xml:space="preserve"> B</w:t>
      </w:r>
      <w:r w:rsidR="002F73AD" w:rsidRPr="00F97C61">
        <w:rPr>
          <w:color w:val="000000" w:themeColor="text1"/>
        </w:rPr>
        <w:t xml:space="preserve">oyutlu Iowa Telkine Yatkınlık </w:t>
      </w:r>
      <w:proofErr w:type="spellStart"/>
      <w:r w:rsidR="002F73AD" w:rsidRPr="00F97C61">
        <w:rPr>
          <w:color w:val="000000" w:themeColor="text1"/>
        </w:rPr>
        <w:t>Ölçeği’nin</w:t>
      </w:r>
      <w:proofErr w:type="spellEnd"/>
      <w:r w:rsidR="002F73AD" w:rsidRPr="00F97C61">
        <w:rPr>
          <w:color w:val="000000" w:themeColor="text1"/>
        </w:rPr>
        <w:t xml:space="preserve"> (</w:t>
      </w:r>
      <w:proofErr w:type="spellStart"/>
      <w:r w:rsidR="002F73AD" w:rsidRPr="00F97C61">
        <w:rPr>
          <w:color w:val="000000" w:themeColor="text1"/>
        </w:rPr>
        <w:t>Multidimensional</w:t>
      </w:r>
      <w:proofErr w:type="spellEnd"/>
      <w:r w:rsidR="002F73AD" w:rsidRPr="00F97C61">
        <w:rPr>
          <w:color w:val="000000" w:themeColor="text1"/>
        </w:rPr>
        <w:t xml:space="preserve"> Iowa </w:t>
      </w:r>
      <w:proofErr w:type="spellStart"/>
      <w:r w:rsidR="002F73AD" w:rsidRPr="00F97C61">
        <w:rPr>
          <w:color w:val="000000" w:themeColor="text1"/>
        </w:rPr>
        <w:t>Suggestibility</w:t>
      </w:r>
      <w:proofErr w:type="spellEnd"/>
      <w:r w:rsidR="002F73AD" w:rsidRPr="00F97C61">
        <w:rPr>
          <w:color w:val="000000" w:themeColor="text1"/>
        </w:rPr>
        <w:t xml:space="preserve"> </w:t>
      </w:r>
      <w:proofErr w:type="spellStart"/>
      <w:r w:rsidR="002F73AD" w:rsidRPr="00F97C61">
        <w:rPr>
          <w:color w:val="000000" w:themeColor="text1"/>
        </w:rPr>
        <w:t>Scale</w:t>
      </w:r>
      <w:proofErr w:type="spellEnd"/>
      <w:r w:rsidR="002F73AD" w:rsidRPr="00F97C61">
        <w:rPr>
          <w:color w:val="000000" w:themeColor="text1"/>
        </w:rPr>
        <w:t>- MISS)</w:t>
      </w:r>
      <w:r w:rsidR="00BD0596" w:rsidRPr="00F97C61">
        <w:rPr>
          <w:color w:val="000000" w:themeColor="text1"/>
        </w:rPr>
        <w:t xml:space="preserve"> g</w:t>
      </w:r>
      <w:r w:rsidR="002F73AD" w:rsidRPr="00F97C61">
        <w:rPr>
          <w:color w:val="000000" w:themeColor="text1"/>
        </w:rPr>
        <w:t xml:space="preserve">enel yapısını koruduğu gösterilen kısa bir formudur.  MISS  91 madde ve beş alt boyuttan oluşan bir ölçektir. Ölçek alt boyutları fizyolojik telkine yatkınlık (12 madde), tüketici telkine yatkınlığı (11 madde), ikna edilebilirlik (14 madde), akran uyumu (14 madde) ve fizyolojik </w:t>
      </w:r>
      <w:proofErr w:type="spellStart"/>
      <w:r w:rsidR="002F73AD" w:rsidRPr="00F97C61">
        <w:rPr>
          <w:color w:val="000000" w:themeColor="text1"/>
        </w:rPr>
        <w:t>reaktivite</w:t>
      </w:r>
      <w:proofErr w:type="spellEnd"/>
      <w:r w:rsidR="002F73AD" w:rsidRPr="00F97C61">
        <w:rPr>
          <w:color w:val="000000" w:themeColor="text1"/>
        </w:rPr>
        <w:t xml:space="preserve"> olarak (13 madde) isimlendirilmiştir. Geriye kalan maddeler</w:t>
      </w:r>
      <w:r w:rsidR="00BD0596" w:rsidRPr="00F97C61">
        <w:rPr>
          <w:color w:val="000000" w:themeColor="text1"/>
        </w:rPr>
        <w:t>,</w:t>
      </w:r>
      <w:r w:rsidR="002F73AD" w:rsidRPr="00F97C61">
        <w:rPr>
          <w:color w:val="000000" w:themeColor="text1"/>
        </w:rPr>
        <w:t xml:space="preserve"> iki farklı tamamlayıcı ölçek olarak geliştirilmiştir; psikosomatik boyut için 15 ve inatçı düşünme için 16 madde. Ölçek geliştiricileri tarafından </w:t>
      </w:r>
      <w:proofErr w:type="spellStart"/>
      <w:r w:rsidRPr="00F97C61">
        <w:rPr>
          <w:color w:val="000000" w:themeColor="text1"/>
        </w:rPr>
        <w:t>KTYÖ</w:t>
      </w:r>
      <w:r w:rsidR="002F73AD" w:rsidRPr="00F97C61">
        <w:rPr>
          <w:color w:val="000000" w:themeColor="text1"/>
        </w:rPr>
        <w:t>’n</w:t>
      </w:r>
      <w:r w:rsidRPr="00F97C61">
        <w:rPr>
          <w:color w:val="000000" w:themeColor="text1"/>
        </w:rPr>
        <w:t>i</w:t>
      </w:r>
      <w:r w:rsidR="002F73AD" w:rsidRPr="00F97C61">
        <w:rPr>
          <w:color w:val="000000" w:themeColor="text1"/>
        </w:rPr>
        <w:t>n</w:t>
      </w:r>
      <w:proofErr w:type="spellEnd"/>
      <w:r w:rsidR="002F73AD" w:rsidRPr="00F97C61">
        <w:rPr>
          <w:color w:val="000000" w:themeColor="text1"/>
        </w:rPr>
        <w:t xml:space="preserve"> genel olarak MISS yapısını devam ettirdiği ve genel telkine yatkınlığın </w:t>
      </w:r>
      <w:r w:rsidR="003047D0" w:rsidRPr="00F97C61">
        <w:rPr>
          <w:color w:val="000000" w:themeColor="text1"/>
        </w:rPr>
        <w:t xml:space="preserve">iyi bir indeksi olarak kullanılabileceği bildirilmiştir. </w:t>
      </w:r>
      <w:r w:rsidR="002F73AD" w:rsidRPr="00F97C61">
        <w:rPr>
          <w:color w:val="000000" w:themeColor="text1"/>
        </w:rPr>
        <w:t xml:space="preserve">  </w:t>
      </w:r>
      <w:r w:rsidR="003047D0" w:rsidRPr="00F97C61">
        <w:rPr>
          <w:color w:val="000000" w:themeColor="text1"/>
        </w:rPr>
        <w:t xml:space="preserve">Nitekim </w:t>
      </w:r>
      <w:r w:rsidRPr="00F97C61">
        <w:rPr>
          <w:color w:val="000000" w:themeColor="text1"/>
        </w:rPr>
        <w:t>KTYÖ</w:t>
      </w:r>
      <w:r w:rsidR="003047D0" w:rsidRPr="00F97C61">
        <w:rPr>
          <w:color w:val="000000" w:themeColor="text1"/>
        </w:rPr>
        <w:t xml:space="preserve">, MISS alt boyutlarından maddeler alınarak hazırlanmıştır. Bu maddeler şu şekilde dağılmaktadır; fizyolojik telkine yatkınlık 5 madde, tüketici telkine yatkınlığı 5 madde, ikna edilebilirlik 4 madde, akran uyumu 5 madde ve fizyolojik </w:t>
      </w:r>
      <w:proofErr w:type="spellStart"/>
      <w:r w:rsidR="003047D0" w:rsidRPr="00F97C61">
        <w:rPr>
          <w:color w:val="000000" w:themeColor="text1"/>
        </w:rPr>
        <w:t>reaktivite</w:t>
      </w:r>
      <w:proofErr w:type="spellEnd"/>
      <w:r w:rsidR="003047D0" w:rsidRPr="00F97C61">
        <w:rPr>
          <w:color w:val="000000" w:themeColor="text1"/>
        </w:rPr>
        <w:t xml:space="preserve"> 3 madde</w:t>
      </w:r>
      <w:r w:rsidR="002F73AD" w:rsidRPr="00F97C61">
        <w:rPr>
          <w:color w:val="000000" w:themeColor="text1"/>
        </w:rPr>
        <w:t>.</w:t>
      </w:r>
      <w:r w:rsidR="003047D0" w:rsidRPr="00F97C61">
        <w:rPr>
          <w:color w:val="000000" w:themeColor="text1"/>
        </w:rPr>
        <w:t xml:space="preserve"> </w:t>
      </w:r>
      <w:proofErr w:type="spellStart"/>
      <w:r w:rsidR="003047D0" w:rsidRPr="00F97C61">
        <w:rPr>
          <w:color w:val="000000" w:themeColor="text1"/>
        </w:rPr>
        <w:t>MISS’in</w:t>
      </w:r>
      <w:proofErr w:type="spellEnd"/>
      <w:r w:rsidR="003047D0" w:rsidRPr="00F97C61">
        <w:rPr>
          <w:color w:val="000000" w:themeColor="text1"/>
        </w:rPr>
        <w:t xml:space="preserve"> </w:t>
      </w:r>
      <w:r w:rsidR="00CA3137" w:rsidRPr="00F97C61">
        <w:rPr>
          <w:color w:val="000000" w:themeColor="text1"/>
        </w:rPr>
        <w:t>geçerlik güvenirlik</w:t>
      </w:r>
      <w:r w:rsidR="003047D0" w:rsidRPr="00F97C61">
        <w:rPr>
          <w:color w:val="000000" w:themeColor="text1"/>
        </w:rPr>
        <w:t xml:space="preserve"> çalışması beş basamakta ve toplamda 2232 kişilik üniversite öğrencisi ve gene</w:t>
      </w:r>
      <w:r w:rsidR="00BD0596" w:rsidRPr="00F97C61">
        <w:rPr>
          <w:color w:val="000000" w:themeColor="text1"/>
        </w:rPr>
        <w:t>l</w:t>
      </w:r>
      <w:r w:rsidR="003047D0" w:rsidRPr="00F97C61">
        <w:rPr>
          <w:color w:val="000000" w:themeColor="text1"/>
        </w:rPr>
        <w:t xml:space="preserve"> toplumdan oluşan bir örneklem üzerinde yürütülmüştür. </w:t>
      </w:r>
      <w:proofErr w:type="spellStart"/>
      <w:r w:rsidR="003047D0" w:rsidRPr="00F97C61">
        <w:rPr>
          <w:color w:val="000000" w:themeColor="text1"/>
        </w:rPr>
        <w:t>Validasyon</w:t>
      </w:r>
      <w:proofErr w:type="spellEnd"/>
      <w:r w:rsidR="003047D0" w:rsidRPr="00F97C61">
        <w:rPr>
          <w:color w:val="000000" w:themeColor="text1"/>
        </w:rPr>
        <w:t xml:space="preserve"> çalışması, </w:t>
      </w:r>
      <w:r w:rsidR="0059086B" w:rsidRPr="00F97C61">
        <w:rPr>
          <w:color w:val="000000" w:themeColor="text1"/>
        </w:rPr>
        <w:t>TYÖKF</w:t>
      </w:r>
      <w:r w:rsidR="003047D0" w:rsidRPr="00F97C61">
        <w:rPr>
          <w:color w:val="000000" w:themeColor="text1"/>
        </w:rPr>
        <w:t xml:space="preserve"> ile MISS toplam skorları arasından yüksek bir korelasyon </w:t>
      </w:r>
      <w:r w:rsidR="002F73AD" w:rsidRPr="00F97C61">
        <w:rPr>
          <w:color w:val="000000" w:themeColor="text1"/>
        </w:rPr>
        <w:t>(r =</w:t>
      </w:r>
      <w:r w:rsidR="00BD0596" w:rsidRPr="00F97C61">
        <w:rPr>
          <w:color w:val="000000" w:themeColor="text1"/>
        </w:rPr>
        <w:t>.</w:t>
      </w:r>
      <w:proofErr w:type="gramStart"/>
      <w:r w:rsidR="002F73AD" w:rsidRPr="00F97C61">
        <w:rPr>
          <w:color w:val="000000" w:themeColor="text1"/>
        </w:rPr>
        <w:t>93 )</w:t>
      </w:r>
      <w:proofErr w:type="gramEnd"/>
      <w:r w:rsidR="002F73AD" w:rsidRPr="00F97C61">
        <w:rPr>
          <w:color w:val="000000" w:themeColor="text1"/>
        </w:rPr>
        <w:t xml:space="preserve"> </w:t>
      </w:r>
      <w:r w:rsidR="003047D0" w:rsidRPr="00F97C61">
        <w:rPr>
          <w:color w:val="000000" w:themeColor="text1"/>
        </w:rPr>
        <w:t xml:space="preserve">olduğunu göstermekte ve iki farklı örneklemde yapılan çalışmalarda </w:t>
      </w:r>
      <w:proofErr w:type="spellStart"/>
      <w:r w:rsidRPr="00F97C61">
        <w:rPr>
          <w:color w:val="000000" w:themeColor="text1"/>
        </w:rPr>
        <w:t>KTYÖ’nin</w:t>
      </w:r>
      <w:proofErr w:type="spellEnd"/>
      <w:r w:rsidR="003047D0" w:rsidRPr="00F97C61">
        <w:rPr>
          <w:color w:val="000000" w:themeColor="text1"/>
        </w:rPr>
        <w:t xml:space="preserve"> geçerli ve güvenilir olduğu bildirilmektedir</w:t>
      </w:r>
      <w:r w:rsidR="00CA3137" w:rsidRPr="00F97C61">
        <w:rPr>
          <w:color w:val="000000" w:themeColor="text1"/>
        </w:rPr>
        <w:t>.</w:t>
      </w:r>
      <w:r w:rsidR="002F73AD" w:rsidRPr="00F97C61">
        <w:rPr>
          <w:color w:val="000000" w:themeColor="text1"/>
        </w:rPr>
        <w:t xml:space="preserve"> </w:t>
      </w:r>
      <w:r w:rsidRPr="00F97C61">
        <w:rPr>
          <w:color w:val="000000" w:themeColor="text1"/>
        </w:rPr>
        <w:t>KYTÖ</w:t>
      </w:r>
      <w:r w:rsidR="003047D0" w:rsidRPr="00F97C61">
        <w:rPr>
          <w:color w:val="000000" w:themeColor="text1"/>
        </w:rPr>
        <w:t xml:space="preserve"> ve MISS, maddeleri 1</w:t>
      </w:r>
      <w:r w:rsidR="00BD0596" w:rsidRPr="00F97C61">
        <w:rPr>
          <w:color w:val="000000" w:themeColor="text1"/>
        </w:rPr>
        <w:t>-</w:t>
      </w:r>
      <w:r w:rsidR="003047D0" w:rsidRPr="00F97C61">
        <w:rPr>
          <w:color w:val="000000" w:themeColor="text1"/>
        </w:rPr>
        <w:t xml:space="preserve">5 arasında puanlanabilen </w:t>
      </w:r>
      <w:proofErr w:type="spellStart"/>
      <w:r w:rsidR="003047D0" w:rsidRPr="00F97C61">
        <w:rPr>
          <w:color w:val="000000" w:themeColor="text1"/>
        </w:rPr>
        <w:t>Likert</w:t>
      </w:r>
      <w:proofErr w:type="spellEnd"/>
      <w:r w:rsidR="003047D0" w:rsidRPr="00F97C61">
        <w:rPr>
          <w:color w:val="000000" w:themeColor="text1"/>
        </w:rPr>
        <w:t xml:space="preserve"> tipi bir yapıya sahiptir ve</w:t>
      </w:r>
      <w:r w:rsidR="0059086B" w:rsidRPr="00F97C61">
        <w:rPr>
          <w:color w:val="000000" w:themeColor="text1"/>
        </w:rPr>
        <w:t xml:space="preserve"> </w:t>
      </w:r>
      <w:r w:rsidRPr="00F97C61">
        <w:rPr>
          <w:color w:val="000000" w:themeColor="text1"/>
        </w:rPr>
        <w:t xml:space="preserve">KTYÖ </w:t>
      </w:r>
      <w:r w:rsidR="003047D0" w:rsidRPr="00F97C61">
        <w:rPr>
          <w:color w:val="000000" w:themeColor="text1"/>
        </w:rPr>
        <w:t xml:space="preserve">için skor aralığı 21–105 arasında değişmektedir. </w:t>
      </w:r>
      <w:proofErr w:type="spellStart"/>
      <w:r w:rsidRPr="00F97C61">
        <w:rPr>
          <w:color w:val="000000" w:themeColor="text1"/>
        </w:rPr>
        <w:t>KTYÖ</w:t>
      </w:r>
      <w:r w:rsidR="003047D0" w:rsidRPr="00F97C61">
        <w:rPr>
          <w:color w:val="000000" w:themeColor="text1"/>
        </w:rPr>
        <w:t>’</w:t>
      </w:r>
      <w:r w:rsidRPr="00F97C61">
        <w:rPr>
          <w:color w:val="000000" w:themeColor="text1"/>
        </w:rPr>
        <w:t>nde</w:t>
      </w:r>
      <w:proofErr w:type="spellEnd"/>
      <w:r w:rsidR="003047D0" w:rsidRPr="00F97C61">
        <w:rPr>
          <w:color w:val="000000" w:themeColor="text1"/>
        </w:rPr>
        <w:t xml:space="preserve"> yüksek skorlar</w:t>
      </w:r>
      <w:r w:rsidR="00BD0596" w:rsidRPr="00F97C61">
        <w:rPr>
          <w:color w:val="000000" w:themeColor="text1"/>
        </w:rPr>
        <w:t>,</w:t>
      </w:r>
      <w:r w:rsidR="003047D0" w:rsidRPr="00F97C61">
        <w:rPr>
          <w:color w:val="000000" w:themeColor="text1"/>
        </w:rPr>
        <w:t xml:space="preserve"> artmış yapısal telkine yatkınlığı işaret etmektedir. </w:t>
      </w:r>
      <w:r w:rsidR="002F73AD" w:rsidRPr="00F97C61">
        <w:rPr>
          <w:color w:val="000000" w:themeColor="text1"/>
        </w:rPr>
        <w:t xml:space="preserve"> </w:t>
      </w:r>
    </w:p>
    <w:p w14:paraId="1353A395" w14:textId="77777777" w:rsidR="002F73AD" w:rsidRPr="00F97C61" w:rsidRDefault="002F73AD" w:rsidP="00BD0596">
      <w:pPr>
        <w:spacing w:line="360" w:lineRule="auto"/>
        <w:rPr>
          <w:b/>
          <w:bCs/>
          <w:color w:val="000000" w:themeColor="text1"/>
        </w:rPr>
      </w:pPr>
    </w:p>
    <w:p w14:paraId="06BAC24C" w14:textId="77777777" w:rsidR="00A42654" w:rsidRPr="00F97C61" w:rsidRDefault="00A42654" w:rsidP="00BD0596">
      <w:pPr>
        <w:spacing w:line="360" w:lineRule="auto"/>
        <w:ind w:left="851"/>
        <w:rPr>
          <w:b/>
          <w:bCs/>
          <w:color w:val="000000" w:themeColor="text1"/>
        </w:rPr>
      </w:pPr>
      <w:r w:rsidRPr="00F97C61">
        <w:rPr>
          <w:b/>
          <w:bCs/>
          <w:color w:val="000000" w:themeColor="text1"/>
        </w:rPr>
        <w:lastRenderedPageBreak/>
        <w:t>Özerk-İlişkisel Benlik Ölçeği (ÖİBÖ)</w:t>
      </w:r>
    </w:p>
    <w:p w14:paraId="5DF246F6" w14:textId="523A606D" w:rsidR="00A42654" w:rsidRPr="00F97C61" w:rsidRDefault="00A42654" w:rsidP="0059086B">
      <w:pPr>
        <w:spacing w:line="360" w:lineRule="auto"/>
        <w:ind w:left="851"/>
        <w:rPr>
          <w:color w:val="000000" w:themeColor="text1"/>
        </w:rPr>
      </w:pPr>
      <w:r w:rsidRPr="00F97C61">
        <w:rPr>
          <w:color w:val="000000" w:themeColor="text1"/>
        </w:rPr>
        <w:t xml:space="preserve">Bireylerin benlik kurguları hakkında bilgi almak için </w:t>
      </w:r>
      <w:proofErr w:type="spellStart"/>
      <w:r w:rsidRPr="00F97C61">
        <w:rPr>
          <w:color w:val="000000" w:themeColor="text1"/>
        </w:rPr>
        <w:t>Kağıtçıbaşı</w:t>
      </w:r>
      <w:proofErr w:type="spellEnd"/>
      <w:r w:rsidRPr="00F97C61">
        <w:rPr>
          <w:color w:val="000000" w:themeColor="text1"/>
        </w:rPr>
        <w:t xml:space="preserve"> </w:t>
      </w:r>
      <w:r w:rsidR="005E7E97" w:rsidRPr="00F97C61">
        <w:rPr>
          <w:color w:val="000000" w:themeColor="text1"/>
        </w:rPr>
        <w:t xml:space="preserve">(2013) </w:t>
      </w:r>
      <w:r w:rsidRPr="00F97C61">
        <w:rPr>
          <w:color w:val="000000" w:themeColor="text1"/>
        </w:rPr>
        <w:t>tarafından geliştirilen “Özerk İlişkisel Benlik Ölçeği” 27 maddelik bir ölçektir</w:t>
      </w:r>
      <w:r w:rsidR="00E9227E" w:rsidRPr="00F97C61">
        <w:rPr>
          <w:color w:val="000000" w:themeColor="text1"/>
        </w:rPr>
        <w:t xml:space="preserve"> </w:t>
      </w:r>
      <w:proofErr w:type="spellStart"/>
      <w:r w:rsidRPr="00F97C61">
        <w:rPr>
          <w:color w:val="000000" w:themeColor="text1"/>
        </w:rPr>
        <w:t>ÖİBÖ’nde</w:t>
      </w:r>
      <w:proofErr w:type="spellEnd"/>
      <w:r w:rsidRPr="00F97C61">
        <w:rPr>
          <w:color w:val="000000" w:themeColor="text1"/>
        </w:rPr>
        <w:t xml:space="preserve"> 1-9. </w:t>
      </w:r>
      <w:r w:rsidR="00BD0596" w:rsidRPr="00F97C61">
        <w:rPr>
          <w:color w:val="000000" w:themeColor="text1"/>
        </w:rPr>
        <w:t xml:space="preserve">arasındaki </w:t>
      </w:r>
      <w:r w:rsidRPr="00F97C61">
        <w:rPr>
          <w:color w:val="000000" w:themeColor="text1"/>
        </w:rPr>
        <w:t xml:space="preserve">sorular özerk benlik, 10-18. </w:t>
      </w:r>
      <w:r w:rsidR="00BD0596" w:rsidRPr="00F97C61">
        <w:rPr>
          <w:color w:val="000000" w:themeColor="text1"/>
        </w:rPr>
        <w:t>arasındaki s</w:t>
      </w:r>
      <w:r w:rsidRPr="00F97C61">
        <w:rPr>
          <w:color w:val="000000" w:themeColor="text1"/>
        </w:rPr>
        <w:t xml:space="preserve">orular ilişkisel benlik ve 19-27. </w:t>
      </w:r>
      <w:r w:rsidR="00BD0596" w:rsidRPr="00F97C61">
        <w:rPr>
          <w:color w:val="000000" w:themeColor="text1"/>
        </w:rPr>
        <w:t xml:space="preserve">arasındaki </w:t>
      </w:r>
      <w:r w:rsidRPr="00F97C61">
        <w:rPr>
          <w:color w:val="000000" w:themeColor="text1"/>
        </w:rPr>
        <w:t>sorular ise özerk-ilişkisel benlik alt boyutlarına ait</w:t>
      </w:r>
      <w:r w:rsidR="00BD0596" w:rsidRPr="00F97C61">
        <w:rPr>
          <w:color w:val="000000" w:themeColor="text1"/>
        </w:rPr>
        <w:t xml:space="preserve">tir. </w:t>
      </w:r>
      <w:r w:rsidRPr="00F97C61">
        <w:rPr>
          <w:color w:val="000000" w:themeColor="text1"/>
        </w:rPr>
        <w:t>Özerk Benlik Kurgusu (ÖBK)’</w:t>
      </w:r>
      <w:proofErr w:type="spellStart"/>
      <w:r w:rsidRPr="00F97C61">
        <w:rPr>
          <w:color w:val="000000" w:themeColor="text1"/>
        </w:rPr>
        <w:t>nun</w:t>
      </w:r>
      <w:proofErr w:type="spellEnd"/>
      <w:r w:rsidRPr="00F97C61">
        <w:rPr>
          <w:color w:val="000000" w:themeColor="text1"/>
        </w:rPr>
        <w:t xml:space="preserve"> ters maddeleri; 4 ve 9 arasındaki tüm maddelerdir. İlişkisel Benlik Kurgusu (İBK)’</w:t>
      </w:r>
      <w:proofErr w:type="spellStart"/>
      <w:r w:rsidRPr="00F97C61">
        <w:rPr>
          <w:color w:val="000000" w:themeColor="text1"/>
        </w:rPr>
        <w:t>nun</w:t>
      </w:r>
      <w:proofErr w:type="spellEnd"/>
      <w:r w:rsidRPr="00F97C61">
        <w:rPr>
          <w:color w:val="000000" w:themeColor="text1"/>
        </w:rPr>
        <w:t xml:space="preserve"> ters maddeleri; 11, 12, 15 ve 18. maddelerdir. Özerk İlişkisel Benlik Kurgusu (ÖİBK)’</w:t>
      </w:r>
      <w:proofErr w:type="spellStart"/>
      <w:r w:rsidRPr="00F97C61">
        <w:rPr>
          <w:color w:val="000000" w:themeColor="text1"/>
        </w:rPr>
        <w:t>nun</w:t>
      </w:r>
      <w:proofErr w:type="spellEnd"/>
      <w:r w:rsidRPr="00F97C61">
        <w:rPr>
          <w:color w:val="000000" w:themeColor="text1"/>
        </w:rPr>
        <w:t xml:space="preserve"> ters maddeleri; 18, 21, 23, 24 ve 26. maddelerdir. Ölçek 27 puan ile 135 puan arasında puan üretmektedir. Ölçek puanlar düştükçe olumsuz, puanlar arttıkça olumlu sonuç vermektedir. Özerk-İlişkisel Benlik Ölçeğinde özerk benlik, ilişkisel benlik ve özerk-ilişkisel benlik olmak üzere üç alt boyut bulunmaktadır. Özerk benlik kurgusu alt boyutunun </w:t>
      </w:r>
      <w:proofErr w:type="spellStart"/>
      <w:r w:rsidRPr="00F97C61">
        <w:rPr>
          <w:color w:val="000000" w:themeColor="text1"/>
        </w:rPr>
        <w:t>Cronbach</w:t>
      </w:r>
      <w:proofErr w:type="spellEnd"/>
      <w:r w:rsidRPr="00F97C61">
        <w:rPr>
          <w:color w:val="000000" w:themeColor="text1"/>
        </w:rPr>
        <w:t xml:space="preserve"> Alfa değeri .74, ilişkisel benlik kurgusu alt boyutunun .78 ve özerk-ilişkisel benlik kurgusunun </w:t>
      </w:r>
      <w:proofErr w:type="gramStart"/>
      <w:r w:rsidRPr="00F97C61">
        <w:rPr>
          <w:color w:val="000000" w:themeColor="text1"/>
        </w:rPr>
        <w:t>ise .</w:t>
      </w:r>
      <w:proofErr w:type="gramEnd"/>
      <w:r w:rsidRPr="00F97C61">
        <w:rPr>
          <w:color w:val="000000" w:themeColor="text1"/>
        </w:rPr>
        <w:t>84’tür</w:t>
      </w:r>
      <w:r w:rsidR="005E7E97" w:rsidRPr="00F97C61">
        <w:rPr>
          <w:color w:val="000000" w:themeColor="text1"/>
        </w:rPr>
        <w:t>.</w:t>
      </w:r>
    </w:p>
    <w:p w14:paraId="3299280E" w14:textId="141ED13C" w:rsidR="00A42654" w:rsidRPr="00F97C61" w:rsidRDefault="00A42654" w:rsidP="00BD0596">
      <w:pPr>
        <w:spacing w:line="360" w:lineRule="auto"/>
        <w:ind w:left="851"/>
        <w:rPr>
          <w:b/>
          <w:bCs/>
          <w:color w:val="000000" w:themeColor="text1"/>
        </w:rPr>
      </w:pPr>
      <w:r w:rsidRPr="00F97C61">
        <w:rPr>
          <w:b/>
          <w:bCs/>
          <w:color w:val="000000" w:themeColor="text1"/>
        </w:rPr>
        <w:t>İşlem</w:t>
      </w:r>
    </w:p>
    <w:p w14:paraId="38A26F03" w14:textId="20288AB3" w:rsidR="00A42654" w:rsidRPr="00F97C61" w:rsidRDefault="00A42654" w:rsidP="00BD0596">
      <w:pPr>
        <w:spacing w:line="360" w:lineRule="auto"/>
        <w:ind w:left="851"/>
        <w:rPr>
          <w:b/>
          <w:bCs/>
          <w:color w:val="000000" w:themeColor="text1"/>
        </w:rPr>
      </w:pPr>
      <w:r w:rsidRPr="00F97C61">
        <w:rPr>
          <w:color w:val="000000" w:themeColor="text1"/>
        </w:rPr>
        <w:t xml:space="preserve">Ölçme aracının uyarlanması ve uygulanabilmesi için ilgili kişi ve kurumlardan gerekli olan izinler alınmıştır. </w:t>
      </w:r>
      <w:r w:rsidR="00BC029A" w:rsidRPr="00F97C61">
        <w:rPr>
          <w:color w:val="000000" w:themeColor="text1"/>
        </w:rPr>
        <w:t xml:space="preserve">Verilerin toplanması aşamasından önce etik kurul </w:t>
      </w:r>
      <w:r w:rsidR="00BD0596" w:rsidRPr="00F97C61">
        <w:rPr>
          <w:color w:val="000000" w:themeColor="text1"/>
        </w:rPr>
        <w:t xml:space="preserve">onayı </w:t>
      </w:r>
      <w:r w:rsidR="00BC029A" w:rsidRPr="00F97C61">
        <w:rPr>
          <w:color w:val="000000" w:themeColor="text1"/>
        </w:rPr>
        <w:t>için başvurulmuş ve</w:t>
      </w:r>
      <w:r w:rsidR="00A41AE3">
        <w:rPr>
          <w:color w:val="000000" w:themeColor="text1"/>
        </w:rPr>
        <w:t xml:space="preserve"> Hasan Kalyoncu Üniversitesi’nden</w:t>
      </w:r>
      <w:r w:rsidR="00BC029A" w:rsidRPr="00F97C61">
        <w:rPr>
          <w:color w:val="000000" w:themeColor="text1"/>
        </w:rPr>
        <w:t xml:space="preserve"> </w:t>
      </w:r>
      <w:r w:rsidR="00F0135A" w:rsidRPr="00F97C61">
        <w:rPr>
          <w:color w:val="000000" w:themeColor="text1"/>
        </w:rPr>
        <w:t>E--804.01-21033250009</w:t>
      </w:r>
      <w:r w:rsidR="00BC029A" w:rsidRPr="00F97C61">
        <w:rPr>
          <w:color w:val="000000" w:themeColor="text1"/>
        </w:rPr>
        <w:t xml:space="preserve"> sayı numaralı ve </w:t>
      </w:r>
      <w:r w:rsidR="00F0135A" w:rsidRPr="00F97C61">
        <w:rPr>
          <w:color w:val="000000" w:themeColor="text1"/>
        </w:rPr>
        <w:t>25.03.2021</w:t>
      </w:r>
      <w:r w:rsidR="00BC029A" w:rsidRPr="00F97C61">
        <w:rPr>
          <w:color w:val="000000" w:themeColor="text1"/>
        </w:rPr>
        <w:t xml:space="preserve"> tarihli etik kurul onayı alınmıştır. </w:t>
      </w:r>
      <w:r w:rsidRPr="00F97C61">
        <w:rPr>
          <w:color w:val="000000" w:themeColor="text1"/>
        </w:rPr>
        <w:t xml:space="preserve">Ölçeğin </w:t>
      </w:r>
      <w:proofErr w:type="spellStart"/>
      <w:r w:rsidRPr="00F97C61">
        <w:rPr>
          <w:color w:val="000000" w:themeColor="text1"/>
        </w:rPr>
        <w:t>İngilizce’den</w:t>
      </w:r>
      <w:proofErr w:type="spellEnd"/>
      <w:r w:rsidRPr="00F97C61">
        <w:rPr>
          <w:color w:val="000000" w:themeColor="text1"/>
        </w:rPr>
        <w:t xml:space="preserve"> </w:t>
      </w:r>
      <w:proofErr w:type="spellStart"/>
      <w:r w:rsidRPr="00F97C61">
        <w:rPr>
          <w:color w:val="000000" w:themeColor="text1"/>
        </w:rPr>
        <w:t>Türkçe’ye</w:t>
      </w:r>
      <w:proofErr w:type="spellEnd"/>
      <w:r w:rsidRPr="00F97C61">
        <w:rPr>
          <w:color w:val="000000" w:themeColor="text1"/>
        </w:rPr>
        <w:t xml:space="preserve"> çeviri çalışması her iki dili de iyi bilen, test yapısı hakkında bilgisi olan üç psikiyatrist tarafından yapılmıştır. Türkçeye çevrilen form iki kişi tarafından İngilizceye çevrilerek geri çeviri işlemi tamamlanmıştır. İnternet ortamında hazırlanan ölçek bataryası, Aralık 2020 ile Ocak 2021 tarihleri arasında, gelişigüzel örnekleme ile seçilmiş, farklı üniversite ve liselerde öğrenim gören 400 öğrenciye çalışma hakkında bilgilendirme yapıldıktan sonra gönderilmiştir. Uygulamaya katılmayı gönüllü olarak kabul eden, formu eksiksiz dolduran 294 katılımcı çalışmaya alınmıştır. Çalışmaya katılan 57 üniversite öğrencisinden, test tekrar test güvenirliği için, iki hafta sonra yeninden ölçüm alınmıştır. Uygulamayı tamamlama süresi 6-10 dakika sürmüştür. Son aşamada, toplanan veriler üzerinde ölçeğin geçerlik ve güvenirlik çalışmaları yapılmıştır. </w:t>
      </w:r>
    </w:p>
    <w:p w14:paraId="609CC67D" w14:textId="77777777" w:rsidR="00BD0596" w:rsidRPr="00F97C61" w:rsidRDefault="00BD0596">
      <w:pPr>
        <w:spacing w:after="0" w:line="240" w:lineRule="auto"/>
        <w:jc w:val="left"/>
        <w:rPr>
          <w:b/>
          <w:bCs/>
          <w:color w:val="000000" w:themeColor="text1"/>
        </w:rPr>
      </w:pPr>
      <w:r w:rsidRPr="00F97C61">
        <w:rPr>
          <w:b/>
          <w:bCs/>
          <w:color w:val="000000" w:themeColor="text1"/>
        </w:rPr>
        <w:br w:type="page"/>
      </w:r>
    </w:p>
    <w:p w14:paraId="4A899C55" w14:textId="7405B69C" w:rsidR="00A42654" w:rsidRPr="00F97C61" w:rsidRDefault="00A42654" w:rsidP="00BD0596">
      <w:pPr>
        <w:spacing w:line="360" w:lineRule="auto"/>
        <w:ind w:left="851"/>
        <w:rPr>
          <w:color w:val="000000" w:themeColor="text1"/>
        </w:rPr>
      </w:pPr>
      <w:r w:rsidRPr="00F97C61">
        <w:rPr>
          <w:b/>
          <w:bCs/>
          <w:color w:val="000000" w:themeColor="text1"/>
        </w:rPr>
        <w:lastRenderedPageBreak/>
        <w:t>Verilerin Analizi</w:t>
      </w:r>
      <w:r w:rsidRPr="00F97C61">
        <w:rPr>
          <w:color w:val="000000" w:themeColor="text1"/>
        </w:rPr>
        <w:t xml:space="preserve"> </w:t>
      </w:r>
    </w:p>
    <w:p w14:paraId="1C3F4558" w14:textId="504D2950" w:rsidR="00A42654" w:rsidRPr="00F97C61" w:rsidRDefault="00D04EF3" w:rsidP="002F4479">
      <w:pPr>
        <w:spacing w:line="360" w:lineRule="auto"/>
        <w:ind w:left="851"/>
        <w:rPr>
          <w:rFonts w:cs="Times New Roman"/>
          <w:color w:val="000000" w:themeColor="text1"/>
          <w:szCs w:val="24"/>
        </w:rPr>
      </w:pPr>
      <w:r w:rsidRPr="00F97C61">
        <w:rPr>
          <w:rFonts w:cs="Times New Roman"/>
          <w:color w:val="000000" w:themeColor="text1"/>
          <w:szCs w:val="24"/>
        </w:rPr>
        <w:t xml:space="preserve">Veri analizine başlanmadan önce </w:t>
      </w:r>
      <w:r w:rsidR="004C22A1" w:rsidRPr="00F97C61">
        <w:rPr>
          <w:color w:val="000000" w:themeColor="text1"/>
        </w:rPr>
        <w:t xml:space="preserve">Kısa Telkine Yatkınlık </w:t>
      </w:r>
      <w:proofErr w:type="spellStart"/>
      <w:r w:rsidR="004C22A1" w:rsidRPr="00F97C61">
        <w:rPr>
          <w:color w:val="000000" w:themeColor="text1"/>
        </w:rPr>
        <w:t>Ölçeği</w:t>
      </w:r>
      <w:r w:rsidR="004C22A1" w:rsidRPr="00F97C61">
        <w:rPr>
          <w:rFonts w:cs="Times New Roman"/>
          <w:color w:val="000000" w:themeColor="text1"/>
          <w:szCs w:val="24"/>
        </w:rPr>
        <w:t>’nden</w:t>
      </w:r>
      <w:proofErr w:type="spellEnd"/>
      <w:r w:rsidR="004C22A1" w:rsidRPr="00F97C61">
        <w:rPr>
          <w:rFonts w:cs="Times New Roman"/>
          <w:color w:val="000000" w:themeColor="text1"/>
          <w:szCs w:val="24"/>
        </w:rPr>
        <w:t xml:space="preserve"> </w:t>
      </w:r>
      <w:r w:rsidRPr="00F97C61">
        <w:rPr>
          <w:rFonts w:cs="Times New Roman"/>
          <w:color w:val="000000" w:themeColor="text1"/>
          <w:szCs w:val="24"/>
        </w:rPr>
        <w:t xml:space="preserve">alınan puanlarının normal dağılım gösterip göstermediğini anlamak için Q-Q </w:t>
      </w:r>
      <w:proofErr w:type="spellStart"/>
      <w:r w:rsidRPr="00F97C61">
        <w:rPr>
          <w:rFonts w:cs="Times New Roman"/>
          <w:color w:val="000000" w:themeColor="text1"/>
          <w:szCs w:val="24"/>
        </w:rPr>
        <w:t>Plot</w:t>
      </w:r>
      <w:proofErr w:type="spellEnd"/>
      <w:r w:rsidRPr="00F97C61">
        <w:rPr>
          <w:rFonts w:cs="Times New Roman"/>
          <w:color w:val="000000" w:themeColor="text1"/>
          <w:szCs w:val="24"/>
        </w:rPr>
        <w:t xml:space="preserve">, </w:t>
      </w:r>
      <w:proofErr w:type="spellStart"/>
      <w:r w:rsidRPr="00F97C61">
        <w:rPr>
          <w:rFonts w:cs="Times New Roman"/>
          <w:color w:val="000000" w:themeColor="text1"/>
          <w:szCs w:val="24"/>
        </w:rPr>
        <w:t>box</w:t>
      </w:r>
      <w:proofErr w:type="spellEnd"/>
      <w:r w:rsidRPr="00F97C61">
        <w:rPr>
          <w:rFonts w:cs="Times New Roman"/>
          <w:color w:val="000000" w:themeColor="text1"/>
          <w:szCs w:val="24"/>
        </w:rPr>
        <w:t xml:space="preserve"> </w:t>
      </w:r>
      <w:proofErr w:type="spellStart"/>
      <w:r w:rsidRPr="00F97C61">
        <w:rPr>
          <w:rFonts w:cs="Times New Roman"/>
          <w:color w:val="000000" w:themeColor="text1"/>
          <w:szCs w:val="24"/>
        </w:rPr>
        <w:t>plot</w:t>
      </w:r>
      <w:proofErr w:type="spellEnd"/>
      <w:r w:rsidRPr="00F97C61">
        <w:rPr>
          <w:rFonts w:cs="Times New Roman"/>
          <w:color w:val="000000" w:themeColor="text1"/>
          <w:szCs w:val="24"/>
        </w:rPr>
        <w:t xml:space="preserve">, </w:t>
      </w:r>
      <w:proofErr w:type="spellStart"/>
      <w:r w:rsidRPr="00F97C61">
        <w:rPr>
          <w:rFonts w:cs="Times New Roman"/>
          <w:color w:val="000000" w:themeColor="text1"/>
          <w:szCs w:val="24"/>
        </w:rPr>
        <w:t>histogram</w:t>
      </w:r>
      <w:proofErr w:type="spellEnd"/>
      <w:r w:rsidRPr="00F97C61">
        <w:rPr>
          <w:rFonts w:cs="Times New Roman"/>
          <w:color w:val="000000" w:themeColor="text1"/>
          <w:szCs w:val="24"/>
        </w:rPr>
        <w:t xml:space="preserve"> incelenmiş alt ölçeklerde basıklık ve çarpıklık değerlerinin eşik değer olan -1 +1 değerleri arasında olup olmadığı kontrol edilmiştir. </w:t>
      </w:r>
      <w:r w:rsidR="00A42654" w:rsidRPr="00F97C61">
        <w:rPr>
          <w:color w:val="000000" w:themeColor="text1"/>
        </w:rPr>
        <w:t xml:space="preserve">Güvenirlik çalışmasında iki yöntem kullanılmıştır. Ölçeğin iç tutarlılığını incelemek için </w:t>
      </w:r>
      <w:proofErr w:type="spellStart"/>
      <w:r w:rsidR="00A42654" w:rsidRPr="00F97C61">
        <w:rPr>
          <w:color w:val="000000" w:themeColor="text1"/>
        </w:rPr>
        <w:t>Cronbach</w:t>
      </w:r>
      <w:proofErr w:type="spellEnd"/>
      <w:r w:rsidR="00A42654" w:rsidRPr="00F97C61">
        <w:rPr>
          <w:color w:val="000000" w:themeColor="text1"/>
        </w:rPr>
        <w:t xml:space="preserve"> alfa katsayısı ve ölçeğin zamana karşı güvenirliğini incelemek amacıyla test-tekrar test devamlılık katsayısı hesaplanmıştır. Ölçeğin faktör yapısı açıklayıcı faktör analizi</w:t>
      </w:r>
      <w:r w:rsidR="00D140C7">
        <w:rPr>
          <w:color w:val="000000" w:themeColor="text1"/>
        </w:rPr>
        <w:t>,</w:t>
      </w:r>
      <w:r w:rsidR="00A42654" w:rsidRPr="00F97C61">
        <w:rPr>
          <w:color w:val="000000" w:themeColor="text1"/>
        </w:rPr>
        <w:t xml:space="preserve"> </w:t>
      </w:r>
      <w:proofErr w:type="spellStart"/>
      <w:r w:rsidR="00A42654" w:rsidRPr="00F97C61">
        <w:rPr>
          <w:color w:val="000000" w:themeColor="text1"/>
        </w:rPr>
        <w:t>varimaks</w:t>
      </w:r>
      <w:proofErr w:type="spellEnd"/>
      <w:r w:rsidR="00A42654" w:rsidRPr="00F97C61">
        <w:rPr>
          <w:color w:val="000000" w:themeColor="text1"/>
        </w:rPr>
        <w:t xml:space="preserve"> rotasyonu </w:t>
      </w:r>
      <w:r w:rsidR="00D140C7">
        <w:rPr>
          <w:color w:val="000000" w:themeColor="text1"/>
        </w:rPr>
        <w:t xml:space="preserve">ve doğrulayıcı faktör analizi </w:t>
      </w:r>
      <w:r w:rsidR="00A42654" w:rsidRPr="00F97C61">
        <w:rPr>
          <w:color w:val="000000" w:themeColor="text1"/>
        </w:rPr>
        <w:t xml:space="preserve">ile incelenmiştir. Verilerin faktör analizine uygunluğu </w:t>
      </w:r>
      <w:proofErr w:type="spellStart"/>
      <w:r w:rsidR="00A42654" w:rsidRPr="00F97C61">
        <w:rPr>
          <w:color w:val="000000" w:themeColor="text1"/>
        </w:rPr>
        <w:t>Kaiser-Meyer-Olkin</w:t>
      </w:r>
      <w:proofErr w:type="spellEnd"/>
      <w:r w:rsidR="00A42654" w:rsidRPr="00F97C61">
        <w:rPr>
          <w:color w:val="000000" w:themeColor="text1"/>
        </w:rPr>
        <w:t xml:space="preserve"> (KMO) ve </w:t>
      </w:r>
      <w:proofErr w:type="spellStart"/>
      <w:r w:rsidR="00A42654" w:rsidRPr="00F97C61">
        <w:rPr>
          <w:color w:val="000000" w:themeColor="text1"/>
        </w:rPr>
        <w:t>Bartlett</w:t>
      </w:r>
      <w:proofErr w:type="spellEnd"/>
      <w:r w:rsidR="00A42654" w:rsidRPr="00F97C61">
        <w:rPr>
          <w:color w:val="000000" w:themeColor="text1"/>
        </w:rPr>
        <w:t xml:space="preserve"> testi ile incelenmiştir. Bu analizler araştırmaya alınan örneklemin tümü üzerinde yapılmıştır. Ölçüt bağıntılı geçerlik analizinde </w:t>
      </w:r>
      <w:proofErr w:type="spellStart"/>
      <w:r w:rsidR="00A42654" w:rsidRPr="00F97C61">
        <w:rPr>
          <w:color w:val="000000" w:themeColor="text1"/>
        </w:rPr>
        <w:t>Pearson</w:t>
      </w:r>
      <w:proofErr w:type="spellEnd"/>
      <w:r w:rsidR="00A42654" w:rsidRPr="00F97C61">
        <w:rPr>
          <w:color w:val="000000" w:themeColor="text1"/>
        </w:rPr>
        <w:t xml:space="preserve"> korelasyon analizi uygulanmıştır. İstatistiksel analizler SPSS 23.00 </w:t>
      </w:r>
      <w:r w:rsidR="00D140C7">
        <w:rPr>
          <w:color w:val="000000" w:themeColor="text1"/>
        </w:rPr>
        <w:t xml:space="preserve">ve LISREL 8.80 </w:t>
      </w:r>
      <w:r w:rsidR="00A42654" w:rsidRPr="00F97C61">
        <w:rPr>
          <w:color w:val="000000" w:themeColor="text1"/>
        </w:rPr>
        <w:t>ile gerçekleştirilmiştir.</w:t>
      </w:r>
    </w:p>
    <w:p w14:paraId="4253F9FD" w14:textId="77777777" w:rsidR="00A42654" w:rsidRPr="00F97C61" w:rsidRDefault="00A42654" w:rsidP="00BD0596">
      <w:pPr>
        <w:spacing w:line="360" w:lineRule="auto"/>
        <w:ind w:left="851"/>
        <w:rPr>
          <w:color w:val="000000" w:themeColor="text1"/>
        </w:rPr>
      </w:pPr>
      <w:r w:rsidRPr="00F97C61">
        <w:rPr>
          <w:color w:val="000000" w:themeColor="text1"/>
        </w:rPr>
        <w:br w:type="page"/>
      </w:r>
    </w:p>
    <w:p w14:paraId="2AAA4184" w14:textId="320FC1BE" w:rsidR="00A42654" w:rsidRPr="00F97C61" w:rsidRDefault="00BD4A0E" w:rsidP="00BD0596">
      <w:pPr>
        <w:spacing w:line="360" w:lineRule="auto"/>
        <w:ind w:left="851"/>
        <w:rPr>
          <w:b/>
          <w:bCs/>
          <w:color w:val="000000" w:themeColor="text1"/>
        </w:rPr>
      </w:pPr>
      <w:r w:rsidRPr="00F97C61">
        <w:rPr>
          <w:b/>
          <w:bCs/>
          <w:color w:val="000000" w:themeColor="text1"/>
        </w:rPr>
        <w:lastRenderedPageBreak/>
        <w:t>BULGULAR</w:t>
      </w:r>
    </w:p>
    <w:p w14:paraId="1A3BB6E3" w14:textId="1B6EF7F5" w:rsidR="002F4479" w:rsidRPr="00F97C61" w:rsidRDefault="002F4479" w:rsidP="00EB01B9">
      <w:pPr>
        <w:spacing w:line="360" w:lineRule="auto"/>
        <w:ind w:left="851"/>
        <w:rPr>
          <w:rFonts w:cs="Times New Roman"/>
          <w:color w:val="000000" w:themeColor="text1"/>
          <w:szCs w:val="24"/>
        </w:rPr>
      </w:pPr>
      <w:r w:rsidRPr="00F97C61">
        <w:rPr>
          <w:color w:val="000000" w:themeColor="text1"/>
        </w:rPr>
        <w:t xml:space="preserve">Analizlere başlamadan önce </w:t>
      </w:r>
      <w:r w:rsidR="00EB01B9" w:rsidRPr="00F97C61">
        <w:rPr>
          <w:rFonts w:cs="Times New Roman"/>
          <w:color w:val="000000" w:themeColor="text1"/>
          <w:szCs w:val="24"/>
        </w:rPr>
        <w:t>tek yönlü aykırı değerleri belirlemek amacı ile standartlaştırılmış z puanı hesaplanmış</w:t>
      </w:r>
      <w:r w:rsidR="00CA3137" w:rsidRPr="00F97C61">
        <w:rPr>
          <w:rFonts w:cs="Times New Roman"/>
          <w:color w:val="000000" w:themeColor="text1"/>
          <w:szCs w:val="24"/>
        </w:rPr>
        <w:t>,</w:t>
      </w:r>
      <w:r w:rsidR="00EB01B9" w:rsidRPr="00F97C61">
        <w:rPr>
          <w:rFonts w:cs="Times New Roman"/>
          <w:color w:val="000000" w:themeColor="text1"/>
          <w:szCs w:val="24"/>
        </w:rPr>
        <w:t xml:space="preserve"> </w:t>
      </w:r>
      <w:r w:rsidR="002B5C87" w:rsidRPr="00F97C61">
        <w:rPr>
          <w:rFonts w:cs="Times New Roman"/>
          <w:color w:val="000000" w:themeColor="text1"/>
          <w:szCs w:val="24"/>
        </w:rPr>
        <w:t xml:space="preserve">veri setinde </w:t>
      </w:r>
      <w:r w:rsidR="00EB01B9" w:rsidRPr="00F97C61">
        <w:rPr>
          <w:rFonts w:cs="Times New Roman"/>
          <w:color w:val="000000" w:themeColor="text1"/>
          <w:szCs w:val="24"/>
        </w:rPr>
        <w:t>z puan</w:t>
      </w:r>
      <w:r w:rsidR="00CA3137" w:rsidRPr="00F97C61">
        <w:rPr>
          <w:rFonts w:cs="Times New Roman"/>
          <w:color w:val="000000" w:themeColor="text1"/>
          <w:szCs w:val="24"/>
        </w:rPr>
        <w:t xml:space="preserve">ı genel kabul gören değer olan </w:t>
      </w:r>
      <w:r w:rsidR="00EB01B9" w:rsidRPr="00F97C61">
        <w:rPr>
          <w:rFonts w:cs="Times New Roman"/>
          <w:color w:val="000000" w:themeColor="text1"/>
          <w:szCs w:val="24"/>
        </w:rPr>
        <w:t xml:space="preserve">±3,29 </w:t>
      </w:r>
      <w:r w:rsidR="00CA3137" w:rsidRPr="00F97C61">
        <w:rPr>
          <w:rFonts w:cs="Times New Roman"/>
          <w:color w:val="000000" w:themeColor="text1"/>
          <w:szCs w:val="24"/>
        </w:rPr>
        <w:t>aralığının (</w:t>
      </w:r>
      <w:proofErr w:type="spellStart"/>
      <w:r w:rsidR="00CA3137" w:rsidRPr="00F97C61">
        <w:rPr>
          <w:rFonts w:cs="Times New Roman"/>
          <w:color w:val="000000" w:themeColor="text1"/>
          <w:szCs w:val="24"/>
        </w:rPr>
        <w:t>Tabachnick</w:t>
      </w:r>
      <w:proofErr w:type="spellEnd"/>
      <w:r w:rsidR="00CA3137" w:rsidRPr="00F97C61">
        <w:rPr>
          <w:rFonts w:cs="Times New Roman"/>
          <w:color w:val="000000" w:themeColor="text1"/>
          <w:szCs w:val="24"/>
        </w:rPr>
        <w:t xml:space="preserve"> ve </w:t>
      </w:r>
      <w:proofErr w:type="spellStart"/>
      <w:r w:rsidR="00CA3137" w:rsidRPr="00F97C61">
        <w:rPr>
          <w:rFonts w:cs="Times New Roman"/>
          <w:color w:val="000000" w:themeColor="text1"/>
          <w:szCs w:val="24"/>
        </w:rPr>
        <w:t>Fidell</w:t>
      </w:r>
      <w:proofErr w:type="spellEnd"/>
      <w:r w:rsidR="00CA3137" w:rsidRPr="00F97C61">
        <w:rPr>
          <w:rFonts w:cs="Times New Roman"/>
          <w:color w:val="000000" w:themeColor="text1"/>
          <w:szCs w:val="24"/>
        </w:rPr>
        <w:t>, 2007) dışında bir veri olmadığından</w:t>
      </w:r>
      <w:r w:rsidR="00EB01B9" w:rsidRPr="00F97C61">
        <w:rPr>
          <w:rFonts w:cs="Times New Roman"/>
          <w:color w:val="000000" w:themeColor="text1"/>
          <w:szCs w:val="24"/>
        </w:rPr>
        <w:t xml:space="preserve"> herhangi bir veri çıkarılmamıştır. Sonrasında </w:t>
      </w:r>
      <w:r w:rsidR="00EB01B9" w:rsidRPr="00F97C61">
        <w:rPr>
          <w:color w:val="000000" w:themeColor="text1"/>
        </w:rPr>
        <w:t>verinin</w:t>
      </w:r>
      <w:r w:rsidRPr="00F97C61">
        <w:rPr>
          <w:color w:val="000000" w:themeColor="text1"/>
        </w:rPr>
        <w:t xml:space="preserve"> normal dağılım gösterip göstermediği değerlendirilmiştir. </w:t>
      </w:r>
      <w:r w:rsidRPr="00F97C61">
        <w:rPr>
          <w:color w:val="000000" w:themeColor="text1"/>
          <w:szCs w:val="24"/>
        </w:rPr>
        <w:t xml:space="preserve">Normal dağılım </w:t>
      </w:r>
      <w:proofErr w:type="spellStart"/>
      <w:r w:rsidRPr="00F97C61">
        <w:rPr>
          <w:color w:val="000000" w:themeColor="text1"/>
          <w:szCs w:val="24"/>
        </w:rPr>
        <w:t>Kolmogorov-Smirnov</w:t>
      </w:r>
      <w:proofErr w:type="spellEnd"/>
      <w:r w:rsidRPr="00F97C61">
        <w:rPr>
          <w:color w:val="000000" w:themeColor="text1"/>
          <w:szCs w:val="24"/>
        </w:rPr>
        <w:t xml:space="preserve"> Testi yapılarak incelenmiştir ve bu test normal dağılımın olduğunu (p&gt;.05) göstermiştir.   </w:t>
      </w:r>
      <w:r w:rsidR="004C22A1" w:rsidRPr="00F97C61">
        <w:rPr>
          <w:color w:val="000000" w:themeColor="text1"/>
          <w:szCs w:val="24"/>
        </w:rPr>
        <w:t>KTYÖ</w:t>
      </w:r>
      <w:r w:rsidRPr="00F97C61">
        <w:rPr>
          <w:color w:val="000000" w:themeColor="text1"/>
          <w:szCs w:val="24"/>
        </w:rPr>
        <w:t xml:space="preserve"> puanlarının dağılımı sütun ve Q-Q </w:t>
      </w:r>
      <w:proofErr w:type="spellStart"/>
      <w:r w:rsidRPr="00F97C61">
        <w:rPr>
          <w:color w:val="000000" w:themeColor="text1"/>
          <w:szCs w:val="24"/>
        </w:rPr>
        <w:t>plot</w:t>
      </w:r>
      <w:proofErr w:type="spellEnd"/>
      <w:r w:rsidRPr="00F97C61">
        <w:rPr>
          <w:color w:val="000000" w:themeColor="text1"/>
          <w:szCs w:val="24"/>
        </w:rPr>
        <w:t xml:space="preserve"> grafikleri ile incelendiğinde normalden önemli bir sapma olmadığı görülmüştür. </w:t>
      </w:r>
      <w:r w:rsidR="00EB01B9" w:rsidRPr="00F97C61">
        <w:rPr>
          <w:color w:val="000000" w:themeColor="text1"/>
          <w:szCs w:val="24"/>
        </w:rPr>
        <w:t>Bunun yanı sıra ç</w:t>
      </w:r>
      <w:r w:rsidRPr="00F97C61">
        <w:rPr>
          <w:color w:val="000000" w:themeColor="text1"/>
          <w:szCs w:val="24"/>
        </w:rPr>
        <w:t>arpıklık ve basıklık değerleri</w:t>
      </w:r>
      <w:r w:rsidR="00EB01B9" w:rsidRPr="00F97C61">
        <w:rPr>
          <w:color w:val="000000" w:themeColor="text1"/>
          <w:szCs w:val="24"/>
        </w:rPr>
        <w:t xml:space="preserve"> de</w:t>
      </w:r>
      <w:r w:rsidRPr="00F97C61">
        <w:rPr>
          <w:color w:val="000000" w:themeColor="text1"/>
          <w:szCs w:val="24"/>
        </w:rPr>
        <w:t xml:space="preserve"> eşik değer olan -1 ile +1 arasında </w:t>
      </w:r>
      <w:r w:rsidR="00EB01B9" w:rsidRPr="00F97C61">
        <w:rPr>
          <w:color w:val="000000" w:themeColor="text1"/>
          <w:szCs w:val="24"/>
        </w:rPr>
        <w:t xml:space="preserve">yer aldığından </w:t>
      </w:r>
      <w:r w:rsidRPr="00F97C61">
        <w:rPr>
          <w:color w:val="000000" w:themeColor="text1"/>
          <w:szCs w:val="24"/>
        </w:rPr>
        <w:t>normal dağılım varsayımının karşılandığı kabul edilmiştir.</w:t>
      </w:r>
    </w:p>
    <w:p w14:paraId="60A0404A" w14:textId="77777777" w:rsidR="00A42654" w:rsidRPr="00F97C61" w:rsidRDefault="00A42654" w:rsidP="00BD0596">
      <w:pPr>
        <w:spacing w:line="360" w:lineRule="auto"/>
        <w:ind w:left="851"/>
        <w:rPr>
          <w:color w:val="000000" w:themeColor="text1"/>
        </w:rPr>
      </w:pPr>
      <w:r w:rsidRPr="00F97C61">
        <w:rPr>
          <w:color w:val="000000" w:themeColor="text1"/>
        </w:rPr>
        <w:t xml:space="preserve">Çalışmaya alınan örneklemin </w:t>
      </w:r>
      <w:proofErr w:type="spellStart"/>
      <w:r w:rsidRPr="00F97C61">
        <w:rPr>
          <w:color w:val="000000" w:themeColor="text1"/>
        </w:rPr>
        <w:t>sosyodemografik</w:t>
      </w:r>
      <w:proofErr w:type="spellEnd"/>
      <w:r w:rsidRPr="00F97C61">
        <w:rPr>
          <w:color w:val="000000" w:themeColor="text1"/>
        </w:rPr>
        <w:t xml:space="preserve"> özellikleri Tablo 1’de görülmektedir.</w:t>
      </w:r>
    </w:p>
    <w:p w14:paraId="7ECF40D4" w14:textId="77777777" w:rsidR="00A42654" w:rsidRPr="00F97C61" w:rsidRDefault="00A42654" w:rsidP="00BD0596">
      <w:pPr>
        <w:spacing w:line="360" w:lineRule="auto"/>
        <w:ind w:left="851"/>
        <w:rPr>
          <w:b/>
          <w:bCs/>
          <w:color w:val="000000" w:themeColor="text1"/>
        </w:rPr>
      </w:pPr>
      <w:r w:rsidRPr="00F97C61">
        <w:rPr>
          <w:b/>
          <w:bCs/>
          <w:color w:val="000000" w:themeColor="text1"/>
        </w:rPr>
        <w:t xml:space="preserve">Tablo1. Örneklemin </w:t>
      </w:r>
      <w:proofErr w:type="spellStart"/>
      <w:r w:rsidRPr="00F97C61">
        <w:rPr>
          <w:b/>
          <w:bCs/>
          <w:color w:val="000000" w:themeColor="text1"/>
        </w:rPr>
        <w:t>Sosyodemografik</w:t>
      </w:r>
      <w:proofErr w:type="spellEnd"/>
      <w:r w:rsidRPr="00F97C61">
        <w:rPr>
          <w:b/>
          <w:bCs/>
          <w:color w:val="000000" w:themeColor="text1"/>
        </w:rPr>
        <w:t xml:space="preserve"> Özellikleri</w:t>
      </w:r>
    </w:p>
    <w:tbl>
      <w:tblPr>
        <w:tblW w:w="8082" w:type="dxa"/>
        <w:tblInd w:w="921"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217"/>
        <w:gridCol w:w="2047"/>
        <w:gridCol w:w="1466"/>
        <w:gridCol w:w="2352"/>
      </w:tblGrid>
      <w:tr w:rsidR="00F97C61" w:rsidRPr="00F97C61" w14:paraId="71A451B1" w14:textId="77777777" w:rsidTr="003F5E62">
        <w:trPr>
          <w:trHeight w:val="286"/>
        </w:trPr>
        <w:tc>
          <w:tcPr>
            <w:tcW w:w="8082" w:type="dxa"/>
            <w:gridSpan w:val="4"/>
            <w:tcBorders>
              <w:top w:val="single" w:sz="4" w:space="0" w:color="auto"/>
              <w:bottom w:val="single" w:sz="4" w:space="0" w:color="auto"/>
            </w:tcBorders>
          </w:tcPr>
          <w:p w14:paraId="6FF6FF12" w14:textId="77777777" w:rsidR="00A42654" w:rsidRPr="00F97C61" w:rsidRDefault="00A42654" w:rsidP="00C3736E">
            <w:pPr>
              <w:spacing w:after="0" w:line="240" w:lineRule="auto"/>
              <w:ind w:left="851"/>
              <w:jc w:val="center"/>
              <w:rPr>
                <w:color w:val="000000" w:themeColor="text1"/>
                <w:sz w:val="18"/>
                <w:szCs w:val="18"/>
              </w:rPr>
            </w:pPr>
            <w:r w:rsidRPr="00F97C61">
              <w:rPr>
                <w:color w:val="000000" w:themeColor="text1"/>
                <w:sz w:val="18"/>
                <w:szCs w:val="18"/>
              </w:rPr>
              <w:t>S=294</w:t>
            </w:r>
          </w:p>
        </w:tc>
      </w:tr>
      <w:tr w:rsidR="00F97C61" w:rsidRPr="00F97C61" w14:paraId="0AF5E888" w14:textId="77777777" w:rsidTr="003F5E62">
        <w:trPr>
          <w:trHeight w:val="286"/>
        </w:trPr>
        <w:tc>
          <w:tcPr>
            <w:tcW w:w="2217" w:type="dxa"/>
            <w:tcBorders>
              <w:top w:val="single" w:sz="4" w:space="0" w:color="auto"/>
              <w:bottom w:val="single" w:sz="4" w:space="0" w:color="auto"/>
            </w:tcBorders>
          </w:tcPr>
          <w:p w14:paraId="47DEF2C1" w14:textId="77777777" w:rsidR="00A42654" w:rsidRPr="00F97C61" w:rsidRDefault="00A42654" w:rsidP="00C3736E">
            <w:pPr>
              <w:spacing w:after="0" w:line="240" w:lineRule="auto"/>
              <w:ind w:left="851"/>
              <w:jc w:val="center"/>
              <w:rPr>
                <w:b/>
                <w:bCs/>
                <w:color w:val="000000" w:themeColor="text1"/>
                <w:sz w:val="18"/>
                <w:szCs w:val="18"/>
              </w:rPr>
            </w:pPr>
            <w:r w:rsidRPr="00F97C61">
              <w:rPr>
                <w:b/>
                <w:bCs/>
                <w:color w:val="000000" w:themeColor="text1"/>
                <w:sz w:val="18"/>
                <w:szCs w:val="18"/>
              </w:rPr>
              <w:t>Değişkenler</w:t>
            </w:r>
          </w:p>
        </w:tc>
        <w:tc>
          <w:tcPr>
            <w:tcW w:w="2047" w:type="dxa"/>
            <w:tcBorders>
              <w:top w:val="single" w:sz="4" w:space="0" w:color="auto"/>
              <w:bottom w:val="single" w:sz="4" w:space="0" w:color="auto"/>
            </w:tcBorders>
          </w:tcPr>
          <w:p w14:paraId="4F13AEE7" w14:textId="77777777" w:rsidR="00A42654" w:rsidRPr="00F97C61" w:rsidRDefault="00A42654" w:rsidP="00C3736E">
            <w:pPr>
              <w:spacing w:after="0" w:line="240" w:lineRule="auto"/>
              <w:ind w:left="851"/>
              <w:jc w:val="left"/>
              <w:rPr>
                <w:b/>
                <w:bCs/>
                <w:color w:val="000000" w:themeColor="text1"/>
                <w:sz w:val="18"/>
                <w:szCs w:val="18"/>
              </w:rPr>
            </w:pPr>
            <w:proofErr w:type="spellStart"/>
            <w:r w:rsidRPr="00F97C61">
              <w:rPr>
                <w:b/>
                <w:bCs/>
                <w:color w:val="000000" w:themeColor="text1"/>
                <w:sz w:val="18"/>
                <w:szCs w:val="18"/>
              </w:rPr>
              <w:t>Min</w:t>
            </w:r>
            <w:proofErr w:type="spellEnd"/>
          </w:p>
        </w:tc>
        <w:tc>
          <w:tcPr>
            <w:tcW w:w="1466" w:type="dxa"/>
            <w:tcBorders>
              <w:top w:val="single" w:sz="4" w:space="0" w:color="auto"/>
              <w:bottom w:val="single" w:sz="4" w:space="0" w:color="auto"/>
            </w:tcBorders>
          </w:tcPr>
          <w:p w14:paraId="4129B720" w14:textId="77777777" w:rsidR="00A42654" w:rsidRPr="00F97C61" w:rsidRDefault="00A42654" w:rsidP="00C3736E">
            <w:pPr>
              <w:spacing w:after="0" w:line="240" w:lineRule="auto"/>
              <w:ind w:left="851"/>
              <w:jc w:val="left"/>
              <w:rPr>
                <w:b/>
                <w:bCs/>
                <w:color w:val="000000" w:themeColor="text1"/>
                <w:sz w:val="18"/>
                <w:szCs w:val="18"/>
              </w:rPr>
            </w:pPr>
            <w:proofErr w:type="spellStart"/>
            <w:r w:rsidRPr="00F97C61">
              <w:rPr>
                <w:b/>
                <w:bCs/>
                <w:color w:val="000000" w:themeColor="text1"/>
                <w:sz w:val="18"/>
                <w:szCs w:val="18"/>
              </w:rPr>
              <w:t>Max</w:t>
            </w:r>
            <w:proofErr w:type="spellEnd"/>
          </w:p>
        </w:tc>
        <w:tc>
          <w:tcPr>
            <w:tcW w:w="2350" w:type="dxa"/>
            <w:tcBorders>
              <w:top w:val="single" w:sz="4" w:space="0" w:color="auto"/>
              <w:bottom w:val="single" w:sz="4" w:space="0" w:color="auto"/>
            </w:tcBorders>
          </w:tcPr>
          <w:p w14:paraId="78630CFB" w14:textId="77777777" w:rsidR="00A42654" w:rsidRPr="00F97C61" w:rsidRDefault="00A42654" w:rsidP="00C3736E">
            <w:pPr>
              <w:spacing w:after="0" w:line="240" w:lineRule="auto"/>
              <w:ind w:left="851"/>
              <w:jc w:val="left"/>
              <w:rPr>
                <w:b/>
                <w:bCs/>
                <w:color w:val="000000" w:themeColor="text1"/>
                <w:sz w:val="18"/>
                <w:szCs w:val="18"/>
              </w:rPr>
            </w:pPr>
            <w:r w:rsidRPr="00F97C61">
              <w:rPr>
                <w:b/>
                <w:bCs/>
                <w:color w:val="000000" w:themeColor="text1"/>
                <w:sz w:val="18"/>
                <w:szCs w:val="18"/>
              </w:rPr>
              <w:t>Ortalama/SS</w:t>
            </w:r>
          </w:p>
        </w:tc>
      </w:tr>
      <w:tr w:rsidR="00F97C61" w:rsidRPr="00F97C61" w14:paraId="70E455E6" w14:textId="77777777" w:rsidTr="003F5E62">
        <w:trPr>
          <w:trHeight w:val="286"/>
        </w:trPr>
        <w:tc>
          <w:tcPr>
            <w:tcW w:w="2217" w:type="dxa"/>
            <w:tcBorders>
              <w:top w:val="single" w:sz="4" w:space="0" w:color="auto"/>
            </w:tcBorders>
          </w:tcPr>
          <w:p w14:paraId="16E659E3" w14:textId="77777777" w:rsidR="00A42654" w:rsidRPr="00F97C61" w:rsidRDefault="00A42654" w:rsidP="00C3736E">
            <w:pPr>
              <w:spacing w:after="0" w:line="240" w:lineRule="auto"/>
              <w:ind w:left="851"/>
              <w:jc w:val="center"/>
              <w:rPr>
                <w:color w:val="000000" w:themeColor="text1"/>
                <w:sz w:val="18"/>
                <w:szCs w:val="18"/>
              </w:rPr>
            </w:pPr>
            <w:r w:rsidRPr="00F97C61">
              <w:rPr>
                <w:color w:val="000000" w:themeColor="text1"/>
                <w:sz w:val="18"/>
                <w:szCs w:val="18"/>
              </w:rPr>
              <w:t>Yaş</w:t>
            </w:r>
          </w:p>
          <w:p w14:paraId="1E1320F3" w14:textId="77777777" w:rsidR="00A42654" w:rsidRPr="00F97C61" w:rsidRDefault="00A42654" w:rsidP="00C3736E">
            <w:pPr>
              <w:spacing w:after="0" w:line="240" w:lineRule="auto"/>
              <w:ind w:left="851"/>
              <w:jc w:val="center"/>
              <w:rPr>
                <w:color w:val="000000" w:themeColor="text1"/>
                <w:sz w:val="18"/>
                <w:szCs w:val="18"/>
              </w:rPr>
            </w:pPr>
            <w:r w:rsidRPr="00F97C61">
              <w:rPr>
                <w:color w:val="000000" w:themeColor="text1"/>
                <w:sz w:val="18"/>
                <w:szCs w:val="18"/>
              </w:rPr>
              <w:t>Kadın</w:t>
            </w:r>
          </w:p>
          <w:p w14:paraId="5EE3C8B1" w14:textId="77777777" w:rsidR="00A42654" w:rsidRPr="00F97C61" w:rsidRDefault="00A42654" w:rsidP="00C3736E">
            <w:pPr>
              <w:spacing w:after="0" w:line="240" w:lineRule="auto"/>
              <w:ind w:left="851"/>
              <w:jc w:val="center"/>
              <w:rPr>
                <w:color w:val="000000" w:themeColor="text1"/>
                <w:sz w:val="18"/>
                <w:szCs w:val="18"/>
              </w:rPr>
            </w:pPr>
            <w:r w:rsidRPr="00F97C61">
              <w:rPr>
                <w:color w:val="000000" w:themeColor="text1"/>
                <w:sz w:val="18"/>
                <w:szCs w:val="18"/>
              </w:rPr>
              <w:t>Erkek</w:t>
            </w:r>
          </w:p>
        </w:tc>
        <w:tc>
          <w:tcPr>
            <w:tcW w:w="2047" w:type="dxa"/>
            <w:tcBorders>
              <w:top w:val="single" w:sz="4" w:space="0" w:color="auto"/>
            </w:tcBorders>
          </w:tcPr>
          <w:p w14:paraId="639713E7" w14:textId="77777777" w:rsidR="00A42654" w:rsidRPr="00F97C61" w:rsidRDefault="00A42654" w:rsidP="00C3736E">
            <w:pPr>
              <w:spacing w:after="0" w:line="240" w:lineRule="auto"/>
              <w:ind w:left="851"/>
              <w:jc w:val="left"/>
              <w:rPr>
                <w:color w:val="000000" w:themeColor="text1"/>
                <w:sz w:val="18"/>
                <w:szCs w:val="18"/>
              </w:rPr>
            </w:pPr>
            <w:r w:rsidRPr="00F97C61">
              <w:rPr>
                <w:color w:val="000000" w:themeColor="text1"/>
                <w:sz w:val="18"/>
                <w:szCs w:val="18"/>
              </w:rPr>
              <w:t>15</w:t>
            </w:r>
          </w:p>
          <w:p w14:paraId="35E36A72" w14:textId="77777777" w:rsidR="00A42654" w:rsidRPr="00F97C61" w:rsidRDefault="00A42654" w:rsidP="00C3736E">
            <w:pPr>
              <w:spacing w:after="0" w:line="240" w:lineRule="auto"/>
              <w:ind w:left="851"/>
              <w:jc w:val="left"/>
              <w:rPr>
                <w:color w:val="000000" w:themeColor="text1"/>
                <w:sz w:val="18"/>
                <w:szCs w:val="18"/>
              </w:rPr>
            </w:pPr>
          </w:p>
        </w:tc>
        <w:tc>
          <w:tcPr>
            <w:tcW w:w="1466" w:type="dxa"/>
            <w:tcBorders>
              <w:top w:val="single" w:sz="4" w:space="0" w:color="auto"/>
            </w:tcBorders>
          </w:tcPr>
          <w:p w14:paraId="707775F9" w14:textId="77777777" w:rsidR="00A42654" w:rsidRPr="00F97C61" w:rsidRDefault="00A42654" w:rsidP="00C3736E">
            <w:pPr>
              <w:spacing w:after="0" w:line="240" w:lineRule="auto"/>
              <w:ind w:left="851"/>
              <w:jc w:val="left"/>
              <w:rPr>
                <w:color w:val="000000" w:themeColor="text1"/>
                <w:sz w:val="18"/>
                <w:szCs w:val="18"/>
              </w:rPr>
            </w:pPr>
            <w:r w:rsidRPr="00F97C61">
              <w:rPr>
                <w:color w:val="000000" w:themeColor="text1"/>
                <w:sz w:val="18"/>
                <w:szCs w:val="18"/>
              </w:rPr>
              <w:t>26</w:t>
            </w:r>
          </w:p>
        </w:tc>
        <w:tc>
          <w:tcPr>
            <w:tcW w:w="2350" w:type="dxa"/>
            <w:tcBorders>
              <w:top w:val="single" w:sz="4" w:space="0" w:color="auto"/>
            </w:tcBorders>
          </w:tcPr>
          <w:p w14:paraId="31F5B424" w14:textId="77777777" w:rsidR="00A42654" w:rsidRPr="00F97C61" w:rsidRDefault="00A42654" w:rsidP="00C3736E">
            <w:pPr>
              <w:spacing w:after="0" w:line="240" w:lineRule="auto"/>
              <w:ind w:left="851"/>
              <w:jc w:val="left"/>
              <w:rPr>
                <w:color w:val="000000" w:themeColor="text1"/>
                <w:sz w:val="18"/>
                <w:szCs w:val="18"/>
              </w:rPr>
            </w:pPr>
            <w:r w:rsidRPr="00F97C61">
              <w:rPr>
                <w:color w:val="000000" w:themeColor="text1"/>
                <w:sz w:val="18"/>
                <w:szCs w:val="18"/>
              </w:rPr>
              <w:t>20,3±3,1</w:t>
            </w:r>
          </w:p>
          <w:p w14:paraId="3A0C8519" w14:textId="77777777" w:rsidR="00A42654" w:rsidRPr="00F97C61" w:rsidRDefault="00A42654" w:rsidP="00C3736E">
            <w:pPr>
              <w:spacing w:after="0" w:line="240" w:lineRule="auto"/>
              <w:ind w:left="851"/>
              <w:jc w:val="left"/>
              <w:rPr>
                <w:color w:val="000000" w:themeColor="text1"/>
                <w:sz w:val="18"/>
                <w:szCs w:val="18"/>
              </w:rPr>
            </w:pPr>
            <w:r w:rsidRPr="00F97C61">
              <w:rPr>
                <w:color w:val="000000" w:themeColor="text1"/>
                <w:sz w:val="18"/>
                <w:szCs w:val="18"/>
              </w:rPr>
              <w:t>19,9±2,9</w:t>
            </w:r>
          </w:p>
          <w:p w14:paraId="0D5AD685" w14:textId="77777777" w:rsidR="00A42654" w:rsidRPr="00F97C61" w:rsidRDefault="00A42654" w:rsidP="00C3736E">
            <w:pPr>
              <w:spacing w:after="0" w:line="240" w:lineRule="auto"/>
              <w:ind w:left="851"/>
              <w:jc w:val="left"/>
              <w:rPr>
                <w:color w:val="000000" w:themeColor="text1"/>
                <w:sz w:val="18"/>
                <w:szCs w:val="18"/>
              </w:rPr>
            </w:pPr>
            <w:r w:rsidRPr="00F97C61">
              <w:rPr>
                <w:color w:val="000000" w:themeColor="text1"/>
                <w:sz w:val="18"/>
                <w:szCs w:val="18"/>
              </w:rPr>
              <w:t>20,6±3,2</w:t>
            </w:r>
          </w:p>
        </w:tc>
      </w:tr>
      <w:tr w:rsidR="00F97C61" w:rsidRPr="00F97C61" w14:paraId="736C50FD" w14:textId="77777777" w:rsidTr="003F5E62">
        <w:trPr>
          <w:trHeight w:val="286"/>
        </w:trPr>
        <w:tc>
          <w:tcPr>
            <w:tcW w:w="2217" w:type="dxa"/>
            <w:tcBorders>
              <w:top w:val="single" w:sz="4" w:space="0" w:color="auto"/>
              <w:bottom w:val="nil"/>
            </w:tcBorders>
          </w:tcPr>
          <w:p w14:paraId="02C0517E" w14:textId="77777777" w:rsidR="00A42654" w:rsidRPr="00F97C61" w:rsidRDefault="00A42654" w:rsidP="00C3736E">
            <w:pPr>
              <w:spacing w:after="0" w:line="240" w:lineRule="auto"/>
              <w:ind w:left="851"/>
              <w:jc w:val="center"/>
              <w:rPr>
                <w:b/>
                <w:bCs/>
                <w:color w:val="000000" w:themeColor="text1"/>
                <w:sz w:val="18"/>
                <w:szCs w:val="18"/>
              </w:rPr>
            </w:pPr>
            <w:r w:rsidRPr="00F97C61">
              <w:rPr>
                <w:b/>
                <w:bCs/>
                <w:color w:val="000000" w:themeColor="text1"/>
                <w:sz w:val="18"/>
                <w:szCs w:val="18"/>
              </w:rPr>
              <w:t>Değişkenler</w:t>
            </w:r>
          </w:p>
        </w:tc>
        <w:tc>
          <w:tcPr>
            <w:tcW w:w="2047" w:type="dxa"/>
            <w:tcBorders>
              <w:top w:val="single" w:sz="4" w:space="0" w:color="auto"/>
              <w:bottom w:val="nil"/>
            </w:tcBorders>
          </w:tcPr>
          <w:p w14:paraId="270308D8" w14:textId="77777777" w:rsidR="00A42654" w:rsidRPr="00F97C61" w:rsidRDefault="00A42654" w:rsidP="00C3736E">
            <w:pPr>
              <w:spacing w:after="0" w:line="240" w:lineRule="auto"/>
              <w:ind w:left="851"/>
              <w:jc w:val="left"/>
              <w:rPr>
                <w:b/>
                <w:bCs/>
                <w:color w:val="000000" w:themeColor="text1"/>
                <w:sz w:val="18"/>
                <w:szCs w:val="18"/>
              </w:rPr>
            </w:pPr>
          </w:p>
        </w:tc>
        <w:tc>
          <w:tcPr>
            <w:tcW w:w="1466" w:type="dxa"/>
            <w:tcBorders>
              <w:top w:val="single" w:sz="4" w:space="0" w:color="auto"/>
              <w:bottom w:val="nil"/>
            </w:tcBorders>
          </w:tcPr>
          <w:p w14:paraId="3A77178B" w14:textId="77777777" w:rsidR="00A42654" w:rsidRPr="00F97C61" w:rsidRDefault="00A42654" w:rsidP="00C3736E">
            <w:pPr>
              <w:spacing w:after="0" w:line="240" w:lineRule="auto"/>
              <w:ind w:left="851"/>
              <w:jc w:val="left"/>
              <w:rPr>
                <w:b/>
                <w:bCs/>
                <w:color w:val="000000" w:themeColor="text1"/>
                <w:sz w:val="18"/>
                <w:szCs w:val="18"/>
              </w:rPr>
            </w:pPr>
            <w:r w:rsidRPr="00F97C61">
              <w:rPr>
                <w:b/>
                <w:bCs/>
                <w:color w:val="000000" w:themeColor="text1"/>
                <w:sz w:val="18"/>
                <w:szCs w:val="18"/>
              </w:rPr>
              <w:t>Sayı</w:t>
            </w:r>
          </w:p>
        </w:tc>
        <w:tc>
          <w:tcPr>
            <w:tcW w:w="2350" w:type="dxa"/>
            <w:tcBorders>
              <w:top w:val="single" w:sz="4" w:space="0" w:color="auto"/>
              <w:bottom w:val="nil"/>
            </w:tcBorders>
          </w:tcPr>
          <w:p w14:paraId="05CF0E82" w14:textId="77777777" w:rsidR="00A42654" w:rsidRPr="00F97C61" w:rsidRDefault="00A42654" w:rsidP="00C3736E">
            <w:pPr>
              <w:spacing w:after="0" w:line="240" w:lineRule="auto"/>
              <w:ind w:left="851"/>
              <w:jc w:val="left"/>
              <w:rPr>
                <w:b/>
                <w:bCs/>
                <w:color w:val="000000" w:themeColor="text1"/>
                <w:sz w:val="18"/>
                <w:szCs w:val="18"/>
              </w:rPr>
            </w:pPr>
            <w:r w:rsidRPr="00F97C61">
              <w:rPr>
                <w:b/>
                <w:bCs/>
                <w:color w:val="000000" w:themeColor="text1"/>
                <w:sz w:val="18"/>
                <w:szCs w:val="18"/>
              </w:rPr>
              <w:t>Yüzde %</w:t>
            </w:r>
          </w:p>
        </w:tc>
      </w:tr>
      <w:tr w:rsidR="00F97C61" w:rsidRPr="00F97C61" w14:paraId="097F3CB6" w14:textId="77777777" w:rsidTr="003F5E62">
        <w:trPr>
          <w:trHeight w:val="286"/>
        </w:trPr>
        <w:tc>
          <w:tcPr>
            <w:tcW w:w="2217" w:type="dxa"/>
            <w:vMerge w:val="restart"/>
            <w:tcBorders>
              <w:top w:val="nil"/>
              <w:bottom w:val="nil"/>
            </w:tcBorders>
          </w:tcPr>
          <w:p w14:paraId="254AAC97" w14:textId="77777777" w:rsidR="00C96270" w:rsidRPr="00F97C61" w:rsidRDefault="00C96270" w:rsidP="00C3736E">
            <w:pPr>
              <w:spacing w:after="0" w:line="240" w:lineRule="auto"/>
              <w:ind w:left="851"/>
              <w:jc w:val="center"/>
              <w:rPr>
                <w:color w:val="000000" w:themeColor="text1"/>
                <w:sz w:val="18"/>
                <w:szCs w:val="18"/>
              </w:rPr>
            </w:pPr>
          </w:p>
          <w:p w14:paraId="1D6BE9DB" w14:textId="0FD97ADA" w:rsidR="00C96270" w:rsidRPr="00F97C61" w:rsidRDefault="00C96270" w:rsidP="00C3736E">
            <w:pPr>
              <w:spacing w:after="0" w:line="240" w:lineRule="auto"/>
              <w:ind w:left="851"/>
              <w:jc w:val="center"/>
              <w:rPr>
                <w:color w:val="000000" w:themeColor="text1"/>
                <w:sz w:val="18"/>
                <w:szCs w:val="18"/>
              </w:rPr>
            </w:pPr>
            <w:r w:rsidRPr="00F97C61">
              <w:rPr>
                <w:color w:val="000000" w:themeColor="text1"/>
                <w:sz w:val="18"/>
                <w:szCs w:val="18"/>
              </w:rPr>
              <w:t>Cinsiyet</w:t>
            </w:r>
          </w:p>
        </w:tc>
        <w:tc>
          <w:tcPr>
            <w:tcW w:w="2047" w:type="dxa"/>
            <w:tcBorders>
              <w:top w:val="nil"/>
              <w:bottom w:val="nil"/>
            </w:tcBorders>
          </w:tcPr>
          <w:p w14:paraId="4FF7386B"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Kadın</w:t>
            </w:r>
          </w:p>
        </w:tc>
        <w:tc>
          <w:tcPr>
            <w:tcW w:w="1466" w:type="dxa"/>
            <w:tcBorders>
              <w:top w:val="nil"/>
              <w:bottom w:val="nil"/>
            </w:tcBorders>
          </w:tcPr>
          <w:p w14:paraId="5A3C541C"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162</w:t>
            </w:r>
          </w:p>
        </w:tc>
        <w:tc>
          <w:tcPr>
            <w:tcW w:w="2350" w:type="dxa"/>
            <w:tcBorders>
              <w:top w:val="nil"/>
              <w:bottom w:val="nil"/>
            </w:tcBorders>
          </w:tcPr>
          <w:p w14:paraId="57739DF2"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51,1</w:t>
            </w:r>
          </w:p>
        </w:tc>
      </w:tr>
      <w:tr w:rsidR="00F97C61" w:rsidRPr="00F97C61" w14:paraId="1A4DF90D" w14:textId="77777777" w:rsidTr="003F5E62">
        <w:trPr>
          <w:trHeight w:val="286"/>
        </w:trPr>
        <w:tc>
          <w:tcPr>
            <w:tcW w:w="2217" w:type="dxa"/>
            <w:vMerge/>
            <w:tcBorders>
              <w:top w:val="nil"/>
              <w:bottom w:val="single" w:sz="4" w:space="0" w:color="auto"/>
            </w:tcBorders>
          </w:tcPr>
          <w:p w14:paraId="7148C5E4" w14:textId="77777777" w:rsidR="00C96270" w:rsidRPr="00F97C61" w:rsidRDefault="00C96270" w:rsidP="00C3736E">
            <w:pPr>
              <w:spacing w:after="0" w:line="240" w:lineRule="auto"/>
              <w:ind w:left="851"/>
              <w:jc w:val="center"/>
              <w:rPr>
                <w:color w:val="000000" w:themeColor="text1"/>
                <w:sz w:val="18"/>
                <w:szCs w:val="18"/>
              </w:rPr>
            </w:pPr>
          </w:p>
        </w:tc>
        <w:tc>
          <w:tcPr>
            <w:tcW w:w="2047" w:type="dxa"/>
            <w:tcBorders>
              <w:top w:val="nil"/>
              <w:bottom w:val="single" w:sz="4" w:space="0" w:color="auto"/>
            </w:tcBorders>
          </w:tcPr>
          <w:p w14:paraId="0FDCA960"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Erkek</w:t>
            </w:r>
          </w:p>
        </w:tc>
        <w:tc>
          <w:tcPr>
            <w:tcW w:w="1466" w:type="dxa"/>
            <w:tcBorders>
              <w:top w:val="nil"/>
              <w:bottom w:val="single" w:sz="4" w:space="0" w:color="auto"/>
            </w:tcBorders>
          </w:tcPr>
          <w:p w14:paraId="1F5A90EF"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132</w:t>
            </w:r>
          </w:p>
        </w:tc>
        <w:tc>
          <w:tcPr>
            <w:tcW w:w="2350" w:type="dxa"/>
            <w:tcBorders>
              <w:top w:val="nil"/>
              <w:bottom w:val="single" w:sz="4" w:space="0" w:color="auto"/>
            </w:tcBorders>
          </w:tcPr>
          <w:p w14:paraId="7076D81E"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44,9</w:t>
            </w:r>
          </w:p>
        </w:tc>
      </w:tr>
      <w:tr w:rsidR="00F97C61" w:rsidRPr="00F97C61" w14:paraId="67B07302" w14:textId="77777777" w:rsidTr="003F5E62">
        <w:trPr>
          <w:trHeight w:val="286"/>
        </w:trPr>
        <w:tc>
          <w:tcPr>
            <w:tcW w:w="2217" w:type="dxa"/>
            <w:vMerge w:val="restart"/>
            <w:tcBorders>
              <w:top w:val="single" w:sz="4" w:space="0" w:color="auto"/>
              <w:bottom w:val="nil"/>
            </w:tcBorders>
          </w:tcPr>
          <w:p w14:paraId="66C148B9" w14:textId="77777777" w:rsidR="00C96270" w:rsidRPr="00F97C61" w:rsidRDefault="00C96270" w:rsidP="00C3736E">
            <w:pPr>
              <w:spacing w:after="0" w:line="240" w:lineRule="auto"/>
              <w:ind w:left="851"/>
              <w:jc w:val="center"/>
              <w:rPr>
                <w:color w:val="000000" w:themeColor="text1"/>
                <w:sz w:val="18"/>
                <w:szCs w:val="18"/>
              </w:rPr>
            </w:pPr>
          </w:p>
          <w:p w14:paraId="3C582ED5" w14:textId="4B85CAC8" w:rsidR="00C96270" w:rsidRPr="00F97C61" w:rsidRDefault="00C96270" w:rsidP="00C3736E">
            <w:pPr>
              <w:spacing w:after="0" w:line="240" w:lineRule="auto"/>
              <w:ind w:left="851"/>
              <w:jc w:val="center"/>
              <w:rPr>
                <w:color w:val="000000" w:themeColor="text1"/>
                <w:sz w:val="18"/>
                <w:szCs w:val="18"/>
              </w:rPr>
            </w:pPr>
            <w:r w:rsidRPr="00F97C61">
              <w:rPr>
                <w:color w:val="000000" w:themeColor="text1"/>
                <w:sz w:val="18"/>
                <w:szCs w:val="18"/>
              </w:rPr>
              <w:t>Eğitim Durumu</w:t>
            </w:r>
          </w:p>
        </w:tc>
        <w:tc>
          <w:tcPr>
            <w:tcW w:w="2047" w:type="dxa"/>
            <w:tcBorders>
              <w:top w:val="single" w:sz="4" w:space="0" w:color="auto"/>
              <w:bottom w:val="nil"/>
            </w:tcBorders>
          </w:tcPr>
          <w:p w14:paraId="1E096351" w14:textId="77777777" w:rsidR="00C96270" w:rsidRPr="00F97C61" w:rsidRDefault="00C96270" w:rsidP="00C3736E">
            <w:pPr>
              <w:spacing w:after="0" w:line="240" w:lineRule="auto"/>
              <w:ind w:left="851"/>
              <w:jc w:val="left"/>
              <w:rPr>
                <w:color w:val="000000" w:themeColor="text1"/>
                <w:sz w:val="18"/>
                <w:szCs w:val="18"/>
              </w:rPr>
            </w:pPr>
          </w:p>
        </w:tc>
        <w:tc>
          <w:tcPr>
            <w:tcW w:w="1466" w:type="dxa"/>
            <w:tcBorders>
              <w:top w:val="single" w:sz="4" w:space="0" w:color="auto"/>
              <w:bottom w:val="nil"/>
            </w:tcBorders>
          </w:tcPr>
          <w:p w14:paraId="6933EE45" w14:textId="77777777" w:rsidR="00C96270" w:rsidRPr="00F97C61" w:rsidRDefault="00C96270" w:rsidP="00C3736E">
            <w:pPr>
              <w:spacing w:after="0" w:line="240" w:lineRule="auto"/>
              <w:ind w:left="851"/>
              <w:jc w:val="left"/>
              <w:rPr>
                <w:color w:val="000000" w:themeColor="text1"/>
                <w:sz w:val="18"/>
                <w:szCs w:val="18"/>
              </w:rPr>
            </w:pPr>
          </w:p>
        </w:tc>
        <w:tc>
          <w:tcPr>
            <w:tcW w:w="2350" w:type="dxa"/>
            <w:tcBorders>
              <w:top w:val="single" w:sz="4" w:space="0" w:color="auto"/>
              <w:bottom w:val="nil"/>
            </w:tcBorders>
          </w:tcPr>
          <w:p w14:paraId="0848B0BA" w14:textId="77777777" w:rsidR="00C96270" w:rsidRPr="00F97C61" w:rsidRDefault="00C96270" w:rsidP="00C3736E">
            <w:pPr>
              <w:spacing w:after="0" w:line="240" w:lineRule="auto"/>
              <w:ind w:left="851"/>
              <w:jc w:val="left"/>
              <w:rPr>
                <w:color w:val="000000" w:themeColor="text1"/>
                <w:sz w:val="18"/>
                <w:szCs w:val="18"/>
              </w:rPr>
            </w:pPr>
          </w:p>
        </w:tc>
      </w:tr>
      <w:tr w:rsidR="00F97C61" w:rsidRPr="00F97C61" w14:paraId="02F49308" w14:textId="77777777" w:rsidTr="003F5E62">
        <w:trPr>
          <w:trHeight w:val="286"/>
        </w:trPr>
        <w:tc>
          <w:tcPr>
            <w:tcW w:w="2217" w:type="dxa"/>
            <w:vMerge/>
            <w:tcBorders>
              <w:top w:val="nil"/>
              <w:bottom w:val="nil"/>
            </w:tcBorders>
          </w:tcPr>
          <w:p w14:paraId="773910B4" w14:textId="77777777" w:rsidR="00C96270" w:rsidRPr="00F97C61" w:rsidRDefault="00C96270" w:rsidP="00C3736E">
            <w:pPr>
              <w:spacing w:after="0" w:line="240" w:lineRule="auto"/>
              <w:ind w:left="851"/>
              <w:jc w:val="center"/>
              <w:rPr>
                <w:color w:val="000000" w:themeColor="text1"/>
                <w:sz w:val="18"/>
                <w:szCs w:val="18"/>
              </w:rPr>
            </w:pPr>
          </w:p>
        </w:tc>
        <w:tc>
          <w:tcPr>
            <w:tcW w:w="2047" w:type="dxa"/>
            <w:tcBorders>
              <w:top w:val="nil"/>
              <w:bottom w:val="nil"/>
            </w:tcBorders>
          </w:tcPr>
          <w:p w14:paraId="6342C8B1"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Lise öğrencisi</w:t>
            </w:r>
          </w:p>
        </w:tc>
        <w:tc>
          <w:tcPr>
            <w:tcW w:w="1466" w:type="dxa"/>
            <w:tcBorders>
              <w:top w:val="nil"/>
              <w:bottom w:val="nil"/>
            </w:tcBorders>
          </w:tcPr>
          <w:p w14:paraId="141A1F85"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61</w:t>
            </w:r>
          </w:p>
        </w:tc>
        <w:tc>
          <w:tcPr>
            <w:tcW w:w="2350" w:type="dxa"/>
            <w:tcBorders>
              <w:top w:val="nil"/>
              <w:bottom w:val="nil"/>
            </w:tcBorders>
          </w:tcPr>
          <w:p w14:paraId="4937F666"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20,7</w:t>
            </w:r>
          </w:p>
        </w:tc>
      </w:tr>
      <w:tr w:rsidR="00F97C61" w:rsidRPr="00F97C61" w14:paraId="1821B0CE" w14:textId="77777777" w:rsidTr="003F5E62">
        <w:trPr>
          <w:trHeight w:val="286"/>
        </w:trPr>
        <w:tc>
          <w:tcPr>
            <w:tcW w:w="2217" w:type="dxa"/>
            <w:vMerge/>
            <w:tcBorders>
              <w:top w:val="nil"/>
              <w:bottom w:val="single" w:sz="4" w:space="0" w:color="auto"/>
            </w:tcBorders>
          </w:tcPr>
          <w:p w14:paraId="7BB94390" w14:textId="77777777" w:rsidR="00C96270" w:rsidRPr="00F97C61" w:rsidRDefault="00C96270" w:rsidP="00C3736E">
            <w:pPr>
              <w:spacing w:after="0" w:line="240" w:lineRule="auto"/>
              <w:ind w:left="851"/>
              <w:jc w:val="center"/>
              <w:rPr>
                <w:color w:val="000000" w:themeColor="text1"/>
                <w:sz w:val="18"/>
                <w:szCs w:val="18"/>
              </w:rPr>
            </w:pPr>
          </w:p>
        </w:tc>
        <w:tc>
          <w:tcPr>
            <w:tcW w:w="2047" w:type="dxa"/>
            <w:tcBorders>
              <w:top w:val="nil"/>
              <w:bottom w:val="single" w:sz="4" w:space="0" w:color="auto"/>
            </w:tcBorders>
          </w:tcPr>
          <w:p w14:paraId="0D61EB39"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Üniversite öğrencisi</w:t>
            </w:r>
          </w:p>
        </w:tc>
        <w:tc>
          <w:tcPr>
            <w:tcW w:w="1466" w:type="dxa"/>
            <w:tcBorders>
              <w:top w:val="nil"/>
              <w:bottom w:val="single" w:sz="4" w:space="0" w:color="auto"/>
            </w:tcBorders>
          </w:tcPr>
          <w:p w14:paraId="00899026"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233</w:t>
            </w:r>
          </w:p>
        </w:tc>
        <w:tc>
          <w:tcPr>
            <w:tcW w:w="2350" w:type="dxa"/>
            <w:tcBorders>
              <w:top w:val="nil"/>
              <w:bottom w:val="single" w:sz="4" w:space="0" w:color="auto"/>
            </w:tcBorders>
          </w:tcPr>
          <w:p w14:paraId="386BBC40"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79,3</w:t>
            </w:r>
          </w:p>
        </w:tc>
      </w:tr>
      <w:tr w:rsidR="00F97C61" w:rsidRPr="00F97C61" w14:paraId="6CB4C218" w14:textId="77777777" w:rsidTr="003F5E62">
        <w:trPr>
          <w:trHeight w:val="286"/>
        </w:trPr>
        <w:tc>
          <w:tcPr>
            <w:tcW w:w="2217" w:type="dxa"/>
            <w:vMerge w:val="restart"/>
            <w:tcBorders>
              <w:top w:val="single" w:sz="4" w:space="0" w:color="auto"/>
            </w:tcBorders>
          </w:tcPr>
          <w:p w14:paraId="3215FC4F" w14:textId="77777777" w:rsidR="00C96270" w:rsidRPr="00F97C61" w:rsidRDefault="00C96270" w:rsidP="00C3736E">
            <w:pPr>
              <w:spacing w:after="0" w:line="240" w:lineRule="auto"/>
              <w:ind w:left="851"/>
              <w:jc w:val="center"/>
              <w:rPr>
                <w:color w:val="000000" w:themeColor="text1"/>
                <w:sz w:val="18"/>
                <w:szCs w:val="18"/>
              </w:rPr>
            </w:pPr>
          </w:p>
          <w:p w14:paraId="2F9F4AC5" w14:textId="77777777" w:rsidR="00C96270" w:rsidRPr="00F97C61" w:rsidRDefault="00C96270" w:rsidP="00C3736E">
            <w:pPr>
              <w:spacing w:after="0" w:line="240" w:lineRule="auto"/>
              <w:ind w:left="851"/>
              <w:jc w:val="center"/>
              <w:rPr>
                <w:color w:val="000000" w:themeColor="text1"/>
                <w:sz w:val="18"/>
                <w:szCs w:val="18"/>
              </w:rPr>
            </w:pPr>
          </w:p>
          <w:p w14:paraId="5F888DB3" w14:textId="107D3D24" w:rsidR="00C96270" w:rsidRPr="00F97C61" w:rsidRDefault="00C96270" w:rsidP="00C3736E">
            <w:pPr>
              <w:spacing w:after="0" w:line="240" w:lineRule="auto"/>
              <w:ind w:left="851"/>
              <w:jc w:val="center"/>
              <w:rPr>
                <w:color w:val="000000" w:themeColor="text1"/>
                <w:sz w:val="18"/>
                <w:szCs w:val="18"/>
              </w:rPr>
            </w:pPr>
            <w:r w:rsidRPr="00F97C61">
              <w:rPr>
                <w:color w:val="000000" w:themeColor="text1"/>
                <w:sz w:val="18"/>
                <w:szCs w:val="18"/>
              </w:rPr>
              <w:t>Gelir Düzeyi</w:t>
            </w:r>
          </w:p>
        </w:tc>
        <w:tc>
          <w:tcPr>
            <w:tcW w:w="2047" w:type="dxa"/>
            <w:tcBorders>
              <w:top w:val="single" w:sz="4" w:space="0" w:color="auto"/>
            </w:tcBorders>
          </w:tcPr>
          <w:p w14:paraId="14B0F514" w14:textId="77777777" w:rsidR="00C96270" w:rsidRPr="00F97C61" w:rsidRDefault="00C96270" w:rsidP="00C3736E">
            <w:pPr>
              <w:spacing w:after="0" w:line="240" w:lineRule="auto"/>
              <w:ind w:left="851"/>
              <w:jc w:val="left"/>
              <w:rPr>
                <w:color w:val="000000" w:themeColor="text1"/>
                <w:sz w:val="18"/>
                <w:szCs w:val="18"/>
              </w:rPr>
            </w:pPr>
          </w:p>
        </w:tc>
        <w:tc>
          <w:tcPr>
            <w:tcW w:w="1466" w:type="dxa"/>
            <w:tcBorders>
              <w:top w:val="single" w:sz="4" w:space="0" w:color="auto"/>
            </w:tcBorders>
          </w:tcPr>
          <w:p w14:paraId="63B6CD11" w14:textId="77777777" w:rsidR="00C96270" w:rsidRPr="00F97C61" w:rsidRDefault="00C96270" w:rsidP="00C3736E">
            <w:pPr>
              <w:spacing w:after="0" w:line="240" w:lineRule="auto"/>
              <w:ind w:left="851"/>
              <w:jc w:val="left"/>
              <w:rPr>
                <w:color w:val="000000" w:themeColor="text1"/>
                <w:sz w:val="18"/>
                <w:szCs w:val="18"/>
              </w:rPr>
            </w:pPr>
          </w:p>
        </w:tc>
        <w:tc>
          <w:tcPr>
            <w:tcW w:w="2350" w:type="dxa"/>
            <w:tcBorders>
              <w:top w:val="single" w:sz="4" w:space="0" w:color="auto"/>
            </w:tcBorders>
          </w:tcPr>
          <w:p w14:paraId="76E5E5FB" w14:textId="77777777" w:rsidR="00C96270" w:rsidRPr="00F97C61" w:rsidRDefault="00C96270" w:rsidP="00C3736E">
            <w:pPr>
              <w:spacing w:after="0" w:line="240" w:lineRule="auto"/>
              <w:ind w:left="851"/>
              <w:jc w:val="left"/>
              <w:rPr>
                <w:color w:val="000000" w:themeColor="text1"/>
                <w:sz w:val="18"/>
                <w:szCs w:val="18"/>
              </w:rPr>
            </w:pPr>
          </w:p>
        </w:tc>
      </w:tr>
      <w:tr w:rsidR="00F97C61" w:rsidRPr="00F97C61" w14:paraId="494D4F55" w14:textId="77777777" w:rsidTr="003F5E62">
        <w:trPr>
          <w:trHeight w:val="286"/>
        </w:trPr>
        <w:tc>
          <w:tcPr>
            <w:tcW w:w="2217" w:type="dxa"/>
            <w:vMerge/>
          </w:tcPr>
          <w:p w14:paraId="6D8712EB" w14:textId="77777777" w:rsidR="00C96270" w:rsidRPr="00F97C61" w:rsidRDefault="00C96270" w:rsidP="00C3736E">
            <w:pPr>
              <w:spacing w:after="0" w:line="240" w:lineRule="auto"/>
              <w:ind w:left="851"/>
              <w:jc w:val="left"/>
              <w:rPr>
                <w:color w:val="000000" w:themeColor="text1"/>
                <w:sz w:val="18"/>
                <w:szCs w:val="18"/>
              </w:rPr>
            </w:pPr>
          </w:p>
        </w:tc>
        <w:tc>
          <w:tcPr>
            <w:tcW w:w="2047" w:type="dxa"/>
          </w:tcPr>
          <w:p w14:paraId="71EDB97A"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0-2500TL</w:t>
            </w:r>
          </w:p>
        </w:tc>
        <w:tc>
          <w:tcPr>
            <w:tcW w:w="1466" w:type="dxa"/>
          </w:tcPr>
          <w:p w14:paraId="47F1841E"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220</w:t>
            </w:r>
          </w:p>
        </w:tc>
        <w:tc>
          <w:tcPr>
            <w:tcW w:w="2350" w:type="dxa"/>
          </w:tcPr>
          <w:p w14:paraId="1766440C"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74,8</w:t>
            </w:r>
          </w:p>
        </w:tc>
      </w:tr>
      <w:tr w:rsidR="00F97C61" w:rsidRPr="00F97C61" w14:paraId="47F404C9" w14:textId="77777777" w:rsidTr="003F5E62">
        <w:trPr>
          <w:trHeight w:val="286"/>
        </w:trPr>
        <w:tc>
          <w:tcPr>
            <w:tcW w:w="2217" w:type="dxa"/>
            <w:vMerge/>
          </w:tcPr>
          <w:p w14:paraId="35E95AF4" w14:textId="77777777" w:rsidR="00C96270" w:rsidRPr="00F97C61" w:rsidRDefault="00C96270" w:rsidP="00C3736E">
            <w:pPr>
              <w:spacing w:after="0" w:line="240" w:lineRule="auto"/>
              <w:ind w:left="851"/>
              <w:jc w:val="left"/>
              <w:rPr>
                <w:color w:val="000000" w:themeColor="text1"/>
                <w:sz w:val="18"/>
                <w:szCs w:val="18"/>
              </w:rPr>
            </w:pPr>
          </w:p>
        </w:tc>
        <w:tc>
          <w:tcPr>
            <w:tcW w:w="2047" w:type="dxa"/>
          </w:tcPr>
          <w:p w14:paraId="54530BC5"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2500-8500TL</w:t>
            </w:r>
          </w:p>
        </w:tc>
        <w:tc>
          <w:tcPr>
            <w:tcW w:w="1466" w:type="dxa"/>
          </w:tcPr>
          <w:p w14:paraId="10F76933"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56</w:t>
            </w:r>
          </w:p>
        </w:tc>
        <w:tc>
          <w:tcPr>
            <w:tcW w:w="2350" w:type="dxa"/>
          </w:tcPr>
          <w:p w14:paraId="7E8B7AD4"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19</w:t>
            </w:r>
          </w:p>
        </w:tc>
      </w:tr>
      <w:tr w:rsidR="00F97C61" w:rsidRPr="00F97C61" w14:paraId="2FD2002E" w14:textId="77777777" w:rsidTr="003F5E62">
        <w:trPr>
          <w:trHeight w:val="286"/>
        </w:trPr>
        <w:tc>
          <w:tcPr>
            <w:tcW w:w="2217" w:type="dxa"/>
            <w:vMerge/>
          </w:tcPr>
          <w:p w14:paraId="776870E7" w14:textId="77777777" w:rsidR="00C96270" w:rsidRPr="00F97C61" w:rsidRDefault="00C96270" w:rsidP="00C3736E">
            <w:pPr>
              <w:spacing w:after="0" w:line="240" w:lineRule="auto"/>
              <w:ind w:left="851"/>
              <w:jc w:val="left"/>
              <w:rPr>
                <w:color w:val="000000" w:themeColor="text1"/>
                <w:sz w:val="18"/>
                <w:szCs w:val="18"/>
              </w:rPr>
            </w:pPr>
          </w:p>
        </w:tc>
        <w:tc>
          <w:tcPr>
            <w:tcW w:w="2047" w:type="dxa"/>
          </w:tcPr>
          <w:p w14:paraId="7CC03E9B"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8500-14000TL</w:t>
            </w:r>
          </w:p>
        </w:tc>
        <w:tc>
          <w:tcPr>
            <w:tcW w:w="1466" w:type="dxa"/>
          </w:tcPr>
          <w:p w14:paraId="762EC7B3"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12</w:t>
            </w:r>
          </w:p>
        </w:tc>
        <w:tc>
          <w:tcPr>
            <w:tcW w:w="2350" w:type="dxa"/>
          </w:tcPr>
          <w:p w14:paraId="7BB026EB"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4,1</w:t>
            </w:r>
          </w:p>
        </w:tc>
      </w:tr>
      <w:tr w:rsidR="00C96270" w:rsidRPr="00F97C61" w14:paraId="25ADF813" w14:textId="77777777" w:rsidTr="003F5E62">
        <w:trPr>
          <w:trHeight w:val="286"/>
        </w:trPr>
        <w:tc>
          <w:tcPr>
            <w:tcW w:w="2217" w:type="dxa"/>
            <w:vMerge/>
          </w:tcPr>
          <w:p w14:paraId="265DB376" w14:textId="77777777" w:rsidR="00C96270" w:rsidRPr="00F97C61" w:rsidRDefault="00C96270" w:rsidP="00C3736E">
            <w:pPr>
              <w:spacing w:after="0" w:line="240" w:lineRule="auto"/>
              <w:ind w:left="851"/>
              <w:jc w:val="left"/>
              <w:rPr>
                <w:color w:val="000000" w:themeColor="text1"/>
                <w:sz w:val="18"/>
                <w:szCs w:val="18"/>
              </w:rPr>
            </w:pPr>
          </w:p>
        </w:tc>
        <w:tc>
          <w:tcPr>
            <w:tcW w:w="2047" w:type="dxa"/>
          </w:tcPr>
          <w:p w14:paraId="73BA8C08"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&gt;14000TL</w:t>
            </w:r>
          </w:p>
        </w:tc>
        <w:tc>
          <w:tcPr>
            <w:tcW w:w="1466" w:type="dxa"/>
          </w:tcPr>
          <w:p w14:paraId="569B0AC3"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6</w:t>
            </w:r>
          </w:p>
        </w:tc>
        <w:tc>
          <w:tcPr>
            <w:tcW w:w="2350" w:type="dxa"/>
          </w:tcPr>
          <w:p w14:paraId="14F8BE6C" w14:textId="77777777" w:rsidR="00C96270" w:rsidRPr="00F97C61" w:rsidRDefault="00C96270" w:rsidP="00C3736E">
            <w:pPr>
              <w:spacing w:after="0" w:line="240" w:lineRule="auto"/>
              <w:ind w:left="851"/>
              <w:jc w:val="left"/>
              <w:rPr>
                <w:color w:val="000000" w:themeColor="text1"/>
                <w:sz w:val="18"/>
                <w:szCs w:val="18"/>
              </w:rPr>
            </w:pPr>
            <w:r w:rsidRPr="00F97C61">
              <w:rPr>
                <w:color w:val="000000" w:themeColor="text1"/>
                <w:sz w:val="18"/>
                <w:szCs w:val="18"/>
              </w:rPr>
              <w:t>2</w:t>
            </w:r>
          </w:p>
        </w:tc>
      </w:tr>
    </w:tbl>
    <w:p w14:paraId="1E12A548" w14:textId="77777777" w:rsidR="00A42654" w:rsidRPr="00F97C61" w:rsidRDefault="00A42654" w:rsidP="00BD0596">
      <w:pPr>
        <w:spacing w:line="360" w:lineRule="auto"/>
        <w:ind w:left="851"/>
        <w:rPr>
          <w:color w:val="000000" w:themeColor="text1"/>
        </w:rPr>
      </w:pPr>
    </w:p>
    <w:p w14:paraId="6F5451FB" w14:textId="77777777" w:rsidR="00FA6D6E" w:rsidRPr="00F97C61" w:rsidRDefault="00FA6D6E">
      <w:pPr>
        <w:spacing w:after="0" w:line="240" w:lineRule="auto"/>
        <w:jc w:val="left"/>
        <w:rPr>
          <w:b/>
          <w:bCs/>
          <w:color w:val="000000" w:themeColor="text1"/>
        </w:rPr>
      </w:pPr>
      <w:r w:rsidRPr="00F97C61">
        <w:rPr>
          <w:b/>
          <w:bCs/>
          <w:color w:val="000000" w:themeColor="text1"/>
        </w:rPr>
        <w:br w:type="page"/>
      </w:r>
    </w:p>
    <w:p w14:paraId="4C5B6D5C" w14:textId="728B915B" w:rsidR="00A42654" w:rsidRPr="00F97C61" w:rsidRDefault="00A42654" w:rsidP="00BD0596">
      <w:pPr>
        <w:spacing w:line="360" w:lineRule="auto"/>
        <w:ind w:left="851"/>
        <w:rPr>
          <w:b/>
          <w:bCs/>
          <w:color w:val="000000" w:themeColor="text1"/>
        </w:rPr>
      </w:pPr>
      <w:r w:rsidRPr="00F97C61">
        <w:rPr>
          <w:b/>
          <w:bCs/>
          <w:color w:val="000000" w:themeColor="text1"/>
        </w:rPr>
        <w:lastRenderedPageBreak/>
        <w:t>Güvenirlik</w:t>
      </w:r>
    </w:p>
    <w:p w14:paraId="6A7F30B8" w14:textId="01269DC6" w:rsidR="00A42654" w:rsidRPr="00F97C61" w:rsidRDefault="004C22A1" w:rsidP="00BD0596">
      <w:pPr>
        <w:spacing w:line="360" w:lineRule="auto"/>
        <w:ind w:left="851"/>
        <w:rPr>
          <w:color w:val="000000" w:themeColor="text1"/>
        </w:rPr>
      </w:pPr>
      <w:r w:rsidRPr="00F97C61">
        <w:rPr>
          <w:color w:val="000000" w:themeColor="text1"/>
        </w:rPr>
        <w:t>KTYÖ</w:t>
      </w:r>
      <w:r w:rsidR="00A42654" w:rsidRPr="00F97C61">
        <w:rPr>
          <w:color w:val="000000" w:themeColor="text1"/>
        </w:rPr>
        <w:t xml:space="preserve"> için yapılan </w:t>
      </w:r>
      <w:r w:rsidR="00F8305B" w:rsidRPr="00F97C61">
        <w:rPr>
          <w:color w:val="000000" w:themeColor="text1"/>
        </w:rPr>
        <w:t>güvenirlik</w:t>
      </w:r>
      <w:r w:rsidR="00A42654" w:rsidRPr="00F97C61">
        <w:rPr>
          <w:color w:val="000000" w:themeColor="text1"/>
        </w:rPr>
        <w:t xml:space="preserve"> analizleri sonucu </w:t>
      </w:r>
      <w:proofErr w:type="spellStart"/>
      <w:r w:rsidR="00A42654" w:rsidRPr="00F97C61">
        <w:rPr>
          <w:color w:val="000000" w:themeColor="text1"/>
        </w:rPr>
        <w:t>Cronbach</w:t>
      </w:r>
      <w:proofErr w:type="spellEnd"/>
      <w:r w:rsidR="00A42654" w:rsidRPr="00F97C61">
        <w:rPr>
          <w:color w:val="000000" w:themeColor="text1"/>
        </w:rPr>
        <w:t xml:space="preserve"> alfa katsayıları, ölçeğin geneli için .86, </w:t>
      </w:r>
      <w:proofErr w:type="spellStart"/>
      <w:r w:rsidR="00A42654" w:rsidRPr="00F97C61">
        <w:rPr>
          <w:color w:val="000000" w:themeColor="text1"/>
        </w:rPr>
        <w:t>Nunnally</w:t>
      </w:r>
      <w:proofErr w:type="spellEnd"/>
      <w:r w:rsidR="00A42654" w:rsidRPr="00F97C61">
        <w:rPr>
          <w:color w:val="000000" w:themeColor="text1"/>
        </w:rPr>
        <w:t xml:space="preserve"> ve </w:t>
      </w:r>
      <w:proofErr w:type="spellStart"/>
      <w:r w:rsidR="00A42654" w:rsidRPr="00F97C61">
        <w:rPr>
          <w:color w:val="000000" w:themeColor="text1"/>
        </w:rPr>
        <w:t>Bernstein’e</w:t>
      </w:r>
      <w:proofErr w:type="spellEnd"/>
      <w:r w:rsidR="00A42654" w:rsidRPr="00F97C61">
        <w:rPr>
          <w:color w:val="000000" w:themeColor="text1"/>
        </w:rPr>
        <w:t xml:space="preserve"> (1994) göre güvenirlik katsayısı için kabul edilebilir </w:t>
      </w:r>
      <w:proofErr w:type="gramStart"/>
      <w:r w:rsidR="00A42654" w:rsidRPr="00F97C61">
        <w:rPr>
          <w:color w:val="000000" w:themeColor="text1"/>
        </w:rPr>
        <w:t>değer</w:t>
      </w:r>
      <w:r w:rsidR="00FA6D6E" w:rsidRPr="00F97C61">
        <w:rPr>
          <w:color w:val="000000" w:themeColor="text1"/>
        </w:rPr>
        <w:t xml:space="preserve"> </w:t>
      </w:r>
      <w:r w:rsidR="00A42654" w:rsidRPr="00F97C61">
        <w:rPr>
          <w:color w:val="000000" w:themeColor="text1"/>
        </w:rPr>
        <w:t>.</w:t>
      </w:r>
      <w:proofErr w:type="gramEnd"/>
      <w:r w:rsidR="00A42654" w:rsidRPr="00F97C61">
        <w:rPr>
          <w:color w:val="000000" w:themeColor="text1"/>
        </w:rPr>
        <w:t xml:space="preserve">70’tir. Ölçeğin iç tutarlılık katsayısının beklenen değerlerin üzerinde olduğu görülmektedir. </w:t>
      </w:r>
      <w:r w:rsidR="00B24AB4" w:rsidRPr="00F97C61">
        <w:rPr>
          <w:color w:val="000000" w:themeColor="text1"/>
        </w:rPr>
        <w:t>Alt boyutlara ait iç tutarlılık katsayıları Tablo 2’de gösterilmektedir.</w:t>
      </w:r>
    </w:p>
    <w:p w14:paraId="68200BFB" w14:textId="2267E2D7" w:rsidR="004C22A1" w:rsidRPr="00F97C61" w:rsidRDefault="00A42654" w:rsidP="00FA6D6E">
      <w:pPr>
        <w:spacing w:line="360" w:lineRule="auto"/>
        <w:ind w:left="851"/>
        <w:rPr>
          <w:color w:val="000000" w:themeColor="text1"/>
        </w:rPr>
      </w:pPr>
      <w:r w:rsidRPr="00F97C61">
        <w:rPr>
          <w:color w:val="000000" w:themeColor="text1"/>
        </w:rPr>
        <w:t xml:space="preserve">18 yaş altındaki örnekleme ait veriler üzerinden yapılan güvenirlik analizi sonucu </w:t>
      </w:r>
      <w:proofErr w:type="spellStart"/>
      <w:r w:rsidRPr="00F97C61">
        <w:rPr>
          <w:color w:val="000000" w:themeColor="text1"/>
        </w:rPr>
        <w:t>Cronbach</w:t>
      </w:r>
      <w:proofErr w:type="spellEnd"/>
      <w:r w:rsidRPr="00F97C61">
        <w:rPr>
          <w:color w:val="000000" w:themeColor="text1"/>
        </w:rPr>
        <w:t xml:space="preserve"> alfa </w:t>
      </w:r>
      <w:r w:rsidR="00FA6D6E" w:rsidRPr="00F97C61">
        <w:rPr>
          <w:color w:val="000000" w:themeColor="text1"/>
        </w:rPr>
        <w:t>katsayısının</w:t>
      </w:r>
      <w:r w:rsidRPr="00F97C61">
        <w:rPr>
          <w:color w:val="000000" w:themeColor="text1"/>
        </w:rPr>
        <w:t xml:space="preserve"> ölçeğin geneli için .87</w:t>
      </w:r>
      <w:r w:rsidR="0070749F" w:rsidRPr="00F97C61">
        <w:rPr>
          <w:color w:val="000000" w:themeColor="text1"/>
        </w:rPr>
        <w:t xml:space="preserve"> </w:t>
      </w:r>
      <w:proofErr w:type="gramStart"/>
      <w:r w:rsidR="00FA6D6E" w:rsidRPr="00F97C61">
        <w:rPr>
          <w:color w:val="000000" w:themeColor="text1"/>
        </w:rPr>
        <w:t>olduğu,</w:t>
      </w:r>
      <w:r w:rsidRPr="00F97C61">
        <w:rPr>
          <w:color w:val="000000" w:themeColor="text1"/>
        </w:rPr>
        <w:t xml:space="preserve">  18</w:t>
      </w:r>
      <w:proofErr w:type="gramEnd"/>
      <w:r w:rsidRPr="00F97C61">
        <w:rPr>
          <w:color w:val="000000" w:themeColor="text1"/>
        </w:rPr>
        <w:t xml:space="preserve"> yaş </w:t>
      </w:r>
      <w:r w:rsidR="00FA6D6E" w:rsidRPr="00F97C61">
        <w:rPr>
          <w:color w:val="000000" w:themeColor="text1"/>
        </w:rPr>
        <w:t xml:space="preserve">ve </w:t>
      </w:r>
      <w:r w:rsidRPr="00F97C61">
        <w:rPr>
          <w:color w:val="000000" w:themeColor="text1"/>
        </w:rPr>
        <w:t xml:space="preserve">üstündeki örnekleme ait veriler üzerinden yapılan güvenirlik analizi sonucu </w:t>
      </w:r>
      <w:proofErr w:type="spellStart"/>
      <w:r w:rsidRPr="00F97C61">
        <w:rPr>
          <w:color w:val="000000" w:themeColor="text1"/>
        </w:rPr>
        <w:t>Cronbach</w:t>
      </w:r>
      <w:proofErr w:type="spellEnd"/>
      <w:r w:rsidRPr="00F97C61">
        <w:rPr>
          <w:color w:val="000000" w:themeColor="text1"/>
        </w:rPr>
        <w:t xml:space="preserve"> alfa katsayı</w:t>
      </w:r>
      <w:r w:rsidR="00FA6D6E" w:rsidRPr="00F97C61">
        <w:rPr>
          <w:color w:val="000000" w:themeColor="text1"/>
        </w:rPr>
        <w:t>sının</w:t>
      </w:r>
      <w:r w:rsidRPr="00F97C61">
        <w:rPr>
          <w:color w:val="000000" w:themeColor="text1"/>
        </w:rPr>
        <w:t>, ölçeğin geneli için .8</w:t>
      </w:r>
      <w:r w:rsidR="005147DC" w:rsidRPr="00F97C61">
        <w:rPr>
          <w:color w:val="000000" w:themeColor="text1"/>
        </w:rPr>
        <w:t>6</w:t>
      </w:r>
      <w:r w:rsidR="00FA6D6E" w:rsidRPr="00F97C61">
        <w:rPr>
          <w:color w:val="000000" w:themeColor="text1"/>
        </w:rPr>
        <w:t xml:space="preserve"> olduğu görülmüştür. </w:t>
      </w:r>
      <w:r w:rsidR="004C22A1" w:rsidRPr="00F97C61">
        <w:rPr>
          <w:color w:val="000000" w:themeColor="text1"/>
        </w:rPr>
        <w:t xml:space="preserve">Tüm ölçek için iki yarı test korelasyonlarından </w:t>
      </w:r>
      <w:proofErr w:type="spellStart"/>
      <w:r w:rsidR="004C22A1" w:rsidRPr="00F97C61">
        <w:rPr>
          <w:color w:val="000000" w:themeColor="text1"/>
        </w:rPr>
        <w:t>Spearman</w:t>
      </w:r>
      <w:proofErr w:type="spellEnd"/>
      <w:r w:rsidR="004C22A1" w:rsidRPr="00F97C61">
        <w:rPr>
          <w:color w:val="000000" w:themeColor="text1"/>
        </w:rPr>
        <w:t xml:space="preserve"> Brown katsayısı </w:t>
      </w:r>
      <w:r w:rsidR="00D65CC7" w:rsidRPr="00F97C61">
        <w:rPr>
          <w:color w:val="000000" w:themeColor="text1"/>
        </w:rPr>
        <w:t>.</w:t>
      </w:r>
      <w:r w:rsidR="004C22A1" w:rsidRPr="00F97C61">
        <w:rPr>
          <w:color w:val="000000" w:themeColor="text1"/>
        </w:rPr>
        <w:t>8</w:t>
      </w:r>
      <w:r w:rsidR="00D65CC7" w:rsidRPr="00F97C61">
        <w:rPr>
          <w:color w:val="000000" w:themeColor="text1"/>
        </w:rPr>
        <w:t>0</w:t>
      </w:r>
      <w:r w:rsidR="004C22A1" w:rsidRPr="00F97C61">
        <w:rPr>
          <w:color w:val="000000" w:themeColor="text1"/>
        </w:rPr>
        <w:t xml:space="preserve">, </w:t>
      </w:r>
      <w:proofErr w:type="spellStart"/>
      <w:r w:rsidR="004C22A1" w:rsidRPr="00F97C61">
        <w:rPr>
          <w:color w:val="000000" w:themeColor="text1"/>
        </w:rPr>
        <w:t>Guttman</w:t>
      </w:r>
      <w:proofErr w:type="spellEnd"/>
      <w:r w:rsidR="004C22A1" w:rsidRPr="00F97C61">
        <w:rPr>
          <w:color w:val="000000" w:themeColor="text1"/>
        </w:rPr>
        <w:t xml:space="preserve"> katsayısı ise </w:t>
      </w:r>
      <w:r w:rsidR="00D65CC7" w:rsidRPr="00F97C61">
        <w:rPr>
          <w:color w:val="000000" w:themeColor="text1"/>
        </w:rPr>
        <w:t>.79</w:t>
      </w:r>
      <w:r w:rsidR="004C22A1" w:rsidRPr="00F97C61">
        <w:rPr>
          <w:color w:val="000000" w:themeColor="text1"/>
        </w:rPr>
        <w:t xml:space="preserve"> bulunmuştur.</w:t>
      </w:r>
      <w:r w:rsidR="00B24AB4" w:rsidRPr="00F97C61">
        <w:rPr>
          <w:color w:val="000000" w:themeColor="text1"/>
        </w:rPr>
        <w:t xml:space="preserve"> </w:t>
      </w:r>
    </w:p>
    <w:p w14:paraId="7D74FD47" w14:textId="2D38AE83" w:rsidR="00EB01B9" w:rsidRPr="00F97C61" w:rsidRDefault="00EB01B9">
      <w:pPr>
        <w:spacing w:after="0" w:line="240" w:lineRule="auto"/>
        <w:jc w:val="left"/>
        <w:rPr>
          <w:color w:val="000000" w:themeColor="text1"/>
        </w:rPr>
      </w:pPr>
    </w:p>
    <w:p w14:paraId="179F4BC9" w14:textId="77777777" w:rsidR="00FA6D6E" w:rsidRPr="00F97C61" w:rsidRDefault="00FA6D6E">
      <w:pPr>
        <w:spacing w:after="0" w:line="240" w:lineRule="auto"/>
        <w:jc w:val="left"/>
        <w:rPr>
          <w:b/>
          <w:bCs/>
          <w:color w:val="000000" w:themeColor="text1"/>
        </w:rPr>
      </w:pPr>
      <w:r w:rsidRPr="00F97C61">
        <w:rPr>
          <w:b/>
          <w:bCs/>
          <w:color w:val="000000" w:themeColor="text1"/>
        </w:rPr>
        <w:br w:type="page"/>
      </w:r>
    </w:p>
    <w:p w14:paraId="250E81AF" w14:textId="10DA0931" w:rsidR="00A42654" w:rsidRPr="00F97C61" w:rsidRDefault="00A42654" w:rsidP="00BD0596">
      <w:pPr>
        <w:spacing w:line="360" w:lineRule="auto"/>
        <w:ind w:left="851"/>
        <w:rPr>
          <w:b/>
          <w:bCs/>
          <w:color w:val="000000" w:themeColor="text1"/>
        </w:rPr>
      </w:pPr>
      <w:r w:rsidRPr="00F97C61">
        <w:rPr>
          <w:b/>
          <w:bCs/>
          <w:color w:val="000000" w:themeColor="text1"/>
        </w:rPr>
        <w:lastRenderedPageBreak/>
        <w:t>Tabl</w:t>
      </w:r>
      <w:r w:rsidR="00BD4A0E" w:rsidRPr="00F97C61">
        <w:rPr>
          <w:b/>
          <w:bCs/>
          <w:color w:val="000000" w:themeColor="text1"/>
        </w:rPr>
        <w:t xml:space="preserve">o 2. </w:t>
      </w:r>
      <w:r w:rsidR="004C22A1" w:rsidRPr="00F97C61">
        <w:rPr>
          <w:b/>
          <w:bCs/>
          <w:color w:val="000000" w:themeColor="text1"/>
        </w:rPr>
        <w:t xml:space="preserve">Kısa Telkine Yatkınlık Ölçeği </w:t>
      </w:r>
      <w:r w:rsidR="00F8305B" w:rsidRPr="00F97C61">
        <w:rPr>
          <w:b/>
          <w:bCs/>
          <w:color w:val="000000" w:themeColor="text1"/>
        </w:rPr>
        <w:t>Güvenirlik</w:t>
      </w:r>
      <w:r w:rsidRPr="00F97C61">
        <w:rPr>
          <w:b/>
          <w:bCs/>
          <w:color w:val="000000" w:themeColor="text1"/>
        </w:rPr>
        <w:t xml:space="preserve"> Katsayıları</w:t>
      </w:r>
    </w:p>
    <w:tbl>
      <w:tblPr>
        <w:tblW w:w="9573" w:type="dxa"/>
        <w:tblInd w:w="851" w:type="dxa"/>
        <w:tblLayout w:type="fixed"/>
        <w:tblCellMar>
          <w:left w:w="0" w:type="dxa"/>
          <w:right w:w="0" w:type="dxa"/>
        </w:tblCellMar>
        <w:tblLook w:val="0000" w:firstRow="0" w:lastRow="0" w:firstColumn="0" w:lastColumn="0" w:noHBand="0" w:noVBand="0"/>
      </w:tblPr>
      <w:tblGrid>
        <w:gridCol w:w="4400"/>
        <w:gridCol w:w="905"/>
        <w:gridCol w:w="776"/>
        <w:gridCol w:w="1006"/>
        <w:gridCol w:w="1192"/>
        <w:gridCol w:w="1294"/>
      </w:tblGrid>
      <w:tr w:rsidR="00F97C61" w:rsidRPr="00F97C61" w14:paraId="406B7DC4" w14:textId="0C4B7286" w:rsidTr="00D37A42">
        <w:trPr>
          <w:cantSplit/>
          <w:trHeight w:val="1104"/>
        </w:trPr>
        <w:tc>
          <w:tcPr>
            <w:tcW w:w="4400" w:type="dxa"/>
            <w:tcBorders>
              <w:top w:val="single" w:sz="4" w:space="0" w:color="auto"/>
              <w:bottom w:val="single" w:sz="4" w:space="0" w:color="auto"/>
            </w:tcBorders>
            <w:shd w:val="clear" w:color="auto" w:fill="FFFFFF"/>
            <w:vAlign w:val="bottom"/>
          </w:tcPr>
          <w:p w14:paraId="29B17F80" w14:textId="77777777" w:rsidR="00D37A42" w:rsidRPr="00F97C61" w:rsidRDefault="00D37A42" w:rsidP="00FA6D6E">
            <w:pPr>
              <w:spacing w:after="0" w:line="240" w:lineRule="auto"/>
              <w:jc w:val="left"/>
              <w:rPr>
                <w:b/>
                <w:bCs/>
                <w:color w:val="000000" w:themeColor="text1"/>
                <w:sz w:val="18"/>
                <w:szCs w:val="18"/>
              </w:rPr>
            </w:pPr>
          </w:p>
        </w:tc>
        <w:tc>
          <w:tcPr>
            <w:tcW w:w="905" w:type="dxa"/>
            <w:tcBorders>
              <w:top w:val="single" w:sz="4" w:space="0" w:color="auto"/>
              <w:bottom w:val="single" w:sz="4" w:space="0" w:color="auto"/>
            </w:tcBorders>
            <w:shd w:val="clear" w:color="auto" w:fill="FFFFFF"/>
            <w:vAlign w:val="bottom"/>
          </w:tcPr>
          <w:p w14:paraId="19751CA8" w14:textId="77777777" w:rsidR="00D37A42" w:rsidRPr="00F97C61" w:rsidRDefault="00D37A42" w:rsidP="00F0135A">
            <w:pPr>
              <w:spacing w:after="0" w:line="240" w:lineRule="auto"/>
              <w:jc w:val="center"/>
              <w:rPr>
                <w:b/>
                <w:bCs/>
                <w:color w:val="000000" w:themeColor="text1"/>
                <w:sz w:val="18"/>
                <w:szCs w:val="18"/>
              </w:rPr>
            </w:pPr>
            <w:r w:rsidRPr="00F97C61">
              <w:rPr>
                <w:b/>
                <w:bCs/>
                <w:color w:val="000000" w:themeColor="text1"/>
                <w:sz w:val="18"/>
                <w:szCs w:val="18"/>
              </w:rPr>
              <w:t>Madde çıktığında ölçek ortalaması</w:t>
            </w:r>
          </w:p>
        </w:tc>
        <w:tc>
          <w:tcPr>
            <w:tcW w:w="776" w:type="dxa"/>
            <w:tcBorders>
              <w:top w:val="single" w:sz="4" w:space="0" w:color="auto"/>
              <w:bottom w:val="single" w:sz="4" w:space="0" w:color="auto"/>
            </w:tcBorders>
            <w:shd w:val="clear" w:color="auto" w:fill="FFFFFF"/>
            <w:vAlign w:val="bottom"/>
          </w:tcPr>
          <w:p w14:paraId="3CD913A0" w14:textId="77777777" w:rsidR="00D37A42" w:rsidRPr="00F97C61" w:rsidRDefault="00D37A42" w:rsidP="00F0135A">
            <w:pPr>
              <w:spacing w:after="0" w:line="240" w:lineRule="auto"/>
              <w:jc w:val="center"/>
              <w:rPr>
                <w:b/>
                <w:bCs/>
                <w:color w:val="000000" w:themeColor="text1"/>
                <w:sz w:val="18"/>
                <w:szCs w:val="18"/>
              </w:rPr>
            </w:pPr>
            <w:r w:rsidRPr="00F97C61">
              <w:rPr>
                <w:b/>
                <w:bCs/>
                <w:color w:val="000000" w:themeColor="text1"/>
                <w:sz w:val="18"/>
                <w:szCs w:val="18"/>
              </w:rPr>
              <w:t xml:space="preserve">Madde çıktığında ölçek </w:t>
            </w:r>
            <w:proofErr w:type="spellStart"/>
            <w:r w:rsidRPr="00F97C61">
              <w:rPr>
                <w:b/>
                <w:bCs/>
                <w:color w:val="000000" w:themeColor="text1"/>
                <w:sz w:val="18"/>
                <w:szCs w:val="18"/>
              </w:rPr>
              <w:t>varyansı</w:t>
            </w:r>
            <w:proofErr w:type="spellEnd"/>
          </w:p>
        </w:tc>
        <w:tc>
          <w:tcPr>
            <w:tcW w:w="1006" w:type="dxa"/>
            <w:tcBorders>
              <w:top w:val="single" w:sz="4" w:space="0" w:color="auto"/>
              <w:bottom w:val="single" w:sz="4" w:space="0" w:color="auto"/>
            </w:tcBorders>
            <w:shd w:val="clear" w:color="auto" w:fill="FFFFFF"/>
            <w:vAlign w:val="bottom"/>
          </w:tcPr>
          <w:p w14:paraId="6ED2BC9C" w14:textId="50B13BCD" w:rsidR="00D37A42" w:rsidRPr="00F97C61" w:rsidRDefault="00D37A42" w:rsidP="00D37A42">
            <w:pPr>
              <w:spacing w:after="0" w:line="240" w:lineRule="auto"/>
              <w:jc w:val="center"/>
              <w:rPr>
                <w:b/>
                <w:bCs/>
                <w:color w:val="000000" w:themeColor="text1"/>
                <w:sz w:val="18"/>
                <w:szCs w:val="18"/>
              </w:rPr>
            </w:pPr>
            <w:r w:rsidRPr="00F97C61">
              <w:rPr>
                <w:b/>
                <w:bCs/>
                <w:color w:val="000000" w:themeColor="text1"/>
                <w:sz w:val="18"/>
                <w:szCs w:val="18"/>
              </w:rPr>
              <w:t>Madde toplam korelasyonu</w:t>
            </w:r>
          </w:p>
        </w:tc>
        <w:tc>
          <w:tcPr>
            <w:tcW w:w="1192" w:type="dxa"/>
            <w:tcBorders>
              <w:top w:val="single" w:sz="4" w:space="0" w:color="auto"/>
              <w:bottom w:val="single" w:sz="4" w:space="0" w:color="auto"/>
            </w:tcBorders>
            <w:shd w:val="clear" w:color="auto" w:fill="FFFFFF"/>
            <w:vAlign w:val="bottom"/>
          </w:tcPr>
          <w:p w14:paraId="259AA48F" w14:textId="77777777" w:rsidR="00D37A42" w:rsidRPr="00F97C61" w:rsidRDefault="00D37A42" w:rsidP="00F0135A">
            <w:pPr>
              <w:spacing w:after="0" w:line="240" w:lineRule="auto"/>
              <w:jc w:val="center"/>
              <w:rPr>
                <w:b/>
                <w:bCs/>
                <w:color w:val="000000" w:themeColor="text1"/>
                <w:sz w:val="18"/>
                <w:szCs w:val="18"/>
              </w:rPr>
            </w:pPr>
            <w:r w:rsidRPr="00F97C61">
              <w:rPr>
                <w:b/>
                <w:bCs/>
                <w:color w:val="000000" w:themeColor="text1"/>
                <w:sz w:val="18"/>
                <w:szCs w:val="18"/>
              </w:rPr>
              <w:t>Madde çıktığında</w:t>
            </w:r>
          </w:p>
          <w:p w14:paraId="38A7CD67" w14:textId="61C3D0DE" w:rsidR="00D37A42" w:rsidRPr="00F97C61" w:rsidRDefault="00D37A42" w:rsidP="00F0135A">
            <w:pPr>
              <w:spacing w:after="0" w:line="240" w:lineRule="auto"/>
              <w:jc w:val="center"/>
              <w:rPr>
                <w:b/>
                <w:bCs/>
                <w:color w:val="000000" w:themeColor="text1"/>
                <w:sz w:val="18"/>
                <w:szCs w:val="18"/>
              </w:rPr>
            </w:pPr>
            <w:proofErr w:type="spellStart"/>
            <w:r w:rsidRPr="00F97C61">
              <w:rPr>
                <w:b/>
                <w:bCs/>
                <w:color w:val="000000" w:themeColor="text1"/>
                <w:sz w:val="18"/>
                <w:szCs w:val="18"/>
              </w:rPr>
              <w:t>Crobach</w:t>
            </w:r>
            <w:proofErr w:type="spellEnd"/>
            <w:r w:rsidRPr="00F97C61">
              <w:rPr>
                <w:b/>
                <w:bCs/>
                <w:color w:val="000000" w:themeColor="text1"/>
                <w:sz w:val="18"/>
                <w:szCs w:val="18"/>
              </w:rPr>
              <w:t xml:space="preserve"> alfa katsayısı</w:t>
            </w:r>
          </w:p>
        </w:tc>
        <w:tc>
          <w:tcPr>
            <w:tcW w:w="1294" w:type="dxa"/>
            <w:tcBorders>
              <w:top w:val="single" w:sz="4" w:space="0" w:color="auto"/>
              <w:bottom w:val="single" w:sz="4" w:space="0" w:color="auto"/>
            </w:tcBorders>
            <w:shd w:val="clear" w:color="auto" w:fill="FFFFFF"/>
          </w:tcPr>
          <w:p w14:paraId="1441BFBF" w14:textId="77777777" w:rsidR="005147DC" w:rsidRPr="00F97C61" w:rsidRDefault="005147DC" w:rsidP="00F0135A">
            <w:pPr>
              <w:spacing w:after="0" w:line="240" w:lineRule="auto"/>
              <w:jc w:val="center"/>
              <w:rPr>
                <w:b/>
                <w:bCs/>
                <w:color w:val="000000" w:themeColor="text1"/>
                <w:sz w:val="18"/>
                <w:szCs w:val="18"/>
              </w:rPr>
            </w:pPr>
          </w:p>
          <w:p w14:paraId="0EB6A8AF" w14:textId="77777777" w:rsidR="005147DC" w:rsidRPr="00F97C61" w:rsidRDefault="005147DC" w:rsidP="00F0135A">
            <w:pPr>
              <w:spacing w:after="0" w:line="240" w:lineRule="auto"/>
              <w:jc w:val="center"/>
              <w:rPr>
                <w:b/>
                <w:bCs/>
                <w:color w:val="000000" w:themeColor="text1"/>
                <w:sz w:val="18"/>
                <w:szCs w:val="18"/>
              </w:rPr>
            </w:pPr>
          </w:p>
          <w:p w14:paraId="7F797DE4" w14:textId="77777777" w:rsidR="005147DC" w:rsidRPr="00F97C61" w:rsidRDefault="005147DC" w:rsidP="00F0135A">
            <w:pPr>
              <w:spacing w:after="0" w:line="240" w:lineRule="auto"/>
              <w:jc w:val="center"/>
              <w:rPr>
                <w:b/>
                <w:bCs/>
                <w:color w:val="000000" w:themeColor="text1"/>
                <w:sz w:val="18"/>
                <w:szCs w:val="18"/>
              </w:rPr>
            </w:pPr>
          </w:p>
          <w:p w14:paraId="45753740" w14:textId="1071F966" w:rsidR="00D37A42" w:rsidRPr="00F97C61" w:rsidRDefault="005147DC" w:rsidP="00F0135A">
            <w:pPr>
              <w:spacing w:after="0" w:line="240" w:lineRule="auto"/>
              <w:jc w:val="center"/>
              <w:rPr>
                <w:b/>
                <w:bCs/>
                <w:color w:val="000000" w:themeColor="text1"/>
                <w:sz w:val="18"/>
                <w:szCs w:val="18"/>
              </w:rPr>
            </w:pPr>
            <w:proofErr w:type="spellStart"/>
            <w:r w:rsidRPr="00F97C61">
              <w:rPr>
                <w:b/>
                <w:bCs/>
                <w:color w:val="000000" w:themeColor="text1"/>
                <w:sz w:val="18"/>
                <w:szCs w:val="18"/>
              </w:rPr>
              <w:t>Crobach</w:t>
            </w:r>
            <w:proofErr w:type="spellEnd"/>
            <w:r w:rsidRPr="00F97C61">
              <w:rPr>
                <w:b/>
                <w:bCs/>
                <w:color w:val="000000" w:themeColor="text1"/>
                <w:sz w:val="18"/>
                <w:szCs w:val="18"/>
              </w:rPr>
              <w:t xml:space="preserve"> alfa</w:t>
            </w:r>
          </w:p>
        </w:tc>
      </w:tr>
      <w:tr w:rsidR="00F97C61" w:rsidRPr="00F97C61" w14:paraId="5B571E7C" w14:textId="3CD57169" w:rsidTr="00D37A42">
        <w:trPr>
          <w:cantSplit/>
          <w:trHeight w:val="283"/>
        </w:trPr>
        <w:tc>
          <w:tcPr>
            <w:tcW w:w="4400" w:type="dxa"/>
            <w:tcBorders>
              <w:top w:val="single" w:sz="4" w:space="0" w:color="auto"/>
            </w:tcBorders>
            <w:shd w:val="clear" w:color="auto" w:fill="auto"/>
          </w:tcPr>
          <w:p w14:paraId="51C35757" w14:textId="36B0058E" w:rsidR="00D37A42" w:rsidRPr="00F97C61" w:rsidRDefault="00D37A42" w:rsidP="00D37A42">
            <w:pPr>
              <w:spacing w:after="0" w:line="240" w:lineRule="auto"/>
              <w:jc w:val="left"/>
              <w:rPr>
                <w:b/>
                <w:color w:val="000000" w:themeColor="text1"/>
                <w:sz w:val="18"/>
                <w:szCs w:val="18"/>
              </w:rPr>
            </w:pPr>
            <w:bookmarkStart w:id="2" w:name="_Hlk75808910"/>
            <w:r w:rsidRPr="00F97C61">
              <w:rPr>
                <w:b/>
                <w:color w:val="000000" w:themeColor="text1"/>
                <w:sz w:val="18"/>
                <w:szCs w:val="18"/>
              </w:rPr>
              <w:t>Faktör 1</w:t>
            </w:r>
          </w:p>
        </w:tc>
        <w:tc>
          <w:tcPr>
            <w:tcW w:w="905" w:type="dxa"/>
            <w:tcBorders>
              <w:top w:val="single" w:sz="4" w:space="0" w:color="auto"/>
              <w:left w:val="nil"/>
            </w:tcBorders>
            <w:shd w:val="clear" w:color="auto" w:fill="FFFFFF"/>
          </w:tcPr>
          <w:p w14:paraId="4DFA7BBF" w14:textId="2604117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46,88</w:t>
            </w:r>
          </w:p>
        </w:tc>
        <w:tc>
          <w:tcPr>
            <w:tcW w:w="776" w:type="dxa"/>
            <w:tcBorders>
              <w:top w:val="single" w:sz="4" w:space="0" w:color="auto"/>
            </w:tcBorders>
            <w:shd w:val="clear" w:color="auto" w:fill="FFFFFF"/>
          </w:tcPr>
          <w:p w14:paraId="1D6A31BE" w14:textId="11F1C8AB"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116,45</w:t>
            </w:r>
          </w:p>
        </w:tc>
        <w:tc>
          <w:tcPr>
            <w:tcW w:w="1006" w:type="dxa"/>
            <w:tcBorders>
              <w:top w:val="single" w:sz="4" w:space="0" w:color="auto"/>
            </w:tcBorders>
            <w:shd w:val="clear" w:color="auto" w:fill="FFFFFF"/>
          </w:tcPr>
          <w:p w14:paraId="0E031A52" w14:textId="2C15574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,43</w:t>
            </w:r>
          </w:p>
        </w:tc>
        <w:tc>
          <w:tcPr>
            <w:tcW w:w="1192" w:type="dxa"/>
            <w:tcBorders>
              <w:top w:val="single" w:sz="4" w:space="0" w:color="auto"/>
            </w:tcBorders>
            <w:shd w:val="clear" w:color="auto" w:fill="FFFFFF"/>
          </w:tcPr>
          <w:p w14:paraId="28157C87" w14:textId="7617653E"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top w:val="single" w:sz="4" w:space="0" w:color="auto"/>
              <w:right w:val="nil"/>
            </w:tcBorders>
            <w:shd w:val="clear" w:color="auto" w:fill="FFFFFF"/>
          </w:tcPr>
          <w:p w14:paraId="636C96D8"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2816BA2E" w14:textId="57E3C42B" w:rsidTr="00D37A42">
        <w:trPr>
          <w:cantSplit/>
          <w:trHeight w:val="283"/>
        </w:trPr>
        <w:tc>
          <w:tcPr>
            <w:tcW w:w="4400" w:type="dxa"/>
            <w:shd w:val="clear" w:color="auto" w:fill="auto"/>
          </w:tcPr>
          <w:p w14:paraId="30F0E8B9" w14:textId="12F0D726"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 xml:space="preserve">Madde 16: Sevdiğim şeylerin </w:t>
            </w:r>
            <w:r w:rsidRPr="00F97C61">
              <w:rPr>
                <w:bCs/>
                <w:color w:val="000000" w:themeColor="text1"/>
                <w:sz w:val="18"/>
                <w:szCs w:val="18"/>
                <w:lang w:val="pt-PT"/>
              </w:rPr>
              <w:t>ç</w:t>
            </w:r>
            <w:proofErr w:type="spellStart"/>
            <w:r w:rsidRPr="00F97C61">
              <w:rPr>
                <w:bCs/>
                <w:color w:val="000000" w:themeColor="text1"/>
                <w:sz w:val="18"/>
                <w:szCs w:val="18"/>
              </w:rPr>
              <w:t>oğunu</w:t>
            </w:r>
            <w:proofErr w:type="spellEnd"/>
            <w:r w:rsidRPr="00F97C61">
              <w:rPr>
                <w:bCs/>
                <w:color w:val="000000" w:themeColor="text1"/>
                <w:sz w:val="18"/>
                <w:szCs w:val="18"/>
              </w:rPr>
              <w:t xml:space="preserve"> arkadaşlarım aracılığıyla keşfetmişimdir.</w:t>
            </w:r>
          </w:p>
        </w:tc>
        <w:tc>
          <w:tcPr>
            <w:tcW w:w="905" w:type="dxa"/>
            <w:tcBorders>
              <w:left w:val="nil"/>
            </w:tcBorders>
            <w:shd w:val="clear" w:color="auto" w:fill="FFFFFF"/>
          </w:tcPr>
          <w:p w14:paraId="251CD414" w14:textId="051F37D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46,69</w:t>
            </w:r>
          </w:p>
        </w:tc>
        <w:tc>
          <w:tcPr>
            <w:tcW w:w="776" w:type="dxa"/>
            <w:shd w:val="clear" w:color="auto" w:fill="FFFFFF"/>
          </w:tcPr>
          <w:p w14:paraId="5E00D90F" w14:textId="58FD5D4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114,21</w:t>
            </w:r>
          </w:p>
        </w:tc>
        <w:tc>
          <w:tcPr>
            <w:tcW w:w="1006" w:type="dxa"/>
            <w:shd w:val="clear" w:color="auto" w:fill="FFFFFF"/>
          </w:tcPr>
          <w:p w14:paraId="6193ED76" w14:textId="49C2FF69"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,50</w:t>
            </w:r>
          </w:p>
        </w:tc>
        <w:tc>
          <w:tcPr>
            <w:tcW w:w="1192" w:type="dxa"/>
            <w:shd w:val="clear" w:color="auto" w:fill="FFFFFF"/>
          </w:tcPr>
          <w:p w14:paraId="0309BFFB" w14:textId="33A17B39"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57E98E72" w14:textId="0513E406" w:rsidR="00D37A42" w:rsidRPr="00F97C61" w:rsidRDefault="005147DC"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.69</w:t>
            </w:r>
          </w:p>
        </w:tc>
      </w:tr>
      <w:tr w:rsidR="00F97C61" w:rsidRPr="00F97C61" w14:paraId="139A5985" w14:textId="360A89AD" w:rsidTr="00D37A42">
        <w:trPr>
          <w:cantSplit/>
          <w:trHeight w:val="283"/>
        </w:trPr>
        <w:tc>
          <w:tcPr>
            <w:tcW w:w="4400" w:type="dxa"/>
            <w:shd w:val="clear" w:color="auto" w:fill="auto"/>
          </w:tcPr>
          <w:p w14:paraId="7EE00735" w14:textId="3C7A8D8B"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6: Arkadaşlarımdan bir</w:t>
            </w:r>
            <w:r w:rsidRPr="00F97C61">
              <w:rPr>
                <w:bCs/>
                <w:color w:val="000000" w:themeColor="text1"/>
                <w:sz w:val="18"/>
                <w:szCs w:val="18"/>
                <w:lang w:val="pt-PT"/>
              </w:rPr>
              <w:t>ç</w:t>
            </w:r>
            <w:r w:rsidRPr="00F97C61">
              <w:rPr>
                <w:bCs/>
                <w:color w:val="000000" w:themeColor="text1"/>
                <w:sz w:val="18"/>
                <w:szCs w:val="18"/>
              </w:rPr>
              <w:t>ok alışkanlık edinmişimdir.</w:t>
            </w:r>
          </w:p>
        </w:tc>
        <w:tc>
          <w:tcPr>
            <w:tcW w:w="905" w:type="dxa"/>
            <w:tcBorders>
              <w:left w:val="nil"/>
            </w:tcBorders>
            <w:shd w:val="clear" w:color="auto" w:fill="FFFFFF"/>
          </w:tcPr>
          <w:p w14:paraId="73818A77" w14:textId="19AEB1C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46,92</w:t>
            </w:r>
          </w:p>
        </w:tc>
        <w:tc>
          <w:tcPr>
            <w:tcW w:w="776" w:type="dxa"/>
            <w:shd w:val="clear" w:color="auto" w:fill="FFFFFF"/>
          </w:tcPr>
          <w:p w14:paraId="4BA9EE24" w14:textId="0AF11955"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114,97</w:t>
            </w:r>
          </w:p>
        </w:tc>
        <w:tc>
          <w:tcPr>
            <w:tcW w:w="1006" w:type="dxa"/>
            <w:shd w:val="clear" w:color="auto" w:fill="FFFFFF"/>
          </w:tcPr>
          <w:p w14:paraId="5121BF1B" w14:textId="7DE1374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,54</w:t>
            </w:r>
          </w:p>
        </w:tc>
        <w:tc>
          <w:tcPr>
            <w:tcW w:w="1192" w:type="dxa"/>
            <w:shd w:val="clear" w:color="auto" w:fill="FFFFFF"/>
          </w:tcPr>
          <w:p w14:paraId="16AD5B75" w14:textId="11C3A975"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4D5078A8"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3EFEC5FC" w14:textId="23319176" w:rsidTr="00D37A42">
        <w:trPr>
          <w:cantSplit/>
          <w:trHeight w:val="283"/>
        </w:trPr>
        <w:tc>
          <w:tcPr>
            <w:tcW w:w="4400" w:type="dxa"/>
            <w:tcBorders>
              <w:bottom w:val="single" w:sz="4" w:space="0" w:color="auto"/>
            </w:tcBorders>
            <w:shd w:val="clear" w:color="auto" w:fill="auto"/>
          </w:tcPr>
          <w:p w14:paraId="55CE77E4" w14:textId="1BE570E6"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19: Başkalarıyla konuştuktan sonra sık sık fikrimi değiştiririm.</w:t>
            </w:r>
          </w:p>
        </w:tc>
        <w:tc>
          <w:tcPr>
            <w:tcW w:w="905" w:type="dxa"/>
            <w:tcBorders>
              <w:left w:val="nil"/>
              <w:bottom w:val="single" w:sz="4" w:space="0" w:color="auto"/>
            </w:tcBorders>
            <w:shd w:val="clear" w:color="auto" w:fill="FFFFFF"/>
          </w:tcPr>
          <w:p w14:paraId="6CDA4D3A" w14:textId="5DE75511"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47,32</w:t>
            </w:r>
          </w:p>
        </w:tc>
        <w:tc>
          <w:tcPr>
            <w:tcW w:w="776" w:type="dxa"/>
            <w:tcBorders>
              <w:bottom w:val="single" w:sz="4" w:space="0" w:color="auto"/>
            </w:tcBorders>
            <w:shd w:val="clear" w:color="auto" w:fill="FFFFFF"/>
          </w:tcPr>
          <w:p w14:paraId="0DD19D63" w14:textId="5E659AD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114,59</w:t>
            </w:r>
          </w:p>
        </w:tc>
        <w:tc>
          <w:tcPr>
            <w:tcW w:w="1006" w:type="dxa"/>
            <w:tcBorders>
              <w:bottom w:val="single" w:sz="4" w:space="0" w:color="auto"/>
            </w:tcBorders>
            <w:shd w:val="clear" w:color="auto" w:fill="FFFFFF"/>
          </w:tcPr>
          <w:p w14:paraId="3D8FA76C" w14:textId="499FCBA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,48</w:t>
            </w:r>
          </w:p>
        </w:tc>
        <w:tc>
          <w:tcPr>
            <w:tcW w:w="1192" w:type="dxa"/>
            <w:tcBorders>
              <w:bottom w:val="single" w:sz="4" w:space="0" w:color="auto"/>
            </w:tcBorders>
            <w:shd w:val="clear" w:color="auto" w:fill="FFFFFF"/>
          </w:tcPr>
          <w:p w14:paraId="4B16A683" w14:textId="6EAC4A4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,88</w:t>
            </w:r>
          </w:p>
        </w:tc>
        <w:tc>
          <w:tcPr>
            <w:tcW w:w="1294" w:type="dxa"/>
            <w:tcBorders>
              <w:bottom w:val="single" w:sz="4" w:space="0" w:color="auto"/>
              <w:right w:val="nil"/>
            </w:tcBorders>
            <w:shd w:val="clear" w:color="auto" w:fill="FFFFFF"/>
          </w:tcPr>
          <w:p w14:paraId="3FA619D5"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5A7E5EE6" w14:textId="6239E289" w:rsidTr="00D37A42">
        <w:trPr>
          <w:cantSplit/>
          <w:trHeight w:val="283"/>
        </w:trPr>
        <w:tc>
          <w:tcPr>
            <w:tcW w:w="4400" w:type="dxa"/>
            <w:tcBorders>
              <w:top w:val="single" w:sz="4" w:space="0" w:color="auto"/>
            </w:tcBorders>
            <w:shd w:val="clear" w:color="auto" w:fill="auto"/>
          </w:tcPr>
          <w:p w14:paraId="7E2A17FA" w14:textId="25093FE3" w:rsidR="00D37A42" w:rsidRPr="00F97C61" w:rsidRDefault="00D37A42" w:rsidP="00D37A42">
            <w:pPr>
              <w:spacing w:after="0" w:line="240" w:lineRule="auto"/>
              <w:jc w:val="left"/>
              <w:rPr>
                <w:b/>
                <w:color w:val="000000" w:themeColor="text1"/>
                <w:sz w:val="18"/>
                <w:szCs w:val="18"/>
              </w:rPr>
            </w:pPr>
            <w:r w:rsidRPr="00F97C61">
              <w:rPr>
                <w:b/>
                <w:color w:val="000000" w:themeColor="text1"/>
                <w:sz w:val="18"/>
                <w:szCs w:val="18"/>
              </w:rPr>
              <w:t>Faktör 2</w:t>
            </w:r>
          </w:p>
        </w:tc>
        <w:tc>
          <w:tcPr>
            <w:tcW w:w="905" w:type="dxa"/>
            <w:tcBorders>
              <w:top w:val="single" w:sz="4" w:space="0" w:color="auto"/>
              <w:left w:val="nil"/>
            </w:tcBorders>
            <w:shd w:val="clear" w:color="auto" w:fill="FFFFFF"/>
          </w:tcPr>
          <w:p w14:paraId="2FE6CA88" w14:textId="0EB7605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47,80</w:t>
            </w:r>
          </w:p>
        </w:tc>
        <w:tc>
          <w:tcPr>
            <w:tcW w:w="776" w:type="dxa"/>
            <w:tcBorders>
              <w:top w:val="single" w:sz="4" w:space="0" w:color="auto"/>
            </w:tcBorders>
            <w:shd w:val="clear" w:color="auto" w:fill="FFFFFF"/>
          </w:tcPr>
          <w:p w14:paraId="43F48EDC" w14:textId="7AF2C09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120,78</w:t>
            </w:r>
          </w:p>
        </w:tc>
        <w:tc>
          <w:tcPr>
            <w:tcW w:w="1006" w:type="dxa"/>
            <w:tcBorders>
              <w:top w:val="single" w:sz="4" w:space="0" w:color="auto"/>
            </w:tcBorders>
            <w:shd w:val="clear" w:color="auto" w:fill="FFFFFF"/>
          </w:tcPr>
          <w:p w14:paraId="18196464" w14:textId="125515B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,30</w:t>
            </w:r>
          </w:p>
        </w:tc>
        <w:tc>
          <w:tcPr>
            <w:tcW w:w="1192" w:type="dxa"/>
            <w:tcBorders>
              <w:top w:val="single" w:sz="4" w:space="0" w:color="auto"/>
            </w:tcBorders>
            <w:shd w:val="clear" w:color="auto" w:fill="FFFFFF"/>
          </w:tcPr>
          <w:p w14:paraId="212D1B55" w14:textId="62A9B624"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top w:val="single" w:sz="4" w:space="0" w:color="auto"/>
              <w:right w:val="nil"/>
            </w:tcBorders>
            <w:shd w:val="clear" w:color="auto" w:fill="FFFFFF"/>
          </w:tcPr>
          <w:p w14:paraId="61B479A9"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1555AA71" w14:textId="63AC24B4" w:rsidTr="00D37A42">
        <w:trPr>
          <w:cantSplit/>
          <w:trHeight w:val="283"/>
        </w:trPr>
        <w:tc>
          <w:tcPr>
            <w:tcW w:w="4400" w:type="dxa"/>
            <w:shd w:val="clear" w:color="auto" w:fill="auto"/>
          </w:tcPr>
          <w:p w14:paraId="64740E00" w14:textId="24712F07"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8: Birinin titrediğini g</w:t>
            </w:r>
            <w:r w:rsidRPr="00F97C61">
              <w:rPr>
                <w:bCs/>
                <w:color w:val="000000" w:themeColor="text1"/>
                <w:sz w:val="18"/>
                <w:szCs w:val="18"/>
                <w:lang w:val="sv-SE"/>
              </w:rPr>
              <w:t>ö</w:t>
            </w:r>
            <w:proofErr w:type="spellStart"/>
            <w:r w:rsidRPr="00F97C61">
              <w:rPr>
                <w:bCs/>
                <w:color w:val="000000" w:themeColor="text1"/>
                <w:sz w:val="18"/>
                <w:szCs w:val="18"/>
              </w:rPr>
              <w:t>rdüğümde</w:t>
            </w:r>
            <w:proofErr w:type="spellEnd"/>
            <w:r w:rsidRPr="00F97C61">
              <w:rPr>
                <w:bCs/>
                <w:color w:val="000000" w:themeColor="text1"/>
                <w:sz w:val="18"/>
                <w:szCs w:val="18"/>
              </w:rPr>
              <w:t>, ben de sıklıkla kendimde bir ürperme hissederim.</w:t>
            </w:r>
          </w:p>
        </w:tc>
        <w:tc>
          <w:tcPr>
            <w:tcW w:w="905" w:type="dxa"/>
            <w:tcBorders>
              <w:left w:val="nil"/>
            </w:tcBorders>
            <w:shd w:val="clear" w:color="auto" w:fill="FFFFFF"/>
          </w:tcPr>
          <w:p w14:paraId="5349F04A" w14:textId="2BF7CA6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46,69</w:t>
            </w:r>
          </w:p>
        </w:tc>
        <w:tc>
          <w:tcPr>
            <w:tcW w:w="776" w:type="dxa"/>
            <w:shd w:val="clear" w:color="auto" w:fill="FFFFFF"/>
          </w:tcPr>
          <w:p w14:paraId="56941C00" w14:textId="28A16A77"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117,20</w:t>
            </w:r>
          </w:p>
        </w:tc>
        <w:tc>
          <w:tcPr>
            <w:tcW w:w="1006" w:type="dxa"/>
            <w:shd w:val="clear" w:color="auto" w:fill="FFFFFF"/>
          </w:tcPr>
          <w:p w14:paraId="0B031308" w14:textId="653003D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,32</w:t>
            </w:r>
          </w:p>
        </w:tc>
        <w:tc>
          <w:tcPr>
            <w:tcW w:w="1192" w:type="dxa"/>
            <w:shd w:val="clear" w:color="auto" w:fill="FFFFFF"/>
          </w:tcPr>
          <w:p w14:paraId="0FFDC405" w14:textId="23BD8023"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5E090533"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51F83067" w14:textId="1B196061" w:rsidTr="00D37A42">
        <w:trPr>
          <w:cantSplit/>
          <w:trHeight w:val="283"/>
        </w:trPr>
        <w:tc>
          <w:tcPr>
            <w:tcW w:w="4400" w:type="dxa"/>
            <w:shd w:val="clear" w:color="auto" w:fill="auto"/>
          </w:tcPr>
          <w:p w14:paraId="4B9B6F54" w14:textId="2525E17B"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 xml:space="preserve">Madde 3: Biri </w:t>
            </w:r>
            <w:r w:rsidRPr="00F97C61">
              <w:rPr>
                <w:bCs/>
                <w:color w:val="000000" w:themeColor="text1"/>
                <w:sz w:val="18"/>
                <w:szCs w:val="18"/>
                <w:lang w:val="sv-SE"/>
              </w:rPr>
              <w:t>ö</w:t>
            </w:r>
            <w:proofErr w:type="spellStart"/>
            <w:r w:rsidRPr="00F97C61">
              <w:rPr>
                <w:bCs/>
                <w:color w:val="000000" w:themeColor="text1"/>
                <w:sz w:val="18"/>
                <w:szCs w:val="18"/>
              </w:rPr>
              <w:t>ksürdüğünde</w:t>
            </w:r>
            <w:proofErr w:type="spellEnd"/>
            <w:r w:rsidRPr="00F97C61">
              <w:rPr>
                <w:bCs/>
                <w:color w:val="000000" w:themeColor="text1"/>
                <w:sz w:val="18"/>
                <w:szCs w:val="18"/>
              </w:rPr>
              <w:t xml:space="preserve"> veya hapşırdığında, genellikle aynısını yapma dürtüsü hissederim.</w:t>
            </w:r>
          </w:p>
        </w:tc>
        <w:tc>
          <w:tcPr>
            <w:tcW w:w="905" w:type="dxa"/>
            <w:tcBorders>
              <w:left w:val="nil"/>
            </w:tcBorders>
            <w:shd w:val="clear" w:color="auto" w:fill="FFFFFF"/>
          </w:tcPr>
          <w:p w14:paraId="250AC920" w14:textId="5C1D120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47,27</w:t>
            </w:r>
          </w:p>
        </w:tc>
        <w:tc>
          <w:tcPr>
            <w:tcW w:w="776" w:type="dxa"/>
            <w:shd w:val="clear" w:color="auto" w:fill="FFFFFF"/>
          </w:tcPr>
          <w:p w14:paraId="29D2A1C6" w14:textId="537E0FC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114,63</w:t>
            </w:r>
          </w:p>
        </w:tc>
        <w:tc>
          <w:tcPr>
            <w:tcW w:w="1006" w:type="dxa"/>
            <w:shd w:val="clear" w:color="auto" w:fill="FFFFFF"/>
          </w:tcPr>
          <w:p w14:paraId="1094F7E8" w14:textId="60476241"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w:t>
            </w:r>
          </w:p>
        </w:tc>
        <w:tc>
          <w:tcPr>
            <w:tcW w:w="1192" w:type="dxa"/>
            <w:shd w:val="clear" w:color="auto" w:fill="FFFFFF"/>
          </w:tcPr>
          <w:p w14:paraId="3DF743FE" w14:textId="2143E37E"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37931D77"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6FC12FE1" w14:textId="21DE28DC" w:rsidTr="00D37A42">
        <w:trPr>
          <w:cantSplit/>
          <w:trHeight w:val="283"/>
        </w:trPr>
        <w:tc>
          <w:tcPr>
            <w:tcW w:w="4400" w:type="dxa"/>
            <w:shd w:val="clear" w:color="auto" w:fill="auto"/>
          </w:tcPr>
          <w:p w14:paraId="624F1BCD" w14:textId="3947FF87"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4:</w:t>
            </w:r>
            <w:r w:rsidRPr="00F97C61">
              <w:rPr>
                <w:bCs/>
                <w:color w:val="000000" w:themeColor="text1"/>
                <w:szCs w:val="24"/>
              </w:rPr>
              <w:t xml:space="preserve"> </w:t>
            </w:r>
            <w:r w:rsidRPr="00F97C61">
              <w:rPr>
                <w:bCs/>
                <w:color w:val="000000" w:themeColor="text1"/>
                <w:sz w:val="18"/>
                <w:szCs w:val="18"/>
              </w:rPr>
              <w:t>Ferahlatıcı bir i</w:t>
            </w:r>
            <w:r w:rsidRPr="00F97C61">
              <w:rPr>
                <w:bCs/>
                <w:color w:val="000000" w:themeColor="text1"/>
                <w:sz w:val="18"/>
                <w:szCs w:val="18"/>
                <w:lang w:val="pt-PT"/>
              </w:rPr>
              <w:t>ç</w:t>
            </w:r>
            <w:proofErr w:type="spellStart"/>
            <w:r w:rsidRPr="00F97C61">
              <w:rPr>
                <w:bCs/>
                <w:color w:val="000000" w:themeColor="text1"/>
                <w:sz w:val="18"/>
                <w:szCs w:val="18"/>
              </w:rPr>
              <w:t>ecek</w:t>
            </w:r>
            <w:proofErr w:type="spellEnd"/>
            <w:r w:rsidRPr="00F97C61">
              <w:rPr>
                <w:bCs/>
                <w:color w:val="000000" w:themeColor="text1"/>
                <w:sz w:val="18"/>
                <w:szCs w:val="18"/>
              </w:rPr>
              <w:t xml:space="preserve"> hayal etmek beni susatabilir.</w:t>
            </w:r>
          </w:p>
        </w:tc>
        <w:tc>
          <w:tcPr>
            <w:tcW w:w="905" w:type="dxa"/>
            <w:tcBorders>
              <w:left w:val="nil"/>
            </w:tcBorders>
            <w:shd w:val="clear" w:color="auto" w:fill="FFFFFF"/>
          </w:tcPr>
          <w:p w14:paraId="0FEA849B" w14:textId="624AA336"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46,94</w:t>
            </w:r>
          </w:p>
        </w:tc>
        <w:tc>
          <w:tcPr>
            <w:tcW w:w="776" w:type="dxa"/>
            <w:shd w:val="clear" w:color="auto" w:fill="FFFFFF"/>
          </w:tcPr>
          <w:p w14:paraId="32EDEED3" w14:textId="1F7526E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113,94</w:t>
            </w:r>
          </w:p>
        </w:tc>
        <w:tc>
          <w:tcPr>
            <w:tcW w:w="1006" w:type="dxa"/>
            <w:shd w:val="clear" w:color="auto" w:fill="FFFFFF"/>
          </w:tcPr>
          <w:p w14:paraId="6CEFD730" w14:textId="67E25329"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,50</w:t>
            </w:r>
          </w:p>
        </w:tc>
        <w:tc>
          <w:tcPr>
            <w:tcW w:w="1192" w:type="dxa"/>
            <w:shd w:val="clear" w:color="auto" w:fill="FFFFFF"/>
          </w:tcPr>
          <w:p w14:paraId="481F31AA" w14:textId="06FFD3CB"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62D25676" w14:textId="3B1CBBB9" w:rsidR="00D37A42" w:rsidRPr="00F97C61" w:rsidRDefault="005147DC"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.70</w:t>
            </w:r>
          </w:p>
        </w:tc>
      </w:tr>
      <w:tr w:rsidR="00F97C61" w:rsidRPr="00F97C61" w14:paraId="59085A9E" w14:textId="3A4BE534" w:rsidTr="00D37A42">
        <w:trPr>
          <w:cantSplit/>
          <w:trHeight w:val="283"/>
        </w:trPr>
        <w:tc>
          <w:tcPr>
            <w:tcW w:w="4400" w:type="dxa"/>
            <w:shd w:val="clear" w:color="auto" w:fill="auto"/>
          </w:tcPr>
          <w:p w14:paraId="7D73556E" w14:textId="1A22C1B3"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20:</w:t>
            </w:r>
            <w:r w:rsidRPr="00F97C61">
              <w:rPr>
                <w:bCs/>
                <w:color w:val="000000" w:themeColor="text1"/>
                <w:szCs w:val="24"/>
              </w:rPr>
              <w:t xml:space="preserve"> </w:t>
            </w:r>
            <w:r w:rsidRPr="00F97C61">
              <w:rPr>
                <w:bCs/>
                <w:color w:val="000000" w:themeColor="text1"/>
                <w:sz w:val="18"/>
                <w:szCs w:val="18"/>
              </w:rPr>
              <w:t>Bana iyi g</w:t>
            </w:r>
            <w:r w:rsidRPr="00F97C61">
              <w:rPr>
                <w:bCs/>
                <w:color w:val="000000" w:themeColor="text1"/>
                <w:sz w:val="18"/>
                <w:szCs w:val="18"/>
                <w:lang w:val="sv-SE"/>
              </w:rPr>
              <w:t>ö</w:t>
            </w:r>
            <w:proofErr w:type="spellStart"/>
            <w:r w:rsidRPr="00F97C61">
              <w:rPr>
                <w:bCs/>
                <w:color w:val="000000" w:themeColor="text1"/>
                <w:sz w:val="18"/>
                <w:szCs w:val="18"/>
              </w:rPr>
              <w:t>rünmediğim</w:t>
            </w:r>
            <w:proofErr w:type="spellEnd"/>
            <w:r w:rsidRPr="00F97C61">
              <w:rPr>
                <w:bCs/>
                <w:color w:val="000000" w:themeColor="text1"/>
                <w:sz w:val="18"/>
                <w:szCs w:val="18"/>
              </w:rPr>
              <w:t xml:space="preserve"> s</w:t>
            </w:r>
            <w:r w:rsidRPr="00F97C61">
              <w:rPr>
                <w:bCs/>
                <w:color w:val="000000" w:themeColor="text1"/>
                <w:sz w:val="18"/>
                <w:szCs w:val="18"/>
                <w:lang w:val="sv-SE"/>
              </w:rPr>
              <w:t>ö</w:t>
            </w:r>
            <w:proofErr w:type="spellStart"/>
            <w:r w:rsidRPr="00F97C61">
              <w:rPr>
                <w:bCs/>
                <w:color w:val="000000" w:themeColor="text1"/>
                <w:sz w:val="18"/>
                <w:szCs w:val="18"/>
              </w:rPr>
              <w:t>ylenirse</w:t>
            </w:r>
            <w:proofErr w:type="spellEnd"/>
            <w:r w:rsidRPr="00F97C61">
              <w:rPr>
                <w:bCs/>
                <w:color w:val="000000" w:themeColor="text1"/>
                <w:sz w:val="18"/>
                <w:szCs w:val="18"/>
              </w:rPr>
              <w:t>, kendimi hasta hissetmeye başlarım.</w:t>
            </w:r>
          </w:p>
        </w:tc>
        <w:tc>
          <w:tcPr>
            <w:tcW w:w="905" w:type="dxa"/>
            <w:tcBorders>
              <w:left w:val="nil"/>
            </w:tcBorders>
            <w:shd w:val="clear" w:color="auto" w:fill="FFFFFF"/>
          </w:tcPr>
          <w:p w14:paraId="4CA16315" w14:textId="64643FA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46,45</w:t>
            </w:r>
          </w:p>
        </w:tc>
        <w:tc>
          <w:tcPr>
            <w:tcW w:w="776" w:type="dxa"/>
            <w:shd w:val="clear" w:color="auto" w:fill="FFFFFF"/>
          </w:tcPr>
          <w:p w14:paraId="6662FBDC" w14:textId="6C63148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112,21</w:t>
            </w:r>
          </w:p>
        </w:tc>
        <w:tc>
          <w:tcPr>
            <w:tcW w:w="1006" w:type="dxa"/>
            <w:shd w:val="clear" w:color="auto" w:fill="FFFFFF"/>
          </w:tcPr>
          <w:p w14:paraId="7E6521F3" w14:textId="709D412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,49</w:t>
            </w:r>
          </w:p>
        </w:tc>
        <w:tc>
          <w:tcPr>
            <w:tcW w:w="1192" w:type="dxa"/>
            <w:shd w:val="clear" w:color="auto" w:fill="FFFFFF"/>
          </w:tcPr>
          <w:p w14:paraId="08D47139" w14:textId="67A2A2D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0CA4CACB"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31882D81" w14:textId="29048B7D" w:rsidTr="00D37A42">
        <w:trPr>
          <w:cantSplit/>
          <w:trHeight w:val="283"/>
        </w:trPr>
        <w:tc>
          <w:tcPr>
            <w:tcW w:w="4400" w:type="dxa"/>
            <w:shd w:val="clear" w:color="auto" w:fill="auto"/>
          </w:tcPr>
          <w:p w14:paraId="28D62FA8" w14:textId="426DB9D5"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10:</w:t>
            </w:r>
            <w:r w:rsidRPr="00F97C61">
              <w:rPr>
                <w:bCs/>
                <w:color w:val="000000" w:themeColor="text1"/>
                <w:szCs w:val="24"/>
              </w:rPr>
              <w:t xml:space="preserve"> </w:t>
            </w:r>
            <w:r w:rsidRPr="00F97C61">
              <w:rPr>
                <w:bCs/>
                <w:color w:val="000000" w:themeColor="text1"/>
                <w:sz w:val="18"/>
                <w:szCs w:val="18"/>
              </w:rPr>
              <w:t>İnsanlar bana nasıl hissettiklerini s</w:t>
            </w:r>
            <w:r w:rsidRPr="00F97C61">
              <w:rPr>
                <w:bCs/>
                <w:color w:val="000000" w:themeColor="text1"/>
                <w:sz w:val="18"/>
                <w:szCs w:val="18"/>
                <w:lang w:val="sv-SE"/>
              </w:rPr>
              <w:t>ö</w:t>
            </w:r>
            <w:proofErr w:type="spellStart"/>
            <w:r w:rsidRPr="00F97C61">
              <w:rPr>
                <w:bCs/>
                <w:color w:val="000000" w:themeColor="text1"/>
                <w:sz w:val="18"/>
                <w:szCs w:val="18"/>
              </w:rPr>
              <w:t>ylediğinde</w:t>
            </w:r>
            <w:proofErr w:type="spellEnd"/>
            <w:r w:rsidRPr="00F97C61">
              <w:rPr>
                <w:bCs/>
                <w:color w:val="000000" w:themeColor="text1"/>
                <w:sz w:val="18"/>
                <w:szCs w:val="18"/>
              </w:rPr>
              <w:t>, genellikle ben de aynı şekilde hissettiğimi fark ederim.</w:t>
            </w:r>
          </w:p>
        </w:tc>
        <w:tc>
          <w:tcPr>
            <w:tcW w:w="905" w:type="dxa"/>
            <w:tcBorders>
              <w:left w:val="nil"/>
            </w:tcBorders>
            <w:shd w:val="clear" w:color="auto" w:fill="FFFFFF"/>
          </w:tcPr>
          <w:p w14:paraId="3BEEFF6C" w14:textId="74EBFA15"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46,68</w:t>
            </w:r>
          </w:p>
        </w:tc>
        <w:tc>
          <w:tcPr>
            <w:tcW w:w="776" w:type="dxa"/>
            <w:shd w:val="clear" w:color="auto" w:fill="FFFFFF"/>
          </w:tcPr>
          <w:p w14:paraId="5AC99F56" w14:textId="30189036"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112,75</w:t>
            </w:r>
          </w:p>
        </w:tc>
        <w:tc>
          <w:tcPr>
            <w:tcW w:w="1006" w:type="dxa"/>
            <w:shd w:val="clear" w:color="auto" w:fill="FFFFFF"/>
          </w:tcPr>
          <w:p w14:paraId="03F27C90" w14:textId="6A899BE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,54</w:t>
            </w:r>
          </w:p>
        </w:tc>
        <w:tc>
          <w:tcPr>
            <w:tcW w:w="1192" w:type="dxa"/>
            <w:shd w:val="clear" w:color="auto" w:fill="FFFFFF"/>
          </w:tcPr>
          <w:p w14:paraId="08A15D62" w14:textId="654EE11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,85</w:t>
            </w:r>
          </w:p>
        </w:tc>
        <w:tc>
          <w:tcPr>
            <w:tcW w:w="1294" w:type="dxa"/>
            <w:tcBorders>
              <w:right w:val="nil"/>
            </w:tcBorders>
            <w:shd w:val="clear" w:color="auto" w:fill="FFFFFF"/>
          </w:tcPr>
          <w:p w14:paraId="2E6807AA"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43073745" w14:textId="67FAC2A5" w:rsidTr="00D37A42">
        <w:trPr>
          <w:cantSplit/>
          <w:trHeight w:val="283"/>
        </w:trPr>
        <w:tc>
          <w:tcPr>
            <w:tcW w:w="4400" w:type="dxa"/>
            <w:tcBorders>
              <w:bottom w:val="single" w:sz="4" w:space="0" w:color="auto"/>
            </w:tcBorders>
            <w:shd w:val="clear" w:color="auto" w:fill="auto"/>
          </w:tcPr>
          <w:p w14:paraId="1EDDD923" w14:textId="067EF700"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Madde18:</w:t>
            </w:r>
            <w:r w:rsidRPr="00F97C61">
              <w:rPr>
                <w:bCs/>
                <w:color w:val="000000" w:themeColor="text1"/>
                <w:szCs w:val="24"/>
              </w:rPr>
              <w:t xml:space="preserve"> </w:t>
            </w:r>
            <w:r w:rsidRPr="00F97C61">
              <w:rPr>
                <w:bCs/>
                <w:color w:val="000000" w:themeColor="text1"/>
                <w:sz w:val="18"/>
                <w:szCs w:val="18"/>
              </w:rPr>
              <w:t xml:space="preserve">Korkunç bir şey düşünmek kalbimin hızlıca </w:t>
            </w:r>
            <w:r w:rsidRPr="00F97C61">
              <w:rPr>
                <w:bCs/>
                <w:color w:val="000000" w:themeColor="text1"/>
                <w:sz w:val="18"/>
                <w:szCs w:val="18"/>
                <w:lang w:val="pt-PT"/>
              </w:rPr>
              <w:t>ç</w:t>
            </w:r>
            <w:proofErr w:type="spellStart"/>
            <w:r w:rsidRPr="00F97C61">
              <w:rPr>
                <w:bCs/>
                <w:color w:val="000000" w:themeColor="text1"/>
                <w:sz w:val="18"/>
                <w:szCs w:val="18"/>
              </w:rPr>
              <w:t>arpmasına</w:t>
            </w:r>
            <w:proofErr w:type="spellEnd"/>
            <w:r w:rsidRPr="00F97C61">
              <w:rPr>
                <w:bCs/>
                <w:color w:val="000000" w:themeColor="text1"/>
                <w:sz w:val="18"/>
                <w:szCs w:val="18"/>
              </w:rPr>
              <w:t xml:space="preserve"> neden olabilir.</w:t>
            </w:r>
          </w:p>
        </w:tc>
        <w:tc>
          <w:tcPr>
            <w:tcW w:w="905" w:type="dxa"/>
            <w:tcBorders>
              <w:left w:val="nil"/>
              <w:bottom w:val="single" w:sz="4" w:space="0" w:color="auto"/>
            </w:tcBorders>
            <w:shd w:val="clear" w:color="auto" w:fill="FFFFFF"/>
          </w:tcPr>
          <w:p w14:paraId="3FDFCC96" w14:textId="1BE5EBD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46,79</w:t>
            </w:r>
          </w:p>
        </w:tc>
        <w:tc>
          <w:tcPr>
            <w:tcW w:w="776" w:type="dxa"/>
            <w:tcBorders>
              <w:bottom w:val="single" w:sz="4" w:space="0" w:color="auto"/>
            </w:tcBorders>
            <w:shd w:val="clear" w:color="auto" w:fill="FFFFFF"/>
          </w:tcPr>
          <w:p w14:paraId="07B86B2A" w14:textId="427F164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112,04</w:t>
            </w:r>
          </w:p>
        </w:tc>
        <w:tc>
          <w:tcPr>
            <w:tcW w:w="1006" w:type="dxa"/>
            <w:tcBorders>
              <w:bottom w:val="single" w:sz="4" w:space="0" w:color="auto"/>
            </w:tcBorders>
            <w:shd w:val="clear" w:color="auto" w:fill="FFFFFF"/>
          </w:tcPr>
          <w:p w14:paraId="48F3E779" w14:textId="017563C3"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,58</w:t>
            </w:r>
          </w:p>
        </w:tc>
        <w:tc>
          <w:tcPr>
            <w:tcW w:w="1192" w:type="dxa"/>
            <w:tcBorders>
              <w:bottom w:val="single" w:sz="4" w:space="0" w:color="auto"/>
            </w:tcBorders>
            <w:shd w:val="clear" w:color="auto" w:fill="FFFFFF"/>
          </w:tcPr>
          <w:p w14:paraId="5003F628" w14:textId="1E1ECD6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,85</w:t>
            </w:r>
          </w:p>
        </w:tc>
        <w:tc>
          <w:tcPr>
            <w:tcW w:w="1294" w:type="dxa"/>
            <w:tcBorders>
              <w:bottom w:val="single" w:sz="4" w:space="0" w:color="auto"/>
              <w:right w:val="nil"/>
            </w:tcBorders>
            <w:shd w:val="clear" w:color="auto" w:fill="FFFFFF"/>
          </w:tcPr>
          <w:p w14:paraId="1A0A357F"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326FE51D" w14:textId="14B2FECA" w:rsidTr="00D37A42">
        <w:trPr>
          <w:cantSplit/>
          <w:trHeight w:val="283"/>
        </w:trPr>
        <w:tc>
          <w:tcPr>
            <w:tcW w:w="4400" w:type="dxa"/>
            <w:tcBorders>
              <w:top w:val="single" w:sz="4" w:space="0" w:color="auto"/>
            </w:tcBorders>
            <w:shd w:val="clear" w:color="auto" w:fill="auto"/>
          </w:tcPr>
          <w:p w14:paraId="1AF691A3" w14:textId="6EE49FCF" w:rsidR="00D37A42" w:rsidRPr="00F97C61" w:rsidRDefault="00D37A42" w:rsidP="00D37A42">
            <w:pPr>
              <w:spacing w:after="0" w:line="240" w:lineRule="auto"/>
              <w:jc w:val="left"/>
              <w:rPr>
                <w:b/>
                <w:color w:val="000000" w:themeColor="text1"/>
                <w:sz w:val="18"/>
                <w:szCs w:val="18"/>
              </w:rPr>
            </w:pPr>
            <w:r w:rsidRPr="00F97C61">
              <w:rPr>
                <w:b/>
                <w:color w:val="000000" w:themeColor="text1"/>
                <w:sz w:val="18"/>
                <w:szCs w:val="18"/>
              </w:rPr>
              <w:t>Faktör 3</w:t>
            </w:r>
          </w:p>
        </w:tc>
        <w:tc>
          <w:tcPr>
            <w:tcW w:w="905" w:type="dxa"/>
            <w:tcBorders>
              <w:top w:val="single" w:sz="4" w:space="0" w:color="auto"/>
              <w:left w:val="nil"/>
            </w:tcBorders>
            <w:shd w:val="clear" w:color="auto" w:fill="FFFFFF"/>
          </w:tcPr>
          <w:p w14:paraId="003DD5F0" w14:textId="5E958CD1"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46,80</w:t>
            </w:r>
          </w:p>
        </w:tc>
        <w:tc>
          <w:tcPr>
            <w:tcW w:w="776" w:type="dxa"/>
            <w:tcBorders>
              <w:top w:val="single" w:sz="4" w:space="0" w:color="auto"/>
            </w:tcBorders>
            <w:shd w:val="clear" w:color="auto" w:fill="FFFFFF"/>
          </w:tcPr>
          <w:p w14:paraId="5F4502BF" w14:textId="2086F7CA"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112,16</w:t>
            </w:r>
          </w:p>
        </w:tc>
        <w:tc>
          <w:tcPr>
            <w:tcW w:w="1006" w:type="dxa"/>
            <w:tcBorders>
              <w:top w:val="single" w:sz="4" w:space="0" w:color="auto"/>
            </w:tcBorders>
            <w:shd w:val="clear" w:color="auto" w:fill="FFFFFF"/>
          </w:tcPr>
          <w:p w14:paraId="758739D1" w14:textId="4A9B4C34"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,61</w:t>
            </w:r>
          </w:p>
        </w:tc>
        <w:tc>
          <w:tcPr>
            <w:tcW w:w="1192" w:type="dxa"/>
            <w:tcBorders>
              <w:top w:val="single" w:sz="4" w:space="0" w:color="auto"/>
            </w:tcBorders>
            <w:shd w:val="clear" w:color="auto" w:fill="FFFFFF"/>
          </w:tcPr>
          <w:p w14:paraId="5FC20CBF" w14:textId="1EBBE22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,85</w:t>
            </w:r>
          </w:p>
        </w:tc>
        <w:tc>
          <w:tcPr>
            <w:tcW w:w="1294" w:type="dxa"/>
            <w:tcBorders>
              <w:top w:val="single" w:sz="4" w:space="0" w:color="auto"/>
              <w:right w:val="nil"/>
            </w:tcBorders>
            <w:shd w:val="clear" w:color="auto" w:fill="FFFFFF"/>
          </w:tcPr>
          <w:p w14:paraId="31E540F5"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6040F226" w14:textId="42F9CBF9" w:rsidTr="00D37A42">
        <w:trPr>
          <w:cantSplit/>
          <w:trHeight w:val="283"/>
        </w:trPr>
        <w:tc>
          <w:tcPr>
            <w:tcW w:w="4400" w:type="dxa"/>
            <w:shd w:val="clear" w:color="auto" w:fill="auto"/>
          </w:tcPr>
          <w:p w14:paraId="04F40067" w14:textId="7A05FD53"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14: İyi bir reklamdan etkilenebilirim.</w:t>
            </w:r>
          </w:p>
        </w:tc>
        <w:tc>
          <w:tcPr>
            <w:tcW w:w="905" w:type="dxa"/>
            <w:tcBorders>
              <w:left w:val="nil"/>
            </w:tcBorders>
            <w:shd w:val="clear" w:color="auto" w:fill="FFFFFF"/>
          </w:tcPr>
          <w:p w14:paraId="1FC01808" w14:textId="2A6CC436"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45,49</w:t>
            </w:r>
          </w:p>
        </w:tc>
        <w:tc>
          <w:tcPr>
            <w:tcW w:w="776" w:type="dxa"/>
            <w:shd w:val="clear" w:color="auto" w:fill="FFFFFF"/>
          </w:tcPr>
          <w:p w14:paraId="2766AF9E" w14:textId="60DD55E5"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116,47</w:t>
            </w:r>
          </w:p>
        </w:tc>
        <w:tc>
          <w:tcPr>
            <w:tcW w:w="1006" w:type="dxa"/>
            <w:shd w:val="clear" w:color="auto" w:fill="FFFFFF"/>
          </w:tcPr>
          <w:p w14:paraId="296C0988" w14:textId="42C754B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,38</w:t>
            </w:r>
          </w:p>
        </w:tc>
        <w:tc>
          <w:tcPr>
            <w:tcW w:w="1192" w:type="dxa"/>
            <w:shd w:val="clear" w:color="auto" w:fill="FFFFFF"/>
          </w:tcPr>
          <w:p w14:paraId="30B664AC" w14:textId="28DEFEC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0412E88D"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51570C48" w14:textId="64701B93" w:rsidTr="00D37A42">
        <w:trPr>
          <w:cantSplit/>
          <w:trHeight w:val="283"/>
        </w:trPr>
        <w:tc>
          <w:tcPr>
            <w:tcW w:w="4400" w:type="dxa"/>
            <w:shd w:val="clear" w:color="auto" w:fill="auto"/>
          </w:tcPr>
          <w:p w14:paraId="0AFC4CCB" w14:textId="0FB1274B"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5: İyi bir satış elemanı ürününü istememi gerçekten de sağlayabilir.</w:t>
            </w:r>
          </w:p>
        </w:tc>
        <w:tc>
          <w:tcPr>
            <w:tcW w:w="905" w:type="dxa"/>
            <w:tcBorders>
              <w:left w:val="nil"/>
            </w:tcBorders>
            <w:shd w:val="clear" w:color="auto" w:fill="FFFFFF"/>
          </w:tcPr>
          <w:p w14:paraId="0C1ACBB6" w14:textId="61BFD78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46,41</w:t>
            </w:r>
          </w:p>
        </w:tc>
        <w:tc>
          <w:tcPr>
            <w:tcW w:w="776" w:type="dxa"/>
            <w:shd w:val="clear" w:color="auto" w:fill="FFFFFF"/>
          </w:tcPr>
          <w:p w14:paraId="7B05AEED" w14:textId="3659221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115,70</w:t>
            </w:r>
          </w:p>
        </w:tc>
        <w:tc>
          <w:tcPr>
            <w:tcW w:w="1006" w:type="dxa"/>
            <w:shd w:val="clear" w:color="auto" w:fill="FFFFFF"/>
          </w:tcPr>
          <w:p w14:paraId="2414A193" w14:textId="5D5C3D64"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,33</w:t>
            </w:r>
          </w:p>
        </w:tc>
        <w:tc>
          <w:tcPr>
            <w:tcW w:w="1192" w:type="dxa"/>
            <w:shd w:val="clear" w:color="auto" w:fill="FFFFFF"/>
          </w:tcPr>
          <w:p w14:paraId="46875866" w14:textId="0DE0FCA0"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3BDEB2A4"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7AD6B494" w14:textId="6978080E" w:rsidTr="00D37A42">
        <w:trPr>
          <w:cantSplit/>
          <w:trHeight w:val="283"/>
        </w:trPr>
        <w:tc>
          <w:tcPr>
            <w:tcW w:w="4400" w:type="dxa"/>
            <w:shd w:val="clear" w:color="auto" w:fill="auto"/>
          </w:tcPr>
          <w:p w14:paraId="17595A7E" w14:textId="066880E2"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Madde 17: Bir ürün güzel bir şekilde sergilenirse, genellikle onu satın almak isterim.</w:t>
            </w:r>
          </w:p>
        </w:tc>
        <w:tc>
          <w:tcPr>
            <w:tcW w:w="905" w:type="dxa"/>
            <w:tcBorders>
              <w:left w:val="nil"/>
            </w:tcBorders>
            <w:shd w:val="clear" w:color="auto" w:fill="FFFFFF"/>
          </w:tcPr>
          <w:p w14:paraId="59F1552F" w14:textId="3410E956"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47,05</w:t>
            </w:r>
          </w:p>
        </w:tc>
        <w:tc>
          <w:tcPr>
            <w:tcW w:w="776" w:type="dxa"/>
            <w:shd w:val="clear" w:color="auto" w:fill="FFFFFF"/>
          </w:tcPr>
          <w:p w14:paraId="1A5DDBDF" w14:textId="147EE2D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115,55</w:t>
            </w:r>
          </w:p>
        </w:tc>
        <w:tc>
          <w:tcPr>
            <w:tcW w:w="1006" w:type="dxa"/>
            <w:shd w:val="clear" w:color="auto" w:fill="FFFFFF"/>
          </w:tcPr>
          <w:p w14:paraId="1DC8ADCA" w14:textId="36AC03E3"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,33</w:t>
            </w:r>
          </w:p>
        </w:tc>
        <w:tc>
          <w:tcPr>
            <w:tcW w:w="1192" w:type="dxa"/>
            <w:shd w:val="clear" w:color="auto" w:fill="FFFFFF"/>
          </w:tcPr>
          <w:p w14:paraId="36BFE591" w14:textId="0B4841E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3CD9F00E" w14:textId="1EEBE4EE" w:rsidR="00D37A42" w:rsidRPr="00F97C61" w:rsidRDefault="005147DC"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.71</w:t>
            </w:r>
          </w:p>
        </w:tc>
      </w:tr>
      <w:tr w:rsidR="00F97C61" w:rsidRPr="00F97C61" w14:paraId="0DDBA3ED" w14:textId="0FDB234E" w:rsidTr="00D37A42">
        <w:trPr>
          <w:cantSplit/>
          <w:trHeight w:val="283"/>
        </w:trPr>
        <w:tc>
          <w:tcPr>
            <w:tcW w:w="4400" w:type="dxa"/>
            <w:shd w:val="clear" w:color="auto" w:fill="auto"/>
          </w:tcPr>
          <w:p w14:paraId="38568022" w14:textId="4810E780" w:rsidR="00D37A42" w:rsidRPr="00F97C61" w:rsidRDefault="00D37A42" w:rsidP="00D37A42">
            <w:pPr>
              <w:spacing w:after="0" w:line="240" w:lineRule="auto"/>
              <w:jc w:val="left"/>
              <w:rPr>
                <w:b/>
                <w:color w:val="000000" w:themeColor="text1"/>
                <w:sz w:val="18"/>
                <w:szCs w:val="18"/>
              </w:rPr>
            </w:pPr>
            <w:r w:rsidRPr="00F97C61">
              <w:rPr>
                <w:bCs/>
                <w:color w:val="000000" w:themeColor="text1"/>
                <w:sz w:val="18"/>
                <w:szCs w:val="18"/>
              </w:rPr>
              <w:t xml:space="preserve">Madde 7: </w:t>
            </w:r>
            <w:r w:rsidRPr="00F97C61">
              <w:rPr>
                <w:color w:val="000000" w:themeColor="text1"/>
                <w:sz w:val="18"/>
                <w:szCs w:val="18"/>
              </w:rPr>
              <w:t>Uyum sağlamak benim i</w:t>
            </w:r>
            <w:r w:rsidRPr="00F97C61">
              <w:rPr>
                <w:color w:val="000000" w:themeColor="text1"/>
                <w:sz w:val="18"/>
                <w:szCs w:val="18"/>
                <w:lang w:val="pt-PT"/>
              </w:rPr>
              <w:t>ç</w:t>
            </w:r>
            <w:r w:rsidRPr="00F97C61">
              <w:rPr>
                <w:color w:val="000000" w:themeColor="text1"/>
                <w:sz w:val="18"/>
                <w:szCs w:val="18"/>
              </w:rPr>
              <w:t xml:space="preserve">in </w:t>
            </w:r>
            <w:r w:rsidRPr="00F97C61">
              <w:rPr>
                <w:color w:val="000000" w:themeColor="text1"/>
                <w:sz w:val="18"/>
                <w:szCs w:val="18"/>
                <w:lang w:val="sv-SE"/>
              </w:rPr>
              <w:t>ö</w:t>
            </w:r>
            <w:r w:rsidRPr="00F97C61">
              <w:rPr>
                <w:color w:val="000000" w:themeColor="text1"/>
                <w:sz w:val="18"/>
                <w:szCs w:val="18"/>
              </w:rPr>
              <w:t>nemlidir.</w:t>
            </w:r>
          </w:p>
        </w:tc>
        <w:tc>
          <w:tcPr>
            <w:tcW w:w="905" w:type="dxa"/>
            <w:tcBorders>
              <w:left w:val="nil"/>
            </w:tcBorders>
            <w:shd w:val="clear" w:color="auto" w:fill="FFFFFF"/>
          </w:tcPr>
          <w:p w14:paraId="697E580A" w14:textId="7A72E969"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47,37</w:t>
            </w:r>
          </w:p>
        </w:tc>
        <w:tc>
          <w:tcPr>
            <w:tcW w:w="776" w:type="dxa"/>
            <w:shd w:val="clear" w:color="auto" w:fill="FFFFFF"/>
          </w:tcPr>
          <w:p w14:paraId="2F04609C" w14:textId="2B72837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115,87</w:t>
            </w:r>
          </w:p>
        </w:tc>
        <w:tc>
          <w:tcPr>
            <w:tcW w:w="1006" w:type="dxa"/>
            <w:shd w:val="clear" w:color="auto" w:fill="FFFFFF"/>
          </w:tcPr>
          <w:p w14:paraId="55FB0681" w14:textId="6B1B8C37"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,42</w:t>
            </w:r>
          </w:p>
        </w:tc>
        <w:tc>
          <w:tcPr>
            <w:tcW w:w="1192" w:type="dxa"/>
            <w:shd w:val="clear" w:color="auto" w:fill="FFFFFF"/>
          </w:tcPr>
          <w:p w14:paraId="1A3567CB" w14:textId="1B9B721E"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64E60F1F"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215478E3" w14:textId="68DF0368" w:rsidTr="00D37A42">
        <w:trPr>
          <w:cantSplit/>
          <w:trHeight w:val="283"/>
        </w:trPr>
        <w:tc>
          <w:tcPr>
            <w:tcW w:w="4400" w:type="dxa"/>
            <w:tcBorders>
              <w:bottom w:val="single" w:sz="4" w:space="0" w:color="auto"/>
            </w:tcBorders>
            <w:shd w:val="clear" w:color="auto" w:fill="auto"/>
          </w:tcPr>
          <w:p w14:paraId="08A262FF" w14:textId="2A0DB7B4"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12: Ferahlatıcı bir i</w:t>
            </w:r>
            <w:r w:rsidRPr="00F97C61">
              <w:rPr>
                <w:bCs/>
                <w:color w:val="000000" w:themeColor="text1"/>
                <w:sz w:val="18"/>
                <w:szCs w:val="18"/>
                <w:lang w:val="pt-PT"/>
              </w:rPr>
              <w:t>ç</w:t>
            </w:r>
            <w:proofErr w:type="spellStart"/>
            <w:r w:rsidRPr="00F97C61">
              <w:rPr>
                <w:bCs/>
                <w:color w:val="000000" w:themeColor="text1"/>
                <w:sz w:val="18"/>
                <w:szCs w:val="18"/>
              </w:rPr>
              <w:t>ecek</w:t>
            </w:r>
            <w:proofErr w:type="spellEnd"/>
            <w:r w:rsidRPr="00F97C61">
              <w:rPr>
                <w:bCs/>
                <w:color w:val="000000" w:themeColor="text1"/>
                <w:sz w:val="18"/>
                <w:szCs w:val="18"/>
              </w:rPr>
              <w:t xml:space="preserve"> hayal etmek beni susatabilir.</w:t>
            </w:r>
          </w:p>
        </w:tc>
        <w:tc>
          <w:tcPr>
            <w:tcW w:w="905" w:type="dxa"/>
            <w:tcBorders>
              <w:left w:val="nil"/>
              <w:bottom w:val="single" w:sz="4" w:space="0" w:color="auto"/>
            </w:tcBorders>
            <w:shd w:val="clear" w:color="auto" w:fill="FFFFFF"/>
          </w:tcPr>
          <w:p w14:paraId="58BC96B2" w14:textId="25714BB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47,63</w:t>
            </w:r>
          </w:p>
        </w:tc>
        <w:tc>
          <w:tcPr>
            <w:tcW w:w="776" w:type="dxa"/>
            <w:tcBorders>
              <w:bottom w:val="single" w:sz="4" w:space="0" w:color="auto"/>
            </w:tcBorders>
            <w:shd w:val="clear" w:color="auto" w:fill="FFFFFF"/>
          </w:tcPr>
          <w:p w14:paraId="55EDFE22" w14:textId="632A60E4"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116,45</w:t>
            </w:r>
          </w:p>
        </w:tc>
        <w:tc>
          <w:tcPr>
            <w:tcW w:w="1006" w:type="dxa"/>
            <w:tcBorders>
              <w:bottom w:val="single" w:sz="4" w:space="0" w:color="auto"/>
            </w:tcBorders>
            <w:shd w:val="clear" w:color="auto" w:fill="FFFFFF"/>
          </w:tcPr>
          <w:p w14:paraId="263B4588" w14:textId="1ADEFC6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,48</w:t>
            </w:r>
          </w:p>
        </w:tc>
        <w:tc>
          <w:tcPr>
            <w:tcW w:w="1192" w:type="dxa"/>
            <w:tcBorders>
              <w:bottom w:val="single" w:sz="4" w:space="0" w:color="auto"/>
            </w:tcBorders>
            <w:shd w:val="clear" w:color="auto" w:fill="FFFFFF"/>
          </w:tcPr>
          <w:p w14:paraId="4AE72A74" w14:textId="77AF196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bottom w:val="single" w:sz="4" w:space="0" w:color="auto"/>
              <w:right w:val="nil"/>
            </w:tcBorders>
            <w:shd w:val="clear" w:color="auto" w:fill="FFFFFF"/>
          </w:tcPr>
          <w:p w14:paraId="4E92A33E"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3DD6600E" w14:textId="6A8D6207" w:rsidTr="00D37A42">
        <w:trPr>
          <w:cantSplit/>
          <w:trHeight w:val="283"/>
        </w:trPr>
        <w:tc>
          <w:tcPr>
            <w:tcW w:w="4400" w:type="dxa"/>
            <w:tcBorders>
              <w:top w:val="single" w:sz="4" w:space="0" w:color="auto"/>
            </w:tcBorders>
            <w:shd w:val="clear" w:color="auto" w:fill="auto"/>
          </w:tcPr>
          <w:p w14:paraId="59533B41" w14:textId="100C9ADA" w:rsidR="00D37A42" w:rsidRPr="00F97C61" w:rsidRDefault="00D37A42" w:rsidP="00D37A42">
            <w:pPr>
              <w:spacing w:after="0" w:line="240" w:lineRule="auto"/>
              <w:jc w:val="left"/>
              <w:rPr>
                <w:b/>
                <w:color w:val="000000" w:themeColor="text1"/>
                <w:sz w:val="18"/>
                <w:szCs w:val="18"/>
              </w:rPr>
            </w:pPr>
            <w:r w:rsidRPr="00F97C61">
              <w:rPr>
                <w:b/>
                <w:color w:val="000000" w:themeColor="text1"/>
                <w:sz w:val="18"/>
                <w:szCs w:val="18"/>
              </w:rPr>
              <w:t>Faktör 4</w:t>
            </w:r>
          </w:p>
        </w:tc>
        <w:tc>
          <w:tcPr>
            <w:tcW w:w="905" w:type="dxa"/>
            <w:tcBorders>
              <w:top w:val="single" w:sz="4" w:space="0" w:color="auto"/>
              <w:left w:val="nil"/>
            </w:tcBorders>
            <w:shd w:val="clear" w:color="auto" w:fill="FFFFFF"/>
          </w:tcPr>
          <w:p w14:paraId="69150939" w14:textId="0671AA8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46,86</w:t>
            </w:r>
          </w:p>
        </w:tc>
        <w:tc>
          <w:tcPr>
            <w:tcW w:w="776" w:type="dxa"/>
            <w:tcBorders>
              <w:top w:val="single" w:sz="4" w:space="0" w:color="auto"/>
            </w:tcBorders>
            <w:shd w:val="clear" w:color="auto" w:fill="FFFFFF"/>
          </w:tcPr>
          <w:p w14:paraId="670FBD06" w14:textId="024CD29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118,35</w:t>
            </w:r>
          </w:p>
        </w:tc>
        <w:tc>
          <w:tcPr>
            <w:tcW w:w="1006" w:type="dxa"/>
            <w:tcBorders>
              <w:top w:val="single" w:sz="4" w:space="0" w:color="auto"/>
            </w:tcBorders>
            <w:shd w:val="clear" w:color="auto" w:fill="FFFFFF"/>
          </w:tcPr>
          <w:p w14:paraId="61D38FE8" w14:textId="3D67067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,32</w:t>
            </w:r>
          </w:p>
        </w:tc>
        <w:tc>
          <w:tcPr>
            <w:tcW w:w="1192" w:type="dxa"/>
            <w:tcBorders>
              <w:top w:val="single" w:sz="4" w:space="0" w:color="auto"/>
            </w:tcBorders>
            <w:shd w:val="clear" w:color="auto" w:fill="FFFFFF"/>
          </w:tcPr>
          <w:p w14:paraId="0C44935F" w14:textId="136F678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top w:val="single" w:sz="4" w:space="0" w:color="auto"/>
              <w:right w:val="nil"/>
            </w:tcBorders>
            <w:shd w:val="clear" w:color="auto" w:fill="FFFFFF"/>
          </w:tcPr>
          <w:p w14:paraId="4CF6A4F2"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789C1C22" w14:textId="2D22C22A" w:rsidTr="00D37A42">
        <w:trPr>
          <w:cantSplit/>
          <w:trHeight w:val="283"/>
        </w:trPr>
        <w:tc>
          <w:tcPr>
            <w:tcW w:w="4400" w:type="dxa"/>
            <w:shd w:val="clear" w:color="auto" w:fill="auto"/>
          </w:tcPr>
          <w:p w14:paraId="4425E3B8" w14:textId="67B3F26D"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21:</w:t>
            </w:r>
            <w:r w:rsidRPr="00F97C61">
              <w:rPr>
                <w:bCs/>
                <w:color w:val="000000" w:themeColor="text1"/>
                <w:szCs w:val="24"/>
              </w:rPr>
              <w:t xml:space="preserve"> </w:t>
            </w:r>
            <w:proofErr w:type="spellStart"/>
            <w:r w:rsidRPr="00F97C61">
              <w:rPr>
                <w:bCs/>
                <w:color w:val="000000" w:themeColor="text1"/>
                <w:sz w:val="18"/>
                <w:szCs w:val="18"/>
              </w:rPr>
              <w:t>Gü</w:t>
            </w:r>
            <w:r w:rsidRPr="00F97C61">
              <w:rPr>
                <w:bCs/>
                <w:color w:val="000000" w:themeColor="text1"/>
                <w:sz w:val="18"/>
                <w:szCs w:val="18"/>
                <w:lang w:val="es-ES_tradnl"/>
              </w:rPr>
              <w:t>ncel</w:t>
            </w:r>
            <w:proofErr w:type="spellEnd"/>
            <w:r w:rsidRPr="00F97C61">
              <w:rPr>
                <w:bCs/>
                <w:color w:val="000000" w:themeColor="text1"/>
                <w:sz w:val="18"/>
                <w:szCs w:val="18"/>
                <w:lang w:val="es-ES_tradnl"/>
              </w:rPr>
              <w:t xml:space="preserve"> moda e</w:t>
            </w:r>
            <w:proofErr w:type="spellStart"/>
            <w:r w:rsidRPr="00F97C61">
              <w:rPr>
                <w:bCs/>
                <w:color w:val="000000" w:themeColor="text1"/>
                <w:sz w:val="18"/>
                <w:szCs w:val="18"/>
              </w:rPr>
              <w:t>ğilimlerini</w:t>
            </w:r>
            <w:proofErr w:type="spellEnd"/>
            <w:r w:rsidRPr="00F97C61">
              <w:rPr>
                <w:bCs/>
                <w:color w:val="000000" w:themeColor="text1"/>
                <w:sz w:val="18"/>
                <w:szCs w:val="18"/>
              </w:rPr>
              <w:t xml:space="preserve"> takip ederim.</w:t>
            </w:r>
          </w:p>
        </w:tc>
        <w:tc>
          <w:tcPr>
            <w:tcW w:w="905" w:type="dxa"/>
            <w:tcBorders>
              <w:left w:val="nil"/>
            </w:tcBorders>
            <w:shd w:val="clear" w:color="auto" w:fill="FFFFFF"/>
          </w:tcPr>
          <w:p w14:paraId="7C9DE94D" w14:textId="51A7E617"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46,72</w:t>
            </w:r>
          </w:p>
        </w:tc>
        <w:tc>
          <w:tcPr>
            <w:tcW w:w="776" w:type="dxa"/>
            <w:shd w:val="clear" w:color="auto" w:fill="FFFFFF"/>
          </w:tcPr>
          <w:p w14:paraId="510C188C" w14:textId="158D9E82"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117,08</w:t>
            </w:r>
          </w:p>
        </w:tc>
        <w:tc>
          <w:tcPr>
            <w:tcW w:w="1006" w:type="dxa"/>
            <w:shd w:val="clear" w:color="auto" w:fill="FFFFFF"/>
          </w:tcPr>
          <w:p w14:paraId="58168A26" w14:textId="30B9776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,45</w:t>
            </w:r>
          </w:p>
        </w:tc>
        <w:tc>
          <w:tcPr>
            <w:tcW w:w="1192" w:type="dxa"/>
            <w:shd w:val="clear" w:color="auto" w:fill="FFFFFF"/>
          </w:tcPr>
          <w:p w14:paraId="73BEC518" w14:textId="42EA1A93"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297F8E77"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4BE7760D" w14:textId="1D893077" w:rsidTr="00D37A42">
        <w:trPr>
          <w:cantSplit/>
          <w:trHeight w:val="283"/>
        </w:trPr>
        <w:tc>
          <w:tcPr>
            <w:tcW w:w="4400" w:type="dxa"/>
            <w:shd w:val="clear" w:color="auto" w:fill="auto"/>
          </w:tcPr>
          <w:p w14:paraId="48D9D984" w14:textId="02550F92"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9: Tarzımı belirli ünlülere göre belirlerim.</w:t>
            </w:r>
          </w:p>
        </w:tc>
        <w:tc>
          <w:tcPr>
            <w:tcW w:w="905" w:type="dxa"/>
            <w:tcBorders>
              <w:left w:val="nil"/>
            </w:tcBorders>
            <w:shd w:val="clear" w:color="auto" w:fill="FFFFFF"/>
          </w:tcPr>
          <w:p w14:paraId="687A834E" w14:textId="3132F385"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46,29</w:t>
            </w:r>
          </w:p>
        </w:tc>
        <w:tc>
          <w:tcPr>
            <w:tcW w:w="776" w:type="dxa"/>
            <w:shd w:val="clear" w:color="auto" w:fill="FFFFFF"/>
          </w:tcPr>
          <w:p w14:paraId="3F0C25D2" w14:textId="5A9C1C24"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114,71</w:t>
            </w:r>
          </w:p>
        </w:tc>
        <w:tc>
          <w:tcPr>
            <w:tcW w:w="1006" w:type="dxa"/>
            <w:shd w:val="clear" w:color="auto" w:fill="FFFFFF"/>
          </w:tcPr>
          <w:p w14:paraId="5013C500" w14:textId="0F28A81C"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,53</w:t>
            </w:r>
          </w:p>
        </w:tc>
        <w:tc>
          <w:tcPr>
            <w:tcW w:w="1192" w:type="dxa"/>
            <w:shd w:val="clear" w:color="auto" w:fill="FFFFFF"/>
          </w:tcPr>
          <w:p w14:paraId="2179776E" w14:textId="11D14261"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331518C7" w14:textId="061F107C" w:rsidR="00D37A42" w:rsidRPr="00F97C61" w:rsidRDefault="005147DC"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.59</w:t>
            </w:r>
          </w:p>
        </w:tc>
      </w:tr>
      <w:tr w:rsidR="00F97C61" w:rsidRPr="00F97C61" w14:paraId="235D393A" w14:textId="4B645213" w:rsidTr="00D37A42">
        <w:trPr>
          <w:cantSplit/>
          <w:trHeight w:val="283"/>
        </w:trPr>
        <w:tc>
          <w:tcPr>
            <w:tcW w:w="4400" w:type="dxa"/>
            <w:shd w:val="clear" w:color="auto" w:fill="auto"/>
          </w:tcPr>
          <w:p w14:paraId="6168B214" w14:textId="22D9D019"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15: Bir losyon/krem reklamı g</w:t>
            </w:r>
            <w:r w:rsidRPr="00F97C61">
              <w:rPr>
                <w:bCs/>
                <w:color w:val="000000" w:themeColor="text1"/>
                <w:sz w:val="18"/>
                <w:szCs w:val="18"/>
                <w:lang w:val="sv-SE"/>
              </w:rPr>
              <w:t>ö</w:t>
            </w:r>
            <w:proofErr w:type="spellStart"/>
            <w:r w:rsidRPr="00F97C61">
              <w:rPr>
                <w:bCs/>
                <w:color w:val="000000" w:themeColor="text1"/>
                <w:sz w:val="18"/>
                <w:szCs w:val="18"/>
              </w:rPr>
              <w:t>rdükten</w:t>
            </w:r>
            <w:proofErr w:type="spellEnd"/>
            <w:r w:rsidRPr="00F97C61">
              <w:rPr>
                <w:bCs/>
                <w:color w:val="000000" w:themeColor="text1"/>
                <w:sz w:val="18"/>
                <w:szCs w:val="18"/>
              </w:rPr>
              <w:t xml:space="preserve"> </w:t>
            </w:r>
            <w:proofErr w:type="gramStart"/>
            <w:r w:rsidRPr="00F97C61">
              <w:rPr>
                <w:bCs/>
                <w:color w:val="000000" w:themeColor="text1"/>
                <w:sz w:val="18"/>
                <w:szCs w:val="18"/>
              </w:rPr>
              <w:t>sonra  cildim</w:t>
            </w:r>
            <w:proofErr w:type="gramEnd"/>
            <w:r w:rsidRPr="00F97C61">
              <w:rPr>
                <w:bCs/>
                <w:color w:val="000000" w:themeColor="text1"/>
                <w:sz w:val="18"/>
                <w:szCs w:val="18"/>
              </w:rPr>
              <w:t xml:space="preserve"> bazen bana kuru gelir.</w:t>
            </w:r>
          </w:p>
        </w:tc>
        <w:tc>
          <w:tcPr>
            <w:tcW w:w="905" w:type="dxa"/>
            <w:tcBorders>
              <w:left w:val="nil"/>
            </w:tcBorders>
            <w:shd w:val="clear" w:color="auto" w:fill="FFFFFF"/>
          </w:tcPr>
          <w:p w14:paraId="08848B20" w14:textId="0AB51621"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46,56</w:t>
            </w:r>
          </w:p>
        </w:tc>
        <w:tc>
          <w:tcPr>
            <w:tcW w:w="776" w:type="dxa"/>
            <w:shd w:val="clear" w:color="auto" w:fill="FFFFFF"/>
          </w:tcPr>
          <w:p w14:paraId="5FDA06A4" w14:textId="31F0697F"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115,18</w:t>
            </w:r>
          </w:p>
        </w:tc>
        <w:tc>
          <w:tcPr>
            <w:tcW w:w="1006" w:type="dxa"/>
            <w:shd w:val="clear" w:color="auto" w:fill="FFFFFF"/>
          </w:tcPr>
          <w:p w14:paraId="4A3DAE60" w14:textId="02239F97"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,54</w:t>
            </w:r>
          </w:p>
        </w:tc>
        <w:tc>
          <w:tcPr>
            <w:tcW w:w="1192" w:type="dxa"/>
            <w:shd w:val="clear" w:color="auto" w:fill="FFFFFF"/>
          </w:tcPr>
          <w:p w14:paraId="3B5768D3" w14:textId="1713F3A8"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62AD7D30"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59852033" w14:textId="34A895EC" w:rsidTr="00D37A42">
        <w:trPr>
          <w:cantSplit/>
          <w:trHeight w:val="283"/>
        </w:trPr>
        <w:tc>
          <w:tcPr>
            <w:tcW w:w="4400" w:type="dxa"/>
            <w:tcBorders>
              <w:bottom w:val="single" w:sz="4" w:space="0" w:color="auto"/>
            </w:tcBorders>
            <w:shd w:val="clear" w:color="auto" w:fill="auto"/>
          </w:tcPr>
          <w:p w14:paraId="76C498F9" w14:textId="550319C5"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2: Dergi/Gazetelerden veya televizyondan bir</w:t>
            </w:r>
            <w:r w:rsidRPr="00F97C61">
              <w:rPr>
                <w:bCs/>
                <w:color w:val="000000" w:themeColor="text1"/>
                <w:sz w:val="18"/>
                <w:szCs w:val="18"/>
                <w:lang w:val="pt-PT"/>
              </w:rPr>
              <w:t>ç</w:t>
            </w:r>
            <w:r w:rsidRPr="00F97C61">
              <w:rPr>
                <w:bCs/>
                <w:color w:val="000000" w:themeColor="text1"/>
                <w:sz w:val="18"/>
                <w:szCs w:val="18"/>
              </w:rPr>
              <w:t>ok pratik tavsiye alırım.</w:t>
            </w:r>
          </w:p>
        </w:tc>
        <w:tc>
          <w:tcPr>
            <w:tcW w:w="905" w:type="dxa"/>
            <w:tcBorders>
              <w:left w:val="nil"/>
              <w:bottom w:val="single" w:sz="4" w:space="0" w:color="auto"/>
            </w:tcBorders>
            <w:shd w:val="clear" w:color="auto" w:fill="FFFFFF"/>
          </w:tcPr>
          <w:p w14:paraId="6F2D8150" w14:textId="601E972D"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46,88</w:t>
            </w:r>
          </w:p>
        </w:tc>
        <w:tc>
          <w:tcPr>
            <w:tcW w:w="776" w:type="dxa"/>
            <w:tcBorders>
              <w:bottom w:val="single" w:sz="4" w:space="0" w:color="auto"/>
            </w:tcBorders>
            <w:shd w:val="clear" w:color="auto" w:fill="FFFFFF"/>
          </w:tcPr>
          <w:p w14:paraId="3FC6D9D1" w14:textId="086DF67E"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116,45</w:t>
            </w:r>
          </w:p>
        </w:tc>
        <w:tc>
          <w:tcPr>
            <w:tcW w:w="1006" w:type="dxa"/>
            <w:tcBorders>
              <w:bottom w:val="single" w:sz="4" w:space="0" w:color="auto"/>
            </w:tcBorders>
            <w:shd w:val="clear" w:color="auto" w:fill="FFFFFF"/>
          </w:tcPr>
          <w:p w14:paraId="4A9EF53A" w14:textId="2BAE14B6"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,43</w:t>
            </w:r>
          </w:p>
        </w:tc>
        <w:tc>
          <w:tcPr>
            <w:tcW w:w="1192" w:type="dxa"/>
            <w:tcBorders>
              <w:bottom w:val="single" w:sz="4" w:space="0" w:color="auto"/>
            </w:tcBorders>
            <w:shd w:val="clear" w:color="auto" w:fill="FFFFFF"/>
          </w:tcPr>
          <w:p w14:paraId="4F3284CA" w14:textId="042D1D73" w:rsidR="00D37A42" w:rsidRPr="00F97C61" w:rsidRDefault="00D37A42" w:rsidP="00D37A42">
            <w:pPr>
              <w:spacing w:after="0" w:line="240" w:lineRule="auto"/>
              <w:rPr>
                <w:rFonts w:cs="Times New Roman"/>
                <w:color w:val="000000" w:themeColor="text1"/>
                <w:sz w:val="18"/>
                <w:szCs w:val="18"/>
              </w:rPr>
            </w:pPr>
            <w:r w:rsidRPr="00F97C61">
              <w:rPr>
                <w:rFonts w:cs="Times New Roman"/>
                <w:color w:val="000000" w:themeColor="text1"/>
                <w:sz w:val="18"/>
                <w:szCs w:val="18"/>
              </w:rPr>
              <w:t>,86</w:t>
            </w:r>
          </w:p>
        </w:tc>
        <w:tc>
          <w:tcPr>
            <w:tcW w:w="1294" w:type="dxa"/>
            <w:tcBorders>
              <w:bottom w:val="single" w:sz="4" w:space="0" w:color="auto"/>
              <w:right w:val="nil"/>
            </w:tcBorders>
            <w:shd w:val="clear" w:color="auto" w:fill="FFFFFF"/>
          </w:tcPr>
          <w:p w14:paraId="428C3F66" w14:textId="77777777" w:rsidR="00D37A42" w:rsidRPr="00F97C61" w:rsidRDefault="00D37A42" w:rsidP="00D37A42">
            <w:pPr>
              <w:spacing w:after="0" w:line="240" w:lineRule="auto"/>
              <w:rPr>
                <w:rFonts w:cs="Times New Roman"/>
                <w:color w:val="000000" w:themeColor="text1"/>
                <w:sz w:val="18"/>
                <w:szCs w:val="18"/>
              </w:rPr>
            </w:pPr>
          </w:p>
        </w:tc>
      </w:tr>
      <w:tr w:rsidR="00F97C61" w:rsidRPr="00F97C61" w14:paraId="645D6C7B" w14:textId="1968FC88" w:rsidTr="00D37A42">
        <w:trPr>
          <w:cantSplit/>
          <w:trHeight w:val="283"/>
        </w:trPr>
        <w:tc>
          <w:tcPr>
            <w:tcW w:w="4400" w:type="dxa"/>
            <w:tcBorders>
              <w:top w:val="single" w:sz="4" w:space="0" w:color="auto"/>
            </w:tcBorders>
            <w:shd w:val="clear" w:color="auto" w:fill="auto"/>
          </w:tcPr>
          <w:p w14:paraId="63313BE3" w14:textId="6BF428FF" w:rsidR="00D37A42" w:rsidRPr="00F97C61" w:rsidRDefault="00D37A42" w:rsidP="00D37A42">
            <w:pPr>
              <w:spacing w:after="0" w:line="240" w:lineRule="auto"/>
              <w:jc w:val="left"/>
              <w:rPr>
                <w:b/>
                <w:color w:val="000000" w:themeColor="text1"/>
                <w:sz w:val="18"/>
                <w:szCs w:val="18"/>
              </w:rPr>
            </w:pPr>
            <w:r w:rsidRPr="00F97C61">
              <w:rPr>
                <w:b/>
                <w:color w:val="000000" w:themeColor="text1"/>
                <w:sz w:val="18"/>
                <w:szCs w:val="18"/>
              </w:rPr>
              <w:t>Faktör 5</w:t>
            </w:r>
          </w:p>
        </w:tc>
        <w:tc>
          <w:tcPr>
            <w:tcW w:w="905" w:type="dxa"/>
            <w:tcBorders>
              <w:top w:val="single" w:sz="4" w:space="0" w:color="auto"/>
              <w:left w:val="nil"/>
            </w:tcBorders>
            <w:shd w:val="clear" w:color="auto" w:fill="FFFFFF"/>
          </w:tcPr>
          <w:p w14:paraId="72D35ADD" w14:textId="103EEA3E"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46,69</w:t>
            </w:r>
          </w:p>
        </w:tc>
        <w:tc>
          <w:tcPr>
            <w:tcW w:w="776" w:type="dxa"/>
            <w:tcBorders>
              <w:top w:val="single" w:sz="4" w:space="0" w:color="auto"/>
            </w:tcBorders>
            <w:shd w:val="clear" w:color="auto" w:fill="FFFFFF"/>
          </w:tcPr>
          <w:p w14:paraId="3151C39A" w14:textId="1751C6BE"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114,21</w:t>
            </w:r>
          </w:p>
        </w:tc>
        <w:tc>
          <w:tcPr>
            <w:tcW w:w="1006" w:type="dxa"/>
            <w:tcBorders>
              <w:top w:val="single" w:sz="4" w:space="0" w:color="auto"/>
            </w:tcBorders>
            <w:shd w:val="clear" w:color="auto" w:fill="FFFFFF"/>
          </w:tcPr>
          <w:p w14:paraId="28C9B367" w14:textId="0858032B"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,50</w:t>
            </w:r>
          </w:p>
        </w:tc>
        <w:tc>
          <w:tcPr>
            <w:tcW w:w="1192" w:type="dxa"/>
            <w:tcBorders>
              <w:top w:val="single" w:sz="4" w:space="0" w:color="auto"/>
            </w:tcBorders>
            <w:shd w:val="clear" w:color="auto" w:fill="FFFFFF"/>
          </w:tcPr>
          <w:p w14:paraId="5CF442B2" w14:textId="29475ECD"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,86</w:t>
            </w:r>
          </w:p>
        </w:tc>
        <w:tc>
          <w:tcPr>
            <w:tcW w:w="1294" w:type="dxa"/>
            <w:tcBorders>
              <w:top w:val="single" w:sz="4" w:space="0" w:color="auto"/>
              <w:right w:val="nil"/>
            </w:tcBorders>
            <w:shd w:val="clear" w:color="auto" w:fill="FFFFFF"/>
          </w:tcPr>
          <w:p w14:paraId="6BACA407" w14:textId="77777777" w:rsidR="00D37A42" w:rsidRPr="00F97C61" w:rsidRDefault="00D37A42" w:rsidP="00D37A42">
            <w:pPr>
              <w:spacing w:after="0" w:line="240" w:lineRule="auto"/>
              <w:jc w:val="center"/>
              <w:rPr>
                <w:rFonts w:cs="Times New Roman"/>
                <w:color w:val="000000" w:themeColor="text1"/>
                <w:sz w:val="18"/>
                <w:szCs w:val="18"/>
              </w:rPr>
            </w:pPr>
          </w:p>
        </w:tc>
      </w:tr>
      <w:tr w:rsidR="00F97C61" w:rsidRPr="00F97C61" w14:paraId="2FA8431A" w14:textId="591D8A57" w:rsidTr="00D37A42">
        <w:trPr>
          <w:cantSplit/>
          <w:trHeight w:val="269"/>
        </w:trPr>
        <w:tc>
          <w:tcPr>
            <w:tcW w:w="4400" w:type="dxa"/>
            <w:shd w:val="clear" w:color="auto" w:fill="auto"/>
          </w:tcPr>
          <w:p w14:paraId="1DA29B2F" w14:textId="622FEB5A"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11: Bir karar verirken genellikle başkalarının tavsiyelerine uyarım.</w:t>
            </w:r>
          </w:p>
        </w:tc>
        <w:tc>
          <w:tcPr>
            <w:tcW w:w="905" w:type="dxa"/>
            <w:tcBorders>
              <w:left w:val="nil"/>
            </w:tcBorders>
            <w:shd w:val="clear" w:color="auto" w:fill="FFFFFF"/>
          </w:tcPr>
          <w:p w14:paraId="02280F0D" w14:textId="0072AB57"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46,92</w:t>
            </w:r>
          </w:p>
        </w:tc>
        <w:tc>
          <w:tcPr>
            <w:tcW w:w="776" w:type="dxa"/>
            <w:shd w:val="clear" w:color="auto" w:fill="FFFFFF"/>
          </w:tcPr>
          <w:p w14:paraId="55D6294F" w14:textId="374230D4"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114,97</w:t>
            </w:r>
          </w:p>
        </w:tc>
        <w:tc>
          <w:tcPr>
            <w:tcW w:w="1006" w:type="dxa"/>
            <w:shd w:val="clear" w:color="auto" w:fill="FFFFFF"/>
          </w:tcPr>
          <w:p w14:paraId="13FB8F66" w14:textId="62010556"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,54</w:t>
            </w:r>
          </w:p>
        </w:tc>
        <w:tc>
          <w:tcPr>
            <w:tcW w:w="1192" w:type="dxa"/>
            <w:shd w:val="clear" w:color="auto" w:fill="FFFFFF"/>
          </w:tcPr>
          <w:p w14:paraId="34B9026A" w14:textId="7C524815"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5D5117BA" w14:textId="53BEDDE5" w:rsidR="00D37A42" w:rsidRPr="00F97C61" w:rsidRDefault="005147DC" w:rsidP="005147DC">
            <w:pPr>
              <w:spacing w:after="0" w:line="240" w:lineRule="auto"/>
              <w:rPr>
                <w:rFonts w:cs="Times New Roman"/>
                <w:color w:val="000000" w:themeColor="text1"/>
                <w:sz w:val="18"/>
                <w:szCs w:val="18"/>
              </w:rPr>
            </w:pPr>
            <w:r w:rsidRPr="00F97C61">
              <w:rPr>
                <w:rFonts w:cs="Times New Roman"/>
                <w:color w:val="000000" w:themeColor="text1"/>
                <w:sz w:val="18"/>
                <w:szCs w:val="18"/>
              </w:rPr>
              <w:t>.71</w:t>
            </w:r>
          </w:p>
        </w:tc>
      </w:tr>
      <w:tr w:rsidR="00F97C61" w:rsidRPr="00F97C61" w14:paraId="3FD951E3" w14:textId="0B081889" w:rsidTr="00D37A42">
        <w:trPr>
          <w:cantSplit/>
          <w:trHeight w:val="283"/>
        </w:trPr>
        <w:tc>
          <w:tcPr>
            <w:tcW w:w="4400" w:type="dxa"/>
            <w:shd w:val="clear" w:color="auto" w:fill="auto"/>
          </w:tcPr>
          <w:p w14:paraId="65231C5A" w14:textId="2BD40094"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 xml:space="preserve">Madde 13: Başkalarından </w:t>
            </w:r>
            <w:r w:rsidRPr="00F97C61">
              <w:rPr>
                <w:bCs/>
                <w:color w:val="000000" w:themeColor="text1"/>
                <w:sz w:val="18"/>
                <w:szCs w:val="18"/>
                <w:lang w:val="pt-PT"/>
              </w:rPr>
              <w:t>ç</w:t>
            </w:r>
            <w:r w:rsidRPr="00F97C61">
              <w:rPr>
                <w:bCs/>
                <w:color w:val="000000" w:themeColor="text1"/>
                <w:sz w:val="18"/>
                <w:szCs w:val="18"/>
              </w:rPr>
              <w:t>ok sayıda iyi fikirler alırım</w:t>
            </w:r>
          </w:p>
        </w:tc>
        <w:tc>
          <w:tcPr>
            <w:tcW w:w="905" w:type="dxa"/>
            <w:tcBorders>
              <w:left w:val="nil"/>
            </w:tcBorders>
            <w:shd w:val="clear" w:color="auto" w:fill="FFFFFF"/>
          </w:tcPr>
          <w:p w14:paraId="0F0395B8" w14:textId="5B299589"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47,32</w:t>
            </w:r>
          </w:p>
        </w:tc>
        <w:tc>
          <w:tcPr>
            <w:tcW w:w="776" w:type="dxa"/>
            <w:shd w:val="clear" w:color="auto" w:fill="FFFFFF"/>
          </w:tcPr>
          <w:p w14:paraId="17937256" w14:textId="01580BA3"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114,59</w:t>
            </w:r>
          </w:p>
        </w:tc>
        <w:tc>
          <w:tcPr>
            <w:tcW w:w="1006" w:type="dxa"/>
            <w:shd w:val="clear" w:color="auto" w:fill="FFFFFF"/>
          </w:tcPr>
          <w:p w14:paraId="0E961374" w14:textId="4844FA8B"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,48</w:t>
            </w:r>
          </w:p>
        </w:tc>
        <w:tc>
          <w:tcPr>
            <w:tcW w:w="1192" w:type="dxa"/>
            <w:shd w:val="clear" w:color="auto" w:fill="FFFFFF"/>
          </w:tcPr>
          <w:p w14:paraId="2E75042F" w14:textId="34F7E2EB"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,86</w:t>
            </w:r>
          </w:p>
        </w:tc>
        <w:tc>
          <w:tcPr>
            <w:tcW w:w="1294" w:type="dxa"/>
            <w:tcBorders>
              <w:right w:val="nil"/>
            </w:tcBorders>
            <w:shd w:val="clear" w:color="auto" w:fill="FFFFFF"/>
          </w:tcPr>
          <w:p w14:paraId="50A1EAB4" w14:textId="77777777" w:rsidR="00D37A42" w:rsidRPr="00F97C61" w:rsidRDefault="00D37A42" w:rsidP="00D37A42">
            <w:pPr>
              <w:spacing w:after="0" w:line="240" w:lineRule="auto"/>
              <w:jc w:val="center"/>
              <w:rPr>
                <w:rFonts w:cs="Times New Roman"/>
                <w:color w:val="000000" w:themeColor="text1"/>
                <w:sz w:val="18"/>
                <w:szCs w:val="18"/>
              </w:rPr>
            </w:pPr>
          </w:p>
        </w:tc>
      </w:tr>
      <w:tr w:rsidR="00F97C61" w:rsidRPr="00F97C61" w14:paraId="6AFC6E5C" w14:textId="6EB5D84D" w:rsidTr="00D37A42">
        <w:trPr>
          <w:cantSplit/>
          <w:trHeight w:val="283"/>
        </w:trPr>
        <w:tc>
          <w:tcPr>
            <w:tcW w:w="4400" w:type="dxa"/>
            <w:tcBorders>
              <w:bottom w:val="single" w:sz="4" w:space="0" w:color="auto"/>
            </w:tcBorders>
            <w:shd w:val="clear" w:color="auto" w:fill="auto"/>
          </w:tcPr>
          <w:p w14:paraId="40AB8A48" w14:textId="148177D5" w:rsidR="00D37A42" w:rsidRPr="00F97C61" w:rsidRDefault="00D37A42" w:rsidP="00D37A42">
            <w:pPr>
              <w:spacing w:after="0" w:line="240" w:lineRule="auto"/>
              <w:jc w:val="left"/>
              <w:rPr>
                <w:bCs/>
                <w:color w:val="000000" w:themeColor="text1"/>
                <w:sz w:val="18"/>
                <w:szCs w:val="18"/>
              </w:rPr>
            </w:pPr>
            <w:r w:rsidRPr="00F97C61">
              <w:rPr>
                <w:bCs/>
                <w:color w:val="000000" w:themeColor="text1"/>
                <w:sz w:val="18"/>
                <w:szCs w:val="18"/>
              </w:rPr>
              <w:t>Madde 1: Başkalarının fikirlerinden kolayca etkilenirim.</w:t>
            </w:r>
          </w:p>
        </w:tc>
        <w:tc>
          <w:tcPr>
            <w:tcW w:w="905" w:type="dxa"/>
            <w:tcBorders>
              <w:left w:val="nil"/>
              <w:bottom w:val="single" w:sz="4" w:space="0" w:color="auto"/>
            </w:tcBorders>
            <w:shd w:val="clear" w:color="auto" w:fill="FFFFFF"/>
          </w:tcPr>
          <w:p w14:paraId="0FE4D296" w14:textId="5ECF8FA2"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47,80</w:t>
            </w:r>
          </w:p>
        </w:tc>
        <w:tc>
          <w:tcPr>
            <w:tcW w:w="776" w:type="dxa"/>
            <w:tcBorders>
              <w:bottom w:val="single" w:sz="4" w:space="0" w:color="auto"/>
            </w:tcBorders>
            <w:shd w:val="clear" w:color="auto" w:fill="FFFFFF"/>
          </w:tcPr>
          <w:p w14:paraId="586F8395" w14:textId="29C31ECB"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120,78</w:t>
            </w:r>
          </w:p>
        </w:tc>
        <w:tc>
          <w:tcPr>
            <w:tcW w:w="1006" w:type="dxa"/>
            <w:tcBorders>
              <w:bottom w:val="single" w:sz="4" w:space="0" w:color="auto"/>
            </w:tcBorders>
            <w:shd w:val="clear" w:color="auto" w:fill="FFFFFF"/>
          </w:tcPr>
          <w:p w14:paraId="4917C2B8" w14:textId="194C9505"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,30</w:t>
            </w:r>
          </w:p>
        </w:tc>
        <w:tc>
          <w:tcPr>
            <w:tcW w:w="1192" w:type="dxa"/>
            <w:tcBorders>
              <w:bottom w:val="single" w:sz="4" w:space="0" w:color="auto"/>
            </w:tcBorders>
            <w:shd w:val="clear" w:color="auto" w:fill="FFFFFF"/>
          </w:tcPr>
          <w:p w14:paraId="2F95F3A6" w14:textId="24C9248B" w:rsidR="00D37A42" w:rsidRPr="00F97C61" w:rsidRDefault="00D37A42" w:rsidP="00D37A42">
            <w:pPr>
              <w:spacing w:after="0" w:line="240" w:lineRule="auto"/>
              <w:jc w:val="left"/>
              <w:rPr>
                <w:rFonts w:cs="Times New Roman"/>
                <w:color w:val="000000" w:themeColor="text1"/>
                <w:sz w:val="18"/>
                <w:szCs w:val="18"/>
              </w:rPr>
            </w:pPr>
            <w:r w:rsidRPr="00F97C61">
              <w:rPr>
                <w:rFonts w:cs="Times New Roman"/>
                <w:color w:val="000000" w:themeColor="text1"/>
                <w:sz w:val="18"/>
                <w:szCs w:val="18"/>
              </w:rPr>
              <w:t>,86</w:t>
            </w:r>
          </w:p>
        </w:tc>
        <w:tc>
          <w:tcPr>
            <w:tcW w:w="1294" w:type="dxa"/>
            <w:tcBorders>
              <w:bottom w:val="single" w:sz="4" w:space="0" w:color="auto"/>
              <w:right w:val="nil"/>
            </w:tcBorders>
            <w:shd w:val="clear" w:color="auto" w:fill="FFFFFF"/>
          </w:tcPr>
          <w:p w14:paraId="5137E4CD" w14:textId="77777777" w:rsidR="00D37A42" w:rsidRPr="00F97C61" w:rsidRDefault="00D37A42" w:rsidP="00D37A42">
            <w:pPr>
              <w:spacing w:after="0" w:line="240" w:lineRule="auto"/>
              <w:jc w:val="center"/>
              <w:rPr>
                <w:rFonts w:cs="Times New Roman"/>
                <w:color w:val="000000" w:themeColor="text1"/>
                <w:sz w:val="18"/>
                <w:szCs w:val="18"/>
              </w:rPr>
            </w:pPr>
          </w:p>
        </w:tc>
      </w:tr>
      <w:bookmarkEnd w:id="2"/>
    </w:tbl>
    <w:p w14:paraId="1CED4F39" w14:textId="30A8096E" w:rsidR="00C96270" w:rsidRPr="00F97C61" w:rsidRDefault="00C96270">
      <w:pPr>
        <w:spacing w:after="0" w:line="240" w:lineRule="auto"/>
        <w:jc w:val="left"/>
        <w:rPr>
          <w:color w:val="000000" w:themeColor="text1"/>
        </w:rPr>
      </w:pPr>
    </w:p>
    <w:p w14:paraId="1426AC6C" w14:textId="13D9D862" w:rsidR="00EB01B9" w:rsidRPr="00F97C61" w:rsidRDefault="004C22A1" w:rsidP="00D25F53">
      <w:pPr>
        <w:spacing w:line="360" w:lineRule="auto"/>
        <w:ind w:left="851"/>
        <w:rPr>
          <w:color w:val="000000" w:themeColor="text1"/>
        </w:rPr>
      </w:pPr>
      <w:r w:rsidRPr="00F97C61">
        <w:rPr>
          <w:color w:val="000000" w:themeColor="text1"/>
        </w:rPr>
        <w:t xml:space="preserve">Kısa Telkine Yatkınlık </w:t>
      </w:r>
      <w:proofErr w:type="spellStart"/>
      <w:r w:rsidRPr="00F97C61">
        <w:rPr>
          <w:color w:val="000000" w:themeColor="text1"/>
        </w:rPr>
        <w:t>Ölçeği’nin</w:t>
      </w:r>
      <w:proofErr w:type="spellEnd"/>
      <w:r w:rsidR="00A42654" w:rsidRPr="00F97C61">
        <w:rPr>
          <w:color w:val="000000" w:themeColor="text1"/>
        </w:rPr>
        <w:t xml:space="preserve"> zamana karşı değişmezliği 2 hafta ara ile değerlendirilmiş ve iki ölçüm arasında pozitif yönde </w:t>
      </w:r>
      <w:r w:rsidR="00E72C1E" w:rsidRPr="00F97C61">
        <w:rPr>
          <w:color w:val="000000" w:themeColor="text1"/>
        </w:rPr>
        <w:t xml:space="preserve">yüksek düzeyde </w:t>
      </w:r>
      <w:r w:rsidR="00A42654" w:rsidRPr="00F97C61">
        <w:rPr>
          <w:color w:val="000000" w:themeColor="text1"/>
        </w:rPr>
        <w:t>(r=0.</w:t>
      </w:r>
      <w:proofErr w:type="gramStart"/>
      <w:r w:rsidR="00A42654" w:rsidRPr="00F97C61">
        <w:rPr>
          <w:color w:val="000000" w:themeColor="text1"/>
        </w:rPr>
        <w:t>85</w:t>
      </w:r>
      <w:r w:rsidR="00E72C1E" w:rsidRPr="00F97C61">
        <w:rPr>
          <w:color w:val="000000" w:themeColor="text1"/>
        </w:rPr>
        <w:t>;p</w:t>
      </w:r>
      <w:proofErr w:type="gramEnd"/>
      <w:r w:rsidR="00E72C1E" w:rsidRPr="00F97C61">
        <w:rPr>
          <w:color w:val="000000" w:themeColor="text1"/>
        </w:rPr>
        <w:t>&lt;.01</w:t>
      </w:r>
      <w:r w:rsidR="00A42654" w:rsidRPr="00F97C61">
        <w:rPr>
          <w:color w:val="000000" w:themeColor="text1"/>
        </w:rPr>
        <w:t xml:space="preserve">) anlamlı ilişki bulunmuştur. </w:t>
      </w:r>
    </w:p>
    <w:p w14:paraId="2E6AC4EB" w14:textId="77777777" w:rsidR="00EB4D4C" w:rsidRPr="00F97C61" w:rsidRDefault="00EB4D4C" w:rsidP="00B24AB4">
      <w:pPr>
        <w:spacing w:line="360" w:lineRule="auto"/>
        <w:rPr>
          <w:b/>
          <w:bCs/>
          <w:color w:val="000000" w:themeColor="text1"/>
        </w:rPr>
      </w:pPr>
    </w:p>
    <w:p w14:paraId="1ECD1F36" w14:textId="58BEE52D" w:rsidR="00A42654" w:rsidRPr="00F97C61" w:rsidRDefault="00A42654" w:rsidP="00BD0596">
      <w:pPr>
        <w:spacing w:line="360" w:lineRule="auto"/>
        <w:ind w:left="851"/>
        <w:rPr>
          <w:color w:val="000000" w:themeColor="text1"/>
        </w:rPr>
      </w:pPr>
      <w:r w:rsidRPr="00F97C61">
        <w:rPr>
          <w:b/>
          <w:bCs/>
          <w:color w:val="000000" w:themeColor="text1"/>
        </w:rPr>
        <w:lastRenderedPageBreak/>
        <w:t xml:space="preserve">Geçerlik </w:t>
      </w:r>
    </w:p>
    <w:p w14:paraId="3E3317D6" w14:textId="77777777" w:rsidR="00A42654" w:rsidRPr="00F97C61" w:rsidRDefault="00A42654" w:rsidP="00BD0596">
      <w:pPr>
        <w:spacing w:line="360" w:lineRule="auto"/>
        <w:ind w:left="851"/>
        <w:rPr>
          <w:color w:val="000000" w:themeColor="text1"/>
        </w:rPr>
      </w:pPr>
      <w:r w:rsidRPr="00F97C61">
        <w:rPr>
          <w:b/>
          <w:bCs/>
          <w:color w:val="000000" w:themeColor="text1"/>
        </w:rPr>
        <w:t>Yapı Geçerliği</w:t>
      </w:r>
    </w:p>
    <w:p w14:paraId="49262F94" w14:textId="7BED8CA0" w:rsidR="00A42654" w:rsidRPr="00F97C61" w:rsidRDefault="00A42654" w:rsidP="00BD0596">
      <w:pPr>
        <w:spacing w:line="360" w:lineRule="auto"/>
        <w:ind w:left="851"/>
        <w:rPr>
          <w:color w:val="000000" w:themeColor="text1"/>
        </w:rPr>
      </w:pPr>
      <w:r w:rsidRPr="00F97C61">
        <w:rPr>
          <w:color w:val="000000" w:themeColor="text1"/>
        </w:rPr>
        <w:t>Ölçeğin yapı geçerliğini test etmek amacıyla</w:t>
      </w:r>
      <w:r w:rsidR="0064104F">
        <w:rPr>
          <w:color w:val="000000" w:themeColor="text1"/>
        </w:rPr>
        <w:t xml:space="preserve"> öncelikle</w:t>
      </w:r>
      <w:r w:rsidRPr="00F97C61">
        <w:rPr>
          <w:color w:val="000000" w:themeColor="text1"/>
        </w:rPr>
        <w:t xml:space="preserve"> </w:t>
      </w:r>
      <w:proofErr w:type="spellStart"/>
      <w:r w:rsidRPr="00F97C61">
        <w:rPr>
          <w:color w:val="000000" w:themeColor="text1"/>
        </w:rPr>
        <w:t>açımlayıcı</w:t>
      </w:r>
      <w:proofErr w:type="spellEnd"/>
      <w:r w:rsidRPr="00F97C61">
        <w:rPr>
          <w:color w:val="000000" w:themeColor="text1"/>
        </w:rPr>
        <w:t xml:space="preserve"> faktör analizi-AFA uygulanmıştır. Analiz öncesinde verilerin faktör çözümlemesine uygun olup olmadığını belirlemek amacıyla öncelikle </w:t>
      </w:r>
      <w:proofErr w:type="spellStart"/>
      <w:r w:rsidRPr="00F97C61">
        <w:rPr>
          <w:color w:val="000000" w:themeColor="text1"/>
        </w:rPr>
        <w:t>Kaiser-Meyer</w:t>
      </w:r>
      <w:proofErr w:type="spellEnd"/>
      <w:r w:rsidRPr="00F97C61">
        <w:rPr>
          <w:color w:val="000000" w:themeColor="text1"/>
        </w:rPr>
        <w:t xml:space="preserve"> </w:t>
      </w:r>
      <w:proofErr w:type="spellStart"/>
      <w:r w:rsidRPr="00F97C61">
        <w:rPr>
          <w:color w:val="000000" w:themeColor="text1"/>
        </w:rPr>
        <w:t>Olkin</w:t>
      </w:r>
      <w:proofErr w:type="spellEnd"/>
      <w:r w:rsidRPr="00F97C61">
        <w:rPr>
          <w:color w:val="000000" w:themeColor="text1"/>
        </w:rPr>
        <w:t xml:space="preserve"> (KMO) ve </w:t>
      </w:r>
      <w:proofErr w:type="spellStart"/>
      <w:r w:rsidRPr="00F97C61">
        <w:rPr>
          <w:color w:val="000000" w:themeColor="text1"/>
        </w:rPr>
        <w:t>Barlett’s</w:t>
      </w:r>
      <w:proofErr w:type="spellEnd"/>
      <w:r w:rsidRPr="00F97C61">
        <w:rPr>
          <w:color w:val="000000" w:themeColor="text1"/>
        </w:rPr>
        <w:t xml:space="preserve"> testleri uygulanmıştır. Beklenildiği gibi KMO değeri ,60’ın üstünde</w:t>
      </w:r>
      <w:r w:rsidR="001002CA" w:rsidRPr="00F97C61">
        <w:rPr>
          <w:color w:val="000000" w:themeColor="text1"/>
        </w:rPr>
        <w:t xml:space="preserve"> (Büyüköztürk, 2002: 470-483)</w:t>
      </w:r>
      <w:r w:rsidRPr="00F97C61">
        <w:rPr>
          <w:color w:val="000000" w:themeColor="text1"/>
        </w:rPr>
        <w:t xml:space="preserve"> ,85 olarak, </w:t>
      </w:r>
      <w:proofErr w:type="spellStart"/>
      <w:r w:rsidRPr="00F97C61">
        <w:rPr>
          <w:color w:val="000000" w:themeColor="text1"/>
        </w:rPr>
        <w:t>Barlett’s</w:t>
      </w:r>
      <w:proofErr w:type="spellEnd"/>
      <w:r w:rsidRPr="00F97C61">
        <w:rPr>
          <w:color w:val="000000" w:themeColor="text1"/>
        </w:rPr>
        <w:t xml:space="preserve"> testi sonucu ise anlamlı bulunmuştur, χ² (210, N = 294) = 16</w:t>
      </w:r>
      <w:r w:rsidR="00B84A79" w:rsidRPr="00F97C61">
        <w:rPr>
          <w:color w:val="000000" w:themeColor="text1"/>
        </w:rPr>
        <w:t>91</w:t>
      </w:r>
      <w:r w:rsidRPr="00F97C61">
        <w:rPr>
          <w:color w:val="000000" w:themeColor="text1"/>
        </w:rPr>
        <w:t>,</w:t>
      </w:r>
      <w:r w:rsidR="00B84A79" w:rsidRPr="00F97C61">
        <w:rPr>
          <w:color w:val="000000" w:themeColor="text1"/>
        </w:rPr>
        <w:t>52</w:t>
      </w:r>
      <w:r w:rsidRPr="00F97C61">
        <w:rPr>
          <w:color w:val="000000" w:themeColor="text1"/>
        </w:rPr>
        <w:t>; p&lt;.001</w:t>
      </w:r>
      <w:r w:rsidR="004A3EF6" w:rsidRPr="00F97C61">
        <w:rPr>
          <w:color w:val="000000" w:themeColor="text1"/>
        </w:rPr>
        <w:t>.</w:t>
      </w:r>
      <w:r w:rsidRPr="00F97C61">
        <w:rPr>
          <w:color w:val="000000" w:themeColor="text1"/>
        </w:rPr>
        <w:t xml:space="preserve"> Bu sonuçlar, maddeler arası ilişkilerin faktör analizine uygun olduğunu göstermektedir.</w:t>
      </w:r>
    </w:p>
    <w:p w14:paraId="58FC1B81" w14:textId="04A0E7AE" w:rsidR="00A42654" w:rsidRPr="00F97C61" w:rsidRDefault="00A42654" w:rsidP="00BD0596">
      <w:pPr>
        <w:spacing w:line="360" w:lineRule="auto"/>
        <w:ind w:left="851"/>
        <w:rPr>
          <w:color w:val="000000" w:themeColor="text1"/>
        </w:rPr>
      </w:pPr>
      <w:r w:rsidRPr="00F97C61">
        <w:rPr>
          <w:color w:val="000000" w:themeColor="text1"/>
        </w:rPr>
        <w:t xml:space="preserve">Faktör yapısını belirlemek amacıyla </w:t>
      </w:r>
      <w:proofErr w:type="spellStart"/>
      <w:r w:rsidRPr="00F97C61">
        <w:rPr>
          <w:color w:val="000000" w:themeColor="text1"/>
        </w:rPr>
        <w:t>varimax</w:t>
      </w:r>
      <w:proofErr w:type="spellEnd"/>
      <w:r w:rsidRPr="00F97C61">
        <w:rPr>
          <w:color w:val="000000" w:themeColor="text1"/>
        </w:rPr>
        <w:t xml:space="preserve"> döndürmesi kullanılarak AFA yürütülmüştür. AFA sonuçlarına göre </w:t>
      </w:r>
      <w:proofErr w:type="spellStart"/>
      <w:r w:rsidRPr="00F97C61">
        <w:rPr>
          <w:color w:val="000000" w:themeColor="text1"/>
        </w:rPr>
        <w:t>özdeğeri</w:t>
      </w:r>
      <w:proofErr w:type="spellEnd"/>
      <w:r w:rsidRPr="00F97C61">
        <w:rPr>
          <w:color w:val="000000" w:themeColor="text1"/>
        </w:rPr>
        <w:t xml:space="preserve"> 1’den büyük olan (</w:t>
      </w:r>
      <w:r w:rsidR="00B84A79" w:rsidRPr="00F97C61">
        <w:rPr>
          <w:color w:val="000000" w:themeColor="text1"/>
        </w:rPr>
        <w:t>1,13</w:t>
      </w:r>
      <w:r w:rsidRPr="00F97C61">
        <w:rPr>
          <w:color w:val="000000" w:themeColor="text1"/>
        </w:rPr>
        <w:t>-5,92 arasında)</w:t>
      </w:r>
      <w:r w:rsidR="00B84A79" w:rsidRPr="00F97C61">
        <w:rPr>
          <w:color w:val="000000" w:themeColor="text1"/>
        </w:rPr>
        <w:t xml:space="preserve"> 5</w:t>
      </w:r>
      <w:r w:rsidRPr="00F97C61">
        <w:rPr>
          <w:color w:val="000000" w:themeColor="text1"/>
        </w:rPr>
        <w:t xml:space="preserve"> faktörün, toplam </w:t>
      </w:r>
      <w:proofErr w:type="spellStart"/>
      <w:r w:rsidRPr="00F97C61">
        <w:rPr>
          <w:color w:val="000000" w:themeColor="text1"/>
        </w:rPr>
        <w:t>varyansın</w:t>
      </w:r>
      <w:proofErr w:type="spellEnd"/>
      <w:r w:rsidRPr="00F97C61">
        <w:rPr>
          <w:color w:val="000000" w:themeColor="text1"/>
        </w:rPr>
        <w:t xml:space="preserve"> %5</w:t>
      </w:r>
      <w:r w:rsidR="00B84A79" w:rsidRPr="00F97C61">
        <w:rPr>
          <w:color w:val="000000" w:themeColor="text1"/>
        </w:rPr>
        <w:t>2</w:t>
      </w:r>
      <w:r w:rsidRPr="00F97C61">
        <w:rPr>
          <w:color w:val="000000" w:themeColor="text1"/>
        </w:rPr>
        <w:t>,5</w:t>
      </w:r>
      <w:r w:rsidR="00B84A79" w:rsidRPr="00F97C61">
        <w:rPr>
          <w:color w:val="000000" w:themeColor="text1"/>
        </w:rPr>
        <w:t>9</w:t>
      </w:r>
      <w:r w:rsidRPr="00F97C61">
        <w:rPr>
          <w:color w:val="000000" w:themeColor="text1"/>
        </w:rPr>
        <w:t>’</w:t>
      </w:r>
      <w:r w:rsidR="00B84A79" w:rsidRPr="00F97C61">
        <w:rPr>
          <w:color w:val="000000" w:themeColor="text1"/>
        </w:rPr>
        <w:t>unu</w:t>
      </w:r>
      <w:r w:rsidRPr="00F97C61">
        <w:rPr>
          <w:color w:val="000000" w:themeColor="text1"/>
        </w:rPr>
        <w:t xml:space="preserve"> açıkladığı görülmüştür. Döndürme işlemi sonrasında birinci faktörün </w:t>
      </w:r>
      <w:r w:rsidR="00B84A79" w:rsidRPr="00F97C61">
        <w:rPr>
          <w:color w:val="000000" w:themeColor="text1"/>
        </w:rPr>
        <w:t>3</w:t>
      </w:r>
      <w:r w:rsidRPr="00F97C61">
        <w:rPr>
          <w:color w:val="000000" w:themeColor="text1"/>
        </w:rPr>
        <w:t xml:space="preserve"> (</w:t>
      </w:r>
      <w:r w:rsidR="00B84A79" w:rsidRPr="00F97C61">
        <w:rPr>
          <w:color w:val="000000" w:themeColor="text1"/>
        </w:rPr>
        <w:t>16,6,19</w:t>
      </w:r>
      <w:r w:rsidRPr="00F97C61">
        <w:rPr>
          <w:color w:val="000000" w:themeColor="text1"/>
        </w:rPr>
        <w:t xml:space="preserve">), ikinci faktörün </w:t>
      </w:r>
      <w:r w:rsidR="00B84A79" w:rsidRPr="00F97C61">
        <w:rPr>
          <w:color w:val="000000" w:themeColor="text1"/>
        </w:rPr>
        <w:t>6</w:t>
      </w:r>
      <w:r w:rsidRPr="00F97C61">
        <w:rPr>
          <w:color w:val="000000" w:themeColor="text1"/>
        </w:rPr>
        <w:t xml:space="preserve"> (</w:t>
      </w:r>
      <w:r w:rsidR="00B84A79" w:rsidRPr="00F97C61">
        <w:rPr>
          <w:color w:val="000000" w:themeColor="text1"/>
        </w:rPr>
        <w:t>8,3,4,20,10,18</w:t>
      </w:r>
      <w:r w:rsidRPr="00F97C61">
        <w:rPr>
          <w:color w:val="000000" w:themeColor="text1"/>
        </w:rPr>
        <w:t xml:space="preserve">), üçüncü faktörün </w:t>
      </w:r>
      <w:r w:rsidR="00B84A79" w:rsidRPr="00F97C61">
        <w:rPr>
          <w:color w:val="000000" w:themeColor="text1"/>
        </w:rPr>
        <w:t>5</w:t>
      </w:r>
      <w:r w:rsidRPr="00F97C61">
        <w:rPr>
          <w:color w:val="000000" w:themeColor="text1"/>
        </w:rPr>
        <w:t xml:space="preserve"> (1</w:t>
      </w:r>
      <w:r w:rsidR="00B84A79" w:rsidRPr="00F97C61">
        <w:rPr>
          <w:color w:val="000000" w:themeColor="text1"/>
        </w:rPr>
        <w:t>4,5,17,7,12</w:t>
      </w:r>
      <w:r w:rsidRPr="00F97C61">
        <w:rPr>
          <w:color w:val="000000" w:themeColor="text1"/>
        </w:rPr>
        <w:t xml:space="preserve">) dördüncü faktörün </w:t>
      </w:r>
      <w:r w:rsidR="00B84A79" w:rsidRPr="00F97C61">
        <w:rPr>
          <w:color w:val="000000" w:themeColor="text1"/>
        </w:rPr>
        <w:t>4</w:t>
      </w:r>
      <w:r w:rsidRPr="00F97C61">
        <w:rPr>
          <w:color w:val="000000" w:themeColor="text1"/>
        </w:rPr>
        <w:t xml:space="preserve"> (</w:t>
      </w:r>
      <w:r w:rsidR="00B84A79" w:rsidRPr="00F97C61">
        <w:rPr>
          <w:color w:val="000000" w:themeColor="text1"/>
        </w:rPr>
        <w:t>21,9,15,2</w:t>
      </w:r>
      <w:r w:rsidRPr="00F97C61">
        <w:rPr>
          <w:color w:val="000000" w:themeColor="text1"/>
        </w:rPr>
        <w:t xml:space="preserve">), </w:t>
      </w:r>
      <w:r w:rsidR="00902A7D" w:rsidRPr="00F97C61">
        <w:rPr>
          <w:color w:val="000000" w:themeColor="text1"/>
        </w:rPr>
        <w:t>beşinci</w:t>
      </w:r>
      <w:r w:rsidRPr="00F97C61">
        <w:rPr>
          <w:color w:val="000000" w:themeColor="text1"/>
        </w:rPr>
        <w:t xml:space="preserve"> faktörün</w:t>
      </w:r>
      <w:r w:rsidR="00B84A79" w:rsidRPr="00F97C61">
        <w:rPr>
          <w:color w:val="000000" w:themeColor="text1"/>
        </w:rPr>
        <w:t xml:space="preserve"> ise 3</w:t>
      </w:r>
      <w:r w:rsidRPr="00F97C61">
        <w:rPr>
          <w:color w:val="000000" w:themeColor="text1"/>
        </w:rPr>
        <w:t xml:space="preserve"> (</w:t>
      </w:r>
      <w:r w:rsidR="00B84A79" w:rsidRPr="00F97C61">
        <w:rPr>
          <w:color w:val="000000" w:themeColor="text1"/>
        </w:rPr>
        <w:t>11,13,1</w:t>
      </w:r>
      <w:r w:rsidRPr="00F97C61">
        <w:rPr>
          <w:color w:val="000000" w:themeColor="text1"/>
        </w:rPr>
        <w:t>)</w:t>
      </w:r>
      <w:r w:rsidR="00B84A79" w:rsidRPr="00F97C61">
        <w:rPr>
          <w:color w:val="000000" w:themeColor="text1"/>
        </w:rPr>
        <w:t xml:space="preserve"> </w:t>
      </w:r>
      <w:r w:rsidRPr="00F97C61">
        <w:rPr>
          <w:color w:val="000000" w:themeColor="text1"/>
        </w:rPr>
        <w:t>maddeden oluştuğu ve faktör yüklerinin ,3</w:t>
      </w:r>
      <w:r w:rsidR="00EB4D4C" w:rsidRPr="00F97C61">
        <w:rPr>
          <w:color w:val="000000" w:themeColor="text1"/>
        </w:rPr>
        <w:t>9</w:t>
      </w:r>
      <w:r w:rsidRPr="00F97C61">
        <w:rPr>
          <w:color w:val="000000" w:themeColor="text1"/>
        </w:rPr>
        <w:t xml:space="preserve"> ile ,</w:t>
      </w:r>
      <w:r w:rsidR="00EB4D4C" w:rsidRPr="00F97C61">
        <w:rPr>
          <w:color w:val="000000" w:themeColor="text1"/>
        </w:rPr>
        <w:t>76</w:t>
      </w:r>
      <w:r w:rsidRPr="00F97C61">
        <w:rPr>
          <w:color w:val="000000" w:themeColor="text1"/>
        </w:rPr>
        <w:t xml:space="preserve"> arasında değiştiği görülmüştür (bk. Tabl</w:t>
      </w:r>
      <w:r w:rsidR="00BD4A0E" w:rsidRPr="00F97C61">
        <w:rPr>
          <w:color w:val="000000" w:themeColor="text1"/>
        </w:rPr>
        <w:t>o 3</w:t>
      </w:r>
      <w:r w:rsidRPr="00F97C61">
        <w:rPr>
          <w:color w:val="000000" w:themeColor="text1"/>
        </w:rPr>
        <w:t>). Özgün çalışmada ölçe</w:t>
      </w:r>
      <w:r w:rsidR="00EB4D4C" w:rsidRPr="00F97C61">
        <w:rPr>
          <w:color w:val="000000" w:themeColor="text1"/>
        </w:rPr>
        <w:t>ğin uzun formu</w:t>
      </w:r>
      <w:r w:rsidRPr="00F97C61">
        <w:rPr>
          <w:color w:val="000000" w:themeColor="text1"/>
        </w:rPr>
        <w:t xml:space="preserve"> 5 faktörlü bir yapıya sahip</w:t>
      </w:r>
      <w:r w:rsidR="00EB4D4C" w:rsidRPr="00F97C61">
        <w:rPr>
          <w:color w:val="000000" w:themeColor="text1"/>
        </w:rPr>
        <w:t>tir. Ancak ölçeğin kısa formunun tek boyutlu olduğu bilinmektedir.</w:t>
      </w:r>
    </w:p>
    <w:p w14:paraId="0C251968" w14:textId="7F7D508D" w:rsidR="00EB4D4C" w:rsidRDefault="00A42654" w:rsidP="00EB4D4C">
      <w:pPr>
        <w:spacing w:line="360" w:lineRule="auto"/>
        <w:ind w:left="851"/>
        <w:rPr>
          <w:color w:val="000000" w:themeColor="text1"/>
        </w:rPr>
      </w:pPr>
      <w:r w:rsidRPr="00F97C61">
        <w:rPr>
          <w:color w:val="000000" w:themeColor="text1"/>
        </w:rPr>
        <w:t>Faktör isimlendirmeleri</w:t>
      </w:r>
      <w:r w:rsidR="00902A7D" w:rsidRPr="00F97C61">
        <w:rPr>
          <w:color w:val="000000" w:themeColor="text1"/>
        </w:rPr>
        <w:t xml:space="preserve"> orijinal ölçe</w:t>
      </w:r>
      <w:r w:rsidR="00EB4D4C" w:rsidRPr="00F97C61">
        <w:rPr>
          <w:color w:val="000000" w:themeColor="text1"/>
        </w:rPr>
        <w:t>ğin uzun formu ile</w:t>
      </w:r>
      <w:r w:rsidR="00902A7D" w:rsidRPr="00F97C61">
        <w:rPr>
          <w:color w:val="000000" w:themeColor="text1"/>
        </w:rPr>
        <w:t xml:space="preserve"> benzer olarak, </w:t>
      </w:r>
      <w:r w:rsidRPr="00F97C61">
        <w:rPr>
          <w:color w:val="000000" w:themeColor="text1"/>
        </w:rPr>
        <w:t>ilk faktör “</w:t>
      </w:r>
      <w:r w:rsidR="00EB4D4C" w:rsidRPr="00F97C61">
        <w:rPr>
          <w:color w:val="000000" w:themeColor="text1"/>
        </w:rPr>
        <w:t>akran uyumu</w:t>
      </w:r>
      <w:r w:rsidRPr="00F97C61">
        <w:rPr>
          <w:color w:val="000000" w:themeColor="text1"/>
        </w:rPr>
        <w:t>”, ikinci faktör “</w:t>
      </w:r>
      <w:r w:rsidR="00EB4D4C" w:rsidRPr="00F97C61">
        <w:rPr>
          <w:color w:val="000000" w:themeColor="text1"/>
        </w:rPr>
        <w:t>fizyolojik telkine yatkınlık</w:t>
      </w:r>
      <w:r w:rsidRPr="00F97C61">
        <w:rPr>
          <w:color w:val="000000" w:themeColor="text1"/>
        </w:rPr>
        <w:t>”, üçüncü faktör “ikna edilebilirlik”, dördüncü faktör “</w:t>
      </w:r>
      <w:r w:rsidR="00EB4D4C" w:rsidRPr="00F97C61">
        <w:rPr>
          <w:color w:val="000000" w:themeColor="text1"/>
        </w:rPr>
        <w:t>tüketici telkine yatkınlığı</w:t>
      </w:r>
      <w:r w:rsidRPr="00F97C61">
        <w:rPr>
          <w:color w:val="000000" w:themeColor="text1"/>
        </w:rPr>
        <w:t>”</w:t>
      </w:r>
      <w:r w:rsidR="00EB4D4C" w:rsidRPr="00F97C61">
        <w:rPr>
          <w:color w:val="000000" w:themeColor="text1"/>
        </w:rPr>
        <w:t xml:space="preserve"> </w:t>
      </w:r>
      <w:r w:rsidRPr="00F97C61">
        <w:rPr>
          <w:color w:val="000000" w:themeColor="text1"/>
        </w:rPr>
        <w:t xml:space="preserve">şeklinde adlandırılmıştır. </w:t>
      </w:r>
      <w:r w:rsidR="00EB4D4C" w:rsidRPr="00F97C61">
        <w:rPr>
          <w:color w:val="000000" w:themeColor="text1"/>
        </w:rPr>
        <w:t xml:space="preserve">Beşinci faktör “başkalarının etkisi” ise </w:t>
      </w:r>
      <w:proofErr w:type="spellStart"/>
      <w:r w:rsidR="00EB4D4C" w:rsidRPr="00F97C61">
        <w:rPr>
          <w:color w:val="000000" w:themeColor="text1"/>
        </w:rPr>
        <w:t>orijnal</w:t>
      </w:r>
      <w:proofErr w:type="spellEnd"/>
      <w:r w:rsidR="00EB4D4C" w:rsidRPr="00F97C61">
        <w:rPr>
          <w:color w:val="000000" w:themeColor="text1"/>
        </w:rPr>
        <w:t xml:space="preserve"> ölçeğin uzun formundan farklı olarak maddelerin ifade ettikleri anlama göre isimlendirilmiştir.</w:t>
      </w:r>
    </w:p>
    <w:p w14:paraId="5455DA59" w14:textId="2FB39586" w:rsidR="0064104F" w:rsidRPr="001A7B17" w:rsidRDefault="00913AE9" w:rsidP="00913AE9">
      <w:pPr>
        <w:spacing w:line="360" w:lineRule="auto"/>
        <w:ind w:left="851"/>
        <w:rPr>
          <w:color w:val="000000" w:themeColor="text1"/>
          <w:highlight w:val="yellow"/>
        </w:rPr>
      </w:pPr>
      <w:r w:rsidRPr="001A7B17">
        <w:rPr>
          <w:color w:val="000000" w:themeColor="text1"/>
          <w:highlight w:val="yellow"/>
        </w:rPr>
        <w:t xml:space="preserve">Ölçeğin geçerliğini test etmek amacıyla </w:t>
      </w:r>
      <w:proofErr w:type="spellStart"/>
      <w:r w:rsidRPr="001A7B17">
        <w:rPr>
          <w:color w:val="000000" w:themeColor="text1"/>
          <w:highlight w:val="yellow"/>
        </w:rPr>
        <w:t>açımlayıcı</w:t>
      </w:r>
      <w:proofErr w:type="spellEnd"/>
      <w:r w:rsidRPr="001A7B17">
        <w:rPr>
          <w:color w:val="000000" w:themeColor="text1"/>
          <w:highlight w:val="yellow"/>
        </w:rPr>
        <w:t xml:space="preserve"> faktör analizi-</w:t>
      </w:r>
      <w:proofErr w:type="spellStart"/>
      <w:r w:rsidRPr="001A7B17">
        <w:rPr>
          <w:color w:val="000000" w:themeColor="text1"/>
          <w:highlight w:val="yellow"/>
        </w:rPr>
        <w:t>AFA’nden</w:t>
      </w:r>
      <w:proofErr w:type="spellEnd"/>
      <w:r w:rsidRPr="001A7B17">
        <w:rPr>
          <w:color w:val="000000" w:themeColor="text1"/>
          <w:highlight w:val="yellow"/>
        </w:rPr>
        <w:t xml:space="preserve"> sonra doğrulayıcı faktör analizi uygulanmıştır. </w:t>
      </w:r>
      <w:r w:rsidR="0064104F" w:rsidRPr="001A7B17">
        <w:rPr>
          <w:color w:val="000000" w:themeColor="text1"/>
          <w:highlight w:val="yellow"/>
        </w:rPr>
        <w:t>Doğrulayıcı faktör analizi daha önceden tanımlanmış bir yapının, bir model olarak doğrulanıp doğrulanmadığının test edildiği bir analizdir (Çokluk, Şekercioğlu ve Büyüköztürk, 2010). Doğrulayıcı faktör analizi sonuçlarını geçerli kabul edebilmek için modele ait uyum iyiliği indekslerinin yeterli</w:t>
      </w:r>
      <w:r w:rsidRPr="001A7B17">
        <w:rPr>
          <w:color w:val="000000" w:themeColor="text1"/>
          <w:highlight w:val="yellow"/>
        </w:rPr>
        <w:t xml:space="preserve"> uyumu</w:t>
      </w:r>
      <w:r w:rsidR="0064104F" w:rsidRPr="001A7B17">
        <w:rPr>
          <w:color w:val="000000" w:themeColor="text1"/>
          <w:highlight w:val="yellow"/>
        </w:rPr>
        <w:t xml:space="preserve"> göstermesi gerekmektedir. Uyum İyiliği İndeksi (</w:t>
      </w:r>
      <w:proofErr w:type="spellStart"/>
      <w:r w:rsidR="0064104F" w:rsidRPr="001A7B17">
        <w:rPr>
          <w:color w:val="000000" w:themeColor="text1"/>
          <w:highlight w:val="yellow"/>
        </w:rPr>
        <w:t>Goodness</w:t>
      </w:r>
      <w:proofErr w:type="spellEnd"/>
      <w:r w:rsidR="0064104F" w:rsidRPr="001A7B17">
        <w:rPr>
          <w:color w:val="000000" w:themeColor="text1"/>
          <w:highlight w:val="yellow"/>
        </w:rPr>
        <w:t xml:space="preserve"> of Fit Index, GFI), </w:t>
      </w:r>
      <w:proofErr w:type="spellStart"/>
      <w:r w:rsidR="0064104F" w:rsidRPr="001A7B17">
        <w:rPr>
          <w:color w:val="000000" w:themeColor="text1"/>
          <w:highlight w:val="yellow"/>
        </w:rPr>
        <w:t>Normlaştırılmış</w:t>
      </w:r>
      <w:proofErr w:type="spellEnd"/>
      <w:r w:rsidR="0064104F" w:rsidRPr="001A7B17">
        <w:rPr>
          <w:color w:val="000000" w:themeColor="text1"/>
          <w:highlight w:val="yellow"/>
        </w:rPr>
        <w:t xml:space="preserve"> Uyum İndeksi (</w:t>
      </w:r>
      <w:proofErr w:type="spellStart"/>
      <w:r w:rsidR="0064104F" w:rsidRPr="001A7B17">
        <w:rPr>
          <w:color w:val="000000" w:themeColor="text1"/>
          <w:highlight w:val="yellow"/>
        </w:rPr>
        <w:t>Normed</w:t>
      </w:r>
      <w:proofErr w:type="spellEnd"/>
      <w:r w:rsidR="0064104F" w:rsidRPr="001A7B17">
        <w:rPr>
          <w:color w:val="000000" w:themeColor="text1"/>
          <w:highlight w:val="yellow"/>
        </w:rPr>
        <w:t xml:space="preserve"> Fit Index, NFI), Göreli Uyum İndeksi (</w:t>
      </w:r>
      <w:proofErr w:type="spellStart"/>
      <w:r w:rsidR="0064104F" w:rsidRPr="001A7B17">
        <w:rPr>
          <w:color w:val="000000" w:themeColor="text1"/>
          <w:highlight w:val="yellow"/>
        </w:rPr>
        <w:t>Relative</w:t>
      </w:r>
      <w:proofErr w:type="spellEnd"/>
      <w:r w:rsidR="0064104F" w:rsidRPr="001A7B17">
        <w:rPr>
          <w:color w:val="000000" w:themeColor="text1"/>
          <w:highlight w:val="yellow"/>
        </w:rPr>
        <w:t xml:space="preserve"> </w:t>
      </w:r>
      <w:r w:rsidR="0064104F" w:rsidRPr="001A7B17">
        <w:rPr>
          <w:color w:val="000000" w:themeColor="text1"/>
          <w:highlight w:val="yellow"/>
        </w:rPr>
        <w:lastRenderedPageBreak/>
        <w:t>Fit Index, RFI), Karşılaştırmalı Uyum İndeksi (</w:t>
      </w:r>
      <w:proofErr w:type="spellStart"/>
      <w:r w:rsidR="0064104F" w:rsidRPr="001A7B17">
        <w:rPr>
          <w:color w:val="000000" w:themeColor="text1"/>
          <w:highlight w:val="yellow"/>
        </w:rPr>
        <w:t>Comparative</w:t>
      </w:r>
      <w:proofErr w:type="spellEnd"/>
      <w:r w:rsidR="0064104F" w:rsidRPr="001A7B17">
        <w:rPr>
          <w:color w:val="000000" w:themeColor="text1"/>
          <w:highlight w:val="yellow"/>
        </w:rPr>
        <w:t xml:space="preserve"> Fit Index, CFI) ve Fazlalık Uyum </w:t>
      </w:r>
      <w:proofErr w:type="spellStart"/>
      <w:r w:rsidR="0064104F" w:rsidRPr="001A7B17">
        <w:rPr>
          <w:color w:val="000000" w:themeColor="text1"/>
          <w:highlight w:val="yellow"/>
        </w:rPr>
        <w:t>İndeksleri’nin</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Incremental</w:t>
      </w:r>
      <w:proofErr w:type="spellEnd"/>
      <w:r w:rsidR="0064104F" w:rsidRPr="001A7B17">
        <w:rPr>
          <w:color w:val="000000" w:themeColor="text1"/>
          <w:highlight w:val="yellow"/>
        </w:rPr>
        <w:t xml:space="preserve"> Fit Index, IFI) 0.90’dan büyük değerlerde olması yeterli düzeyde uyumun olduğu, değerlerin 0’a yaklaşmasının kötü, 1’e yaklaşmasının mükemmel uyum gösterdiği, Standartlaştırılmış Ortalama Hataların Karekökü (</w:t>
      </w:r>
      <w:proofErr w:type="spellStart"/>
      <w:r w:rsidR="0064104F" w:rsidRPr="001A7B17">
        <w:rPr>
          <w:color w:val="000000" w:themeColor="text1"/>
          <w:highlight w:val="yellow"/>
        </w:rPr>
        <w:t>Standardized</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Root</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Mean</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Square</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Residuals</w:t>
      </w:r>
      <w:proofErr w:type="spellEnd"/>
      <w:r w:rsidR="0064104F" w:rsidRPr="001A7B17">
        <w:rPr>
          <w:color w:val="000000" w:themeColor="text1"/>
          <w:highlight w:val="yellow"/>
        </w:rPr>
        <w:t xml:space="preserve">, SRMR) ve Yaklaşık Hataların Ortalama </w:t>
      </w:r>
      <w:proofErr w:type="spellStart"/>
      <w:r w:rsidR="0064104F" w:rsidRPr="001A7B17">
        <w:rPr>
          <w:color w:val="000000" w:themeColor="text1"/>
          <w:highlight w:val="yellow"/>
        </w:rPr>
        <w:t>Karekökü’nün</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Root</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Mean</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Square</w:t>
      </w:r>
      <w:proofErr w:type="spellEnd"/>
      <w:r w:rsidR="0064104F" w:rsidRPr="001A7B17">
        <w:rPr>
          <w:color w:val="000000" w:themeColor="text1"/>
          <w:highlight w:val="yellow"/>
        </w:rPr>
        <w:t xml:space="preserve"> </w:t>
      </w:r>
      <w:proofErr w:type="spellStart"/>
      <w:r w:rsidR="0064104F" w:rsidRPr="001A7B17">
        <w:rPr>
          <w:color w:val="000000" w:themeColor="text1"/>
          <w:highlight w:val="yellow"/>
        </w:rPr>
        <w:t>Error</w:t>
      </w:r>
      <w:proofErr w:type="spellEnd"/>
      <w:r w:rsidR="0064104F" w:rsidRPr="001A7B17">
        <w:rPr>
          <w:color w:val="000000" w:themeColor="text1"/>
          <w:highlight w:val="yellow"/>
        </w:rPr>
        <w:t xml:space="preserve"> of </w:t>
      </w:r>
      <w:proofErr w:type="spellStart"/>
      <w:r w:rsidR="0064104F" w:rsidRPr="001A7B17">
        <w:rPr>
          <w:color w:val="000000" w:themeColor="text1"/>
          <w:highlight w:val="yellow"/>
        </w:rPr>
        <w:t>Approximation</w:t>
      </w:r>
      <w:proofErr w:type="spellEnd"/>
      <w:r w:rsidR="0064104F" w:rsidRPr="001A7B17">
        <w:rPr>
          <w:color w:val="000000" w:themeColor="text1"/>
          <w:highlight w:val="yellow"/>
        </w:rPr>
        <w:t xml:space="preserve">, RMSEA) ise 0.05’ten küçük olmasının iyi uyumu, 0.10’in altında olması ise kabul edilebilir bir uyum iyiliğini, ki-kare değerinin serbestlik derecesine oranın ise 5’in altında olmasının iyi uyumu gösterdiği belirtilmektedir (Çokluk, Şekercioğlu ve Büyüköztürk, 2010). </w:t>
      </w:r>
    </w:p>
    <w:p w14:paraId="7CA66397" w14:textId="716B1E7D" w:rsidR="0064104F" w:rsidRPr="0064104F" w:rsidRDefault="0064104F" w:rsidP="0064104F">
      <w:pPr>
        <w:spacing w:line="360" w:lineRule="auto"/>
        <w:ind w:left="851"/>
        <w:rPr>
          <w:color w:val="000000" w:themeColor="text1"/>
        </w:rPr>
      </w:pPr>
      <w:r w:rsidRPr="001A7B17">
        <w:rPr>
          <w:color w:val="000000" w:themeColor="text1"/>
          <w:highlight w:val="yellow"/>
        </w:rPr>
        <w:t xml:space="preserve">Doğrulayıcı faktör analizi için uyum indeksleri </w:t>
      </w:r>
      <w:proofErr w:type="gramStart"/>
      <w:r w:rsidRPr="001A7B17">
        <w:rPr>
          <w:color w:val="000000" w:themeColor="text1"/>
          <w:highlight w:val="yellow"/>
        </w:rPr>
        <w:t>incelendiğinde</w:t>
      </w:r>
      <w:r w:rsidR="00913AE9" w:rsidRPr="001A7B17">
        <w:rPr>
          <w:color w:val="000000" w:themeColor="text1"/>
          <w:highlight w:val="yellow"/>
        </w:rPr>
        <w:t xml:space="preserve"> </w:t>
      </w:r>
      <w:r w:rsidRPr="001A7B17">
        <w:rPr>
          <w:color w:val="000000" w:themeColor="text1"/>
          <w:highlight w:val="yellow"/>
        </w:rPr>
        <w:t>ki</w:t>
      </w:r>
      <w:proofErr w:type="gramEnd"/>
      <w:r w:rsidRPr="001A7B17">
        <w:rPr>
          <w:color w:val="000000" w:themeColor="text1"/>
          <w:highlight w:val="yellow"/>
        </w:rPr>
        <w:t xml:space="preserve">-kare değerinin serbestlik derecesine oranının (343.75/179= 1.92) 5’in altında yeterli düzeyde bir değere sahip olduğu görülmüştür. Diğer uyum indeksleri incelendiğinde RMSEA= 0.06, SRMR= 0.05, GFI= 0.90, NFI= 0.91, RFI= 0.89, CFI= 0.95 ve IFI= </w:t>
      </w:r>
      <w:proofErr w:type="gramStart"/>
      <w:r w:rsidRPr="001A7B17">
        <w:rPr>
          <w:color w:val="000000" w:themeColor="text1"/>
          <w:highlight w:val="yellow"/>
        </w:rPr>
        <w:t>0.95</w:t>
      </w:r>
      <w:proofErr w:type="gramEnd"/>
      <w:r w:rsidRPr="001A7B17">
        <w:rPr>
          <w:color w:val="000000" w:themeColor="text1"/>
          <w:highlight w:val="yellow"/>
        </w:rPr>
        <w:t xml:space="preserve"> olarak bulunmuştur. NFI, 0.90 ve üzeri, </w:t>
      </w:r>
      <w:proofErr w:type="spellStart"/>
      <w:r w:rsidRPr="001A7B17">
        <w:rPr>
          <w:color w:val="000000" w:themeColor="text1"/>
          <w:highlight w:val="yellow"/>
        </w:rPr>
        <w:t>GFI’nın</w:t>
      </w:r>
      <w:proofErr w:type="spellEnd"/>
      <w:r w:rsidRPr="001A7B17">
        <w:rPr>
          <w:color w:val="000000" w:themeColor="text1"/>
          <w:highlight w:val="yellow"/>
        </w:rPr>
        <w:t xml:space="preserve"> 0.85 ve üzeri olması kabul edilebilir uyumu olduğunu, </w:t>
      </w:r>
      <w:proofErr w:type="spellStart"/>
      <w:r w:rsidRPr="001A7B17">
        <w:rPr>
          <w:color w:val="000000" w:themeColor="text1"/>
          <w:highlight w:val="yellow"/>
        </w:rPr>
        <w:t>IFI’nın</w:t>
      </w:r>
      <w:proofErr w:type="spellEnd"/>
      <w:r w:rsidRPr="001A7B17">
        <w:rPr>
          <w:color w:val="000000" w:themeColor="text1"/>
          <w:highlight w:val="yellow"/>
        </w:rPr>
        <w:t xml:space="preserve"> da 0.95 ve üzerinde olması mükemmel uyumu olduğunu, </w:t>
      </w:r>
      <w:proofErr w:type="spellStart"/>
      <w:r w:rsidRPr="001A7B17">
        <w:rPr>
          <w:color w:val="000000" w:themeColor="text1"/>
          <w:highlight w:val="yellow"/>
        </w:rPr>
        <w:t>CFI’nın</w:t>
      </w:r>
      <w:proofErr w:type="spellEnd"/>
      <w:r w:rsidRPr="001A7B17">
        <w:rPr>
          <w:color w:val="000000" w:themeColor="text1"/>
          <w:highlight w:val="yellow"/>
        </w:rPr>
        <w:t xml:space="preserve"> 0.95’in üzerinde olması kabul edilebilir uyumu olduğunu, </w:t>
      </w:r>
      <w:proofErr w:type="spellStart"/>
      <w:r w:rsidRPr="001A7B17">
        <w:rPr>
          <w:color w:val="000000" w:themeColor="text1"/>
          <w:highlight w:val="yellow"/>
        </w:rPr>
        <w:t>RFI’nın</w:t>
      </w:r>
      <w:proofErr w:type="spellEnd"/>
      <w:r w:rsidRPr="001A7B17">
        <w:rPr>
          <w:color w:val="000000" w:themeColor="text1"/>
          <w:highlight w:val="yellow"/>
        </w:rPr>
        <w:t xml:space="preserve"> ise .90’ın altında olması kabul edilebilir uyumu olmadığını göstermektedir. </w:t>
      </w:r>
      <w:proofErr w:type="spellStart"/>
      <w:r w:rsidRPr="001A7B17">
        <w:rPr>
          <w:color w:val="000000" w:themeColor="text1"/>
          <w:highlight w:val="yellow"/>
        </w:rPr>
        <w:t>SRMR’nin</w:t>
      </w:r>
      <w:proofErr w:type="spellEnd"/>
      <w:r w:rsidRPr="001A7B17">
        <w:rPr>
          <w:color w:val="000000" w:themeColor="text1"/>
          <w:highlight w:val="yellow"/>
        </w:rPr>
        <w:t xml:space="preserve"> 0.00≤SRMR≤0.05 ve </w:t>
      </w:r>
      <w:proofErr w:type="spellStart"/>
      <w:r w:rsidRPr="001A7B17">
        <w:rPr>
          <w:color w:val="000000" w:themeColor="text1"/>
          <w:highlight w:val="yellow"/>
        </w:rPr>
        <w:t>RMSEA’nın</w:t>
      </w:r>
      <w:proofErr w:type="spellEnd"/>
      <w:r w:rsidRPr="001A7B17">
        <w:rPr>
          <w:color w:val="000000" w:themeColor="text1"/>
          <w:highlight w:val="yellow"/>
        </w:rPr>
        <w:t xml:space="preserve"> ise 0.05≤RMSEA≤</w:t>
      </w:r>
      <w:proofErr w:type="gramStart"/>
      <w:r w:rsidRPr="001A7B17">
        <w:rPr>
          <w:color w:val="000000" w:themeColor="text1"/>
          <w:highlight w:val="yellow"/>
        </w:rPr>
        <w:t>0.10</w:t>
      </w:r>
      <w:proofErr w:type="gramEnd"/>
      <w:r w:rsidRPr="001A7B17">
        <w:rPr>
          <w:color w:val="000000" w:themeColor="text1"/>
          <w:highlight w:val="yellow"/>
        </w:rPr>
        <w:t xml:space="preserve"> arasında olması kabul edilebilir uyum düzeyinde olduğunu işaret etmektedir. Doğrulayıcı faktör analizi sonucunda elde edilen uyum iyiliği indeksleri incelendiğinde modelin uyumlu olmadığı görülmektedir. Aşağıda ölçeğin faktörleri ve maddelerine ilişkin standartlaştırılmış parametre tahminlerinin yer aldığı model Şekil </w:t>
      </w:r>
      <w:r w:rsidR="00913AE9" w:rsidRPr="001A7B17">
        <w:rPr>
          <w:color w:val="000000" w:themeColor="text1"/>
          <w:highlight w:val="yellow"/>
        </w:rPr>
        <w:t>1</w:t>
      </w:r>
      <w:r w:rsidRPr="001A7B17">
        <w:rPr>
          <w:color w:val="000000" w:themeColor="text1"/>
          <w:highlight w:val="yellow"/>
        </w:rPr>
        <w:t>’de sunulmuştur.</w:t>
      </w:r>
    </w:p>
    <w:p w14:paraId="05882DE8" w14:textId="77777777" w:rsidR="0064104F" w:rsidRDefault="0064104F" w:rsidP="00EB4D4C">
      <w:pPr>
        <w:spacing w:line="360" w:lineRule="auto"/>
        <w:ind w:left="851"/>
        <w:rPr>
          <w:color w:val="000000" w:themeColor="text1"/>
        </w:rPr>
      </w:pPr>
    </w:p>
    <w:p w14:paraId="56235816" w14:textId="559AAA3C" w:rsidR="00913AE9" w:rsidRPr="00913AE9" w:rsidRDefault="0064104F" w:rsidP="00913AE9">
      <w:pPr>
        <w:spacing w:line="360" w:lineRule="auto"/>
        <w:ind w:left="851"/>
        <w:rPr>
          <w:color w:val="000000" w:themeColor="text1"/>
        </w:rPr>
      </w:pPr>
      <w:r w:rsidRPr="003D50CD">
        <w:rPr>
          <w:noProof/>
        </w:rPr>
        <w:lastRenderedPageBreak/>
        <w:drawing>
          <wp:inline distT="0" distB="0" distL="0" distR="0" wp14:anchorId="54EF2565" wp14:editId="69394FCE">
            <wp:extent cx="4103347" cy="6175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6934" cy="6180773"/>
                    </a:xfrm>
                    <a:prstGeom prst="rect">
                      <a:avLst/>
                    </a:prstGeom>
                    <a:noFill/>
                    <a:ln>
                      <a:noFill/>
                    </a:ln>
                  </pic:spPr>
                </pic:pic>
              </a:graphicData>
            </a:graphic>
          </wp:inline>
        </w:drawing>
      </w:r>
    </w:p>
    <w:p w14:paraId="6D48C45D" w14:textId="08959C17" w:rsidR="00913AE9" w:rsidRDefault="00913AE9" w:rsidP="00BD0596">
      <w:pPr>
        <w:spacing w:line="360" w:lineRule="auto"/>
        <w:ind w:left="851"/>
        <w:rPr>
          <w:b/>
          <w:bCs/>
          <w:color w:val="000000" w:themeColor="text1"/>
        </w:rPr>
      </w:pPr>
      <w:r>
        <w:rPr>
          <w:b/>
          <w:bCs/>
          <w:color w:val="000000" w:themeColor="text1"/>
        </w:rPr>
        <w:t>Şekil</w:t>
      </w:r>
      <w:r w:rsidRPr="00913AE9">
        <w:t xml:space="preserve"> </w:t>
      </w:r>
      <w:r>
        <w:rPr>
          <w:b/>
          <w:bCs/>
          <w:color w:val="000000" w:themeColor="text1"/>
        </w:rPr>
        <w:t>1-</w:t>
      </w:r>
      <w:r w:rsidRPr="00913AE9">
        <w:rPr>
          <w:b/>
          <w:bCs/>
          <w:color w:val="000000" w:themeColor="text1"/>
        </w:rPr>
        <w:t xml:space="preserve"> Doğrulayıcı Faktör Analizi Modeli</w:t>
      </w:r>
    </w:p>
    <w:p w14:paraId="69823D30" w14:textId="77777777" w:rsidR="00913AE9" w:rsidRDefault="00913AE9">
      <w:pPr>
        <w:spacing w:after="0" w:line="240" w:lineRule="auto"/>
        <w:jc w:val="left"/>
        <w:rPr>
          <w:b/>
          <w:bCs/>
          <w:color w:val="000000" w:themeColor="text1"/>
        </w:rPr>
      </w:pPr>
      <w:r>
        <w:rPr>
          <w:b/>
          <w:bCs/>
          <w:color w:val="000000" w:themeColor="text1"/>
        </w:rPr>
        <w:br w:type="page"/>
      </w:r>
    </w:p>
    <w:p w14:paraId="2D447CAC" w14:textId="6E91C6BD" w:rsidR="00A42654" w:rsidRPr="00F97C61" w:rsidRDefault="00A42654" w:rsidP="00BD0596">
      <w:pPr>
        <w:spacing w:line="360" w:lineRule="auto"/>
        <w:ind w:left="851"/>
        <w:rPr>
          <w:b/>
          <w:bCs/>
          <w:color w:val="000000" w:themeColor="text1"/>
        </w:rPr>
      </w:pPr>
      <w:r w:rsidRPr="00F97C61">
        <w:rPr>
          <w:b/>
          <w:bCs/>
          <w:color w:val="000000" w:themeColor="text1"/>
        </w:rPr>
        <w:lastRenderedPageBreak/>
        <w:t>Tablo</w:t>
      </w:r>
      <w:r w:rsidR="00BD4A0E" w:rsidRPr="00F97C61">
        <w:rPr>
          <w:b/>
          <w:bCs/>
          <w:color w:val="000000" w:themeColor="text1"/>
        </w:rPr>
        <w:t xml:space="preserve"> 3.</w:t>
      </w:r>
      <w:r w:rsidR="004C22A1" w:rsidRPr="00F97C61">
        <w:rPr>
          <w:color w:val="000000" w:themeColor="text1"/>
        </w:rPr>
        <w:t xml:space="preserve"> </w:t>
      </w:r>
      <w:r w:rsidR="004C22A1" w:rsidRPr="00F97C61">
        <w:rPr>
          <w:b/>
          <w:bCs/>
          <w:color w:val="000000" w:themeColor="text1"/>
        </w:rPr>
        <w:t xml:space="preserve">Kısa Telkine Yatkınlık </w:t>
      </w:r>
      <w:proofErr w:type="spellStart"/>
      <w:r w:rsidR="004C22A1" w:rsidRPr="00F97C61">
        <w:rPr>
          <w:b/>
          <w:bCs/>
          <w:color w:val="000000" w:themeColor="text1"/>
        </w:rPr>
        <w:t>Ölçeği’nin</w:t>
      </w:r>
      <w:proofErr w:type="spellEnd"/>
      <w:r w:rsidR="004C22A1" w:rsidRPr="00F97C61">
        <w:rPr>
          <w:b/>
          <w:bCs/>
          <w:color w:val="000000" w:themeColor="text1"/>
        </w:rPr>
        <w:t xml:space="preserve"> </w:t>
      </w:r>
      <w:r w:rsidR="00BD4A0E" w:rsidRPr="00F97C61">
        <w:rPr>
          <w:b/>
          <w:bCs/>
          <w:color w:val="000000" w:themeColor="text1"/>
        </w:rPr>
        <w:t xml:space="preserve">Faktör Yapısı </w:t>
      </w:r>
    </w:p>
    <w:tbl>
      <w:tblPr>
        <w:tblStyle w:val="TabloKlavuzu"/>
        <w:tblW w:w="744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000"/>
        <w:gridCol w:w="1033"/>
        <w:gridCol w:w="1203"/>
        <w:gridCol w:w="987"/>
        <w:gridCol w:w="1276"/>
      </w:tblGrid>
      <w:tr w:rsidR="00F97C61" w:rsidRPr="00F97C61" w14:paraId="4E468D12" w14:textId="77777777" w:rsidTr="009F5AD2">
        <w:trPr>
          <w:trHeight w:val="651"/>
        </w:trPr>
        <w:tc>
          <w:tcPr>
            <w:tcW w:w="1942" w:type="dxa"/>
            <w:tcBorders>
              <w:top w:val="single" w:sz="4" w:space="0" w:color="auto"/>
              <w:bottom w:val="single" w:sz="4" w:space="0" w:color="auto"/>
            </w:tcBorders>
          </w:tcPr>
          <w:p w14:paraId="3D2080FC" w14:textId="77777777" w:rsidR="00D25F53" w:rsidRPr="00F97C61" w:rsidRDefault="00D25F53" w:rsidP="00CD464A">
            <w:pPr>
              <w:spacing w:after="0" w:line="240" w:lineRule="auto"/>
              <w:rPr>
                <w:b/>
                <w:bCs/>
                <w:color w:val="000000" w:themeColor="text1"/>
                <w:sz w:val="18"/>
                <w:szCs w:val="18"/>
              </w:rPr>
            </w:pPr>
          </w:p>
        </w:tc>
        <w:tc>
          <w:tcPr>
            <w:tcW w:w="5499" w:type="dxa"/>
            <w:gridSpan w:val="5"/>
            <w:tcBorders>
              <w:top w:val="single" w:sz="4" w:space="0" w:color="auto"/>
              <w:bottom w:val="single" w:sz="4" w:space="0" w:color="auto"/>
            </w:tcBorders>
          </w:tcPr>
          <w:p w14:paraId="33513AB9" w14:textId="17099011" w:rsidR="00D25F53" w:rsidRPr="00F97C61" w:rsidRDefault="00D25F53" w:rsidP="00D25F53">
            <w:pPr>
              <w:spacing w:after="0" w:line="240" w:lineRule="auto"/>
              <w:jc w:val="center"/>
              <w:rPr>
                <w:b/>
                <w:bCs/>
                <w:color w:val="000000" w:themeColor="text1"/>
                <w:sz w:val="18"/>
                <w:szCs w:val="18"/>
              </w:rPr>
            </w:pPr>
            <w:r w:rsidRPr="00F97C61">
              <w:rPr>
                <w:b/>
                <w:bCs/>
                <w:color w:val="000000" w:themeColor="text1"/>
                <w:sz w:val="18"/>
                <w:szCs w:val="18"/>
              </w:rPr>
              <w:t>Faktörler</w:t>
            </w:r>
          </w:p>
        </w:tc>
      </w:tr>
      <w:tr w:rsidR="00F97C61" w:rsidRPr="00F97C61" w14:paraId="36A74794" w14:textId="50F645EC" w:rsidTr="00B24AB4">
        <w:trPr>
          <w:trHeight w:val="178"/>
        </w:trPr>
        <w:tc>
          <w:tcPr>
            <w:tcW w:w="1942" w:type="dxa"/>
            <w:tcBorders>
              <w:top w:val="single" w:sz="4" w:space="0" w:color="auto"/>
              <w:bottom w:val="single" w:sz="4" w:space="0" w:color="auto"/>
            </w:tcBorders>
          </w:tcPr>
          <w:p w14:paraId="7FA5B66D"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 xml:space="preserve">Madde No </w:t>
            </w:r>
          </w:p>
        </w:tc>
        <w:tc>
          <w:tcPr>
            <w:tcW w:w="1000" w:type="dxa"/>
            <w:tcBorders>
              <w:top w:val="single" w:sz="4" w:space="0" w:color="auto"/>
              <w:bottom w:val="single" w:sz="4" w:space="0" w:color="auto"/>
            </w:tcBorders>
          </w:tcPr>
          <w:p w14:paraId="13547EE4"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1</w:t>
            </w:r>
          </w:p>
          <w:p w14:paraId="2B94BE15" w14:textId="35F228A4"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Akran Uyumu</w:t>
            </w:r>
          </w:p>
        </w:tc>
        <w:tc>
          <w:tcPr>
            <w:tcW w:w="1033" w:type="dxa"/>
            <w:tcBorders>
              <w:top w:val="single" w:sz="4" w:space="0" w:color="auto"/>
              <w:bottom w:val="single" w:sz="4" w:space="0" w:color="auto"/>
            </w:tcBorders>
          </w:tcPr>
          <w:p w14:paraId="044CE986"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2</w:t>
            </w:r>
          </w:p>
          <w:p w14:paraId="15A76E82" w14:textId="1A596405"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Fizyolojik Telkine Yatkınlık</w:t>
            </w:r>
          </w:p>
        </w:tc>
        <w:tc>
          <w:tcPr>
            <w:tcW w:w="1203" w:type="dxa"/>
            <w:tcBorders>
              <w:top w:val="single" w:sz="4" w:space="0" w:color="auto"/>
              <w:bottom w:val="single" w:sz="4" w:space="0" w:color="auto"/>
            </w:tcBorders>
          </w:tcPr>
          <w:p w14:paraId="534726E0"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3</w:t>
            </w:r>
          </w:p>
          <w:p w14:paraId="6BAB3B4F"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İkna Edilebilirlik</w:t>
            </w:r>
          </w:p>
        </w:tc>
        <w:tc>
          <w:tcPr>
            <w:tcW w:w="987" w:type="dxa"/>
            <w:tcBorders>
              <w:top w:val="single" w:sz="4" w:space="0" w:color="auto"/>
              <w:bottom w:val="single" w:sz="4" w:space="0" w:color="auto"/>
            </w:tcBorders>
          </w:tcPr>
          <w:p w14:paraId="230F4109"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4</w:t>
            </w:r>
          </w:p>
          <w:p w14:paraId="1B3EA926" w14:textId="1EC4C000"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Tüketici Telkine Yatkınlığı</w:t>
            </w:r>
          </w:p>
        </w:tc>
        <w:tc>
          <w:tcPr>
            <w:tcW w:w="1276" w:type="dxa"/>
            <w:tcBorders>
              <w:top w:val="single" w:sz="4" w:space="0" w:color="auto"/>
              <w:bottom w:val="single" w:sz="4" w:space="0" w:color="auto"/>
            </w:tcBorders>
          </w:tcPr>
          <w:p w14:paraId="150E42B6" w14:textId="0DE49312"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5</w:t>
            </w:r>
          </w:p>
          <w:p w14:paraId="5F2201AE" w14:textId="0A0A311A" w:rsidR="00D25F53" w:rsidRPr="00F97C61" w:rsidRDefault="00B84A79" w:rsidP="00CD464A">
            <w:pPr>
              <w:spacing w:after="0" w:line="240" w:lineRule="auto"/>
              <w:rPr>
                <w:b/>
                <w:bCs/>
                <w:color w:val="000000" w:themeColor="text1"/>
                <w:sz w:val="18"/>
                <w:szCs w:val="18"/>
              </w:rPr>
            </w:pPr>
            <w:r w:rsidRPr="00F97C61">
              <w:rPr>
                <w:b/>
                <w:bCs/>
                <w:color w:val="000000" w:themeColor="text1"/>
                <w:sz w:val="18"/>
                <w:szCs w:val="18"/>
              </w:rPr>
              <w:t>Başkalarının Etkisi</w:t>
            </w:r>
          </w:p>
        </w:tc>
      </w:tr>
      <w:tr w:rsidR="00F97C61" w:rsidRPr="00F97C61" w14:paraId="2146AF46" w14:textId="008B67AD" w:rsidTr="00B24AB4">
        <w:trPr>
          <w:trHeight w:val="161"/>
        </w:trPr>
        <w:tc>
          <w:tcPr>
            <w:tcW w:w="1942" w:type="dxa"/>
            <w:tcBorders>
              <w:top w:val="single" w:sz="4" w:space="0" w:color="auto"/>
            </w:tcBorders>
          </w:tcPr>
          <w:p w14:paraId="4A71CAA9" w14:textId="4DF0C911"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16</w:t>
            </w:r>
          </w:p>
        </w:tc>
        <w:tc>
          <w:tcPr>
            <w:tcW w:w="1000" w:type="dxa"/>
            <w:tcBorders>
              <w:top w:val="single" w:sz="4" w:space="0" w:color="auto"/>
            </w:tcBorders>
          </w:tcPr>
          <w:p w14:paraId="0A78A3B1" w14:textId="2528834D"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.71</w:t>
            </w:r>
          </w:p>
        </w:tc>
        <w:tc>
          <w:tcPr>
            <w:tcW w:w="1033" w:type="dxa"/>
            <w:tcBorders>
              <w:top w:val="single" w:sz="4" w:space="0" w:color="auto"/>
            </w:tcBorders>
          </w:tcPr>
          <w:p w14:paraId="512C7F29" w14:textId="77777777" w:rsidR="00D25F53" w:rsidRPr="00F97C61" w:rsidRDefault="00D25F53" w:rsidP="00CD464A">
            <w:pPr>
              <w:spacing w:after="0" w:line="240" w:lineRule="auto"/>
              <w:rPr>
                <w:color w:val="000000" w:themeColor="text1"/>
                <w:sz w:val="18"/>
                <w:szCs w:val="18"/>
              </w:rPr>
            </w:pPr>
          </w:p>
        </w:tc>
        <w:tc>
          <w:tcPr>
            <w:tcW w:w="1203" w:type="dxa"/>
            <w:tcBorders>
              <w:top w:val="single" w:sz="4" w:space="0" w:color="auto"/>
            </w:tcBorders>
          </w:tcPr>
          <w:p w14:paraId="33173B23" w14:textId="77777777" w:rsidR="00D25F53" w:rsidRPr="00F97C61" w:rsidRDefault="00D25F53" w:rsidP="00CD464A">
            <w:pPr>
              <w:spacing w:after="0" w:line="240" w:lineRule="auto"/>
              <w:rPr>
                <w:color w:val="000000" w:themeColor="text1"/>
                <w:sz w:val="18"/>
                <w:szCs w:val="18"/>
              </w:rPr>
            </w:pPr>
          </w:p>
        </w:tc>
        <w:tc>
          <w:tcPr>
            <w:tcW w:w="987" w:type="dxa"/>
            <w:tcBorders>
              <w:top w:val="single" w:sz="4" w:space="0" w:color="auto"/>
            </w:tcBorders>
          </w:tcPr>
          <w:p w14:paraId="1D446F21" w14:textId="77777777" w:rsidR="00D25F53" w:rsidRPr="00F97C61" w:rsidRDefault="00D25F53" w:rsidP="00CD464A">
            <w:pPr>
              <w:spacing w:after="0" w:line="240" w:lineRule="auto"/>
              <w:rPr>
                <w:color w:val="000000" w:themeColor="text1"/>
                <w:sz w:val="18"/>
                <w:szCs w:val="18"/>
              </w:rPr>
            </w:pPr>
          </w:p>
        </w:tc>
        <w:tc>
          <w:tcPr>
            <w:tcW w:w="1276" w:type="dxa"/>
            <w:tcBorders>
              <w:top w:val="single" w:sz="4" w:space="0" w:color="auto"/>
            </w:tcBorders>
          </w:tcPr>
          <w:p w14:paraId="63FDF902" w14:textId="77777777" w:rsidR="00D25F53" w:rsidRPr="00F97C61" w:rsidRDefault="00D25F53" w:rsidP="00CD464A">
            <w:pPr>
              <w:spacing w:after="0" w:line="240" w:lineRule="auto"/>
              <w:rPr>
                <w:color w:val="000000" w:themeColor="text1"/>
                <w:sz w:val="18"/>
                <w:szCs w:val="18"/>
              </w:rPr>
            </w:pPr>
          </w:p>
        </w:tc>
      </w:tr>
      <w:tr w:rsidR="00F97C61" w:rsidRPr="00F97C61" w14:paraId="1A8E0772" w14:textId="624F8421" w:rsidTr="00D25F53">
        <w:trPr>
          <w:trHeight w:val="161"/>
        </w:trPr>
        <w:tc>
          <w:tcPr>
            <w:tcW w:w="1942" w:type="dxa"/>
          </w:tcPr>
          <w:p w14:paraId="2FBED956" w14:textId="5A28ED64"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6</w:t>
            </w:r>
          </w:p>
        </w:tc>
        <w:tc>
          <w:tcPr>
            <w:tcW w:w="1000" w:type="dxa"/>
          </w:tcPr>
          <w:p w14:paraId="47A487F7" w14:textId="25BDFD2F"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.70</w:t>
            </w:r>
          </w:p>
        </w:tc>
        <w:tc>
          <w:tcPr>
            <w:tcW w:w="1033" w:type="dxa"/>
          </w:tcPr>
          <w:p w14:paraId="0E00F2C3" w14:textId="77777777" w:rsidR="00D25F53" w:rsidRPr="00F97C61" w:rsidRDefault="00D25F53" w:rsidP="00CD464A">
            <w:pPr>
              <w:spacing w:after="0" w:line="240" w:lineRule="auto"/>
              <w:rPr>
                <w:color w:val="000000" w:themeColor="text1"/>
                <w:sz w:val="18"/>
                <w:szCs w:val="18"/>
              </w:rPr>
            </w:pPr>
          </w:p>
        </w:tc>
        <w:tc>
          <w:tcPr>
            <w:tcW w:w="1203" w:type="dxa"/>
          </w:tcPr>
          <w:p w14:paraId="556DE91F" w14:textId="77777777" w:rsidR="00D25F53" w:rsidRPr="00F97C61" w:rsidRDefault="00D25F53" w:rsidP="00CD464A">
            <w:pPr>
              <w:spacing w:after="0" w:line="240" w:lineRule="auto"/>
              <w:rPr>
                <w:color w:val="000000" w:themeColor="text1"/>
                <w:sz w:val="18"/>
                <w:szCs w:val="18"/>
              </w:rPr>
            </w:pPr>
          </w:p>
        </w:tc>
        <w:tc>
          <w:tcPr>
            <w:tcW w:w="987" w:type="dxa"/>
          </w:tcPr>
          <w:p w14:paraId="749532A2" w14:textId="77777777" w:rsidR="00D25F53" w:rsidRPr="00F97C61" w:rsidRDefault="00D25F53" w:rsidP="00CD464A">
            <w:pPr>
              <w:spacing w:after="0" w:line="240" w:lineRule="auto"/>
              <w:rPr>
                <w:color w:val="000000" w:themeColor="text1"/>
                <w:sz w:val="18"/>
                <w:szCs w:val="18"/>
              </w:rPr>
            </w:pPr>
          </w:p>
        </w:tc>
        <w:tc>
          <w:tcPr>
            <w:tcW w:w="1276" w:type="dxa"/>
          </w:tcPr>
          <w:p w14:paraId="7D575613" w14:textId="77777777" w:rsidR="00D25F53" w:rsidRPr="00F97C61" w:rsidRDefault="00D25F53" w:rsidP="00CD464A">
            <w:pPr>
              <w:spacing w:after="0" w:line="240" w:lineRule="auto"/>
              <w:rPr>
                <w:color w:val="000000" w:themeColor="text1"/>
                <w:sz w:val="18"/>
                <w:szCs w:val="18"/>
              </w:rPr>
            </w:pPr>
          </w:p>
        </w:tc>
      </w:tr>
      <w:tr w:rsidR="00F97C61" w:rsidRPr="00F97C61" w14:paraId="0490D282" w14:textId="793450D1" w:rsidTr="00B24AB4">
        <w:trPr>
          <w:trHeight w:val="161"/>
        </w:trPr>
        <w:tc>
          <w:tcPr>
            <w:tcW w:w="1942" w:type="dxa"/>
          </w:tcPr>
          <w:p w14:paraId="55C073A9" w14:textId="6D42516F"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19</w:t>
            </w:r>
          </w:p>
        </w:tc>
        <w:tc>
          <w:tcPr>
            <w:tcW w:w="1000" w:type="dxa"/>
          </w:tcPr>
          <w:p w14:paraId="5321ECAA" w14:textId="76DFE320"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.61</w:t>
            </w:r>
          </w:p>
        </w:tc>
        <w:tc>
          <w:tcPr>
            <w:tcW w:w="1033" w:type="dxa"/>
          </w:tcPr>
          <w:p w14:paraId="57812088" w14:textId="77777777" w:rsidR="00D25F53" w:rsidRPr="00F97C61" w:rsidRDefault="00D25F53" w:rsidP="00CD464A">
            <w:pPr>
              <w:spacing w:after="0" w:line="240" w:lineRule="auto"/>
              <w:rPr>
                <w:color w:val="000000" w:themeColor="text1"/>
                <w:sz w:val="18"/>
                <w:szCs w:val="18"/>
              </w:rPr>
            </w:pPr>
          </w:p>
        </w:tc>
        <w:tc>
          <w:tcPr>
            <w:tcW w:w="1203" w:type="dxa"/>
          </w:tcPr>
          <w:p w14:paraId="0FC9D508" w14:textId="77777777" w:rsidR="00D25F53" w:rsidRPr="00F97C61" w:rsidRDefault="00D25F53" w:rsidP="00CD464A">
            <w:pPr>
              <w:spacing w:after="0" w:line="240" w:lineRule="auto"/>
              <w:rPr>
                <w:color w:val="000000" w:themeColor="text1"/>
                <w:sz w:val="18"/>
                <w:szCs w:val="18"/>
              </w:rPr>
            </w:pPr>
          </w:p>
        </w:tc>
        <w:tc>
          <w:tcPr>
            <w:tcW w:w="987" w:type="dxa"/>
          </w:tcPr>
          <w:p w14:paraId="4CFE3C4B" w14:textId="77777777" w:rsidR="00D25F53" w:rsidRPr="00F97C61" w:rsidRDefault="00D25F53" w:rsidP="00CD464A">
            <w:pPr>
              <w:spacing w:after="0" w:line="240" w:lineRule="auto"/>
              <w:rPr>
                <w:color w:val="000000" w:themeColor="text1"/>
                <w:sz w:val="18"/>
                <w:szCs w:val="18"/>
              </w:rPr>
            </w:pPr>
          </w:p>
        </w:tc>
        <w:tc>
          <w:tcPr>
            <w:tcW w:w="1276" w:type="dxa"/>
          </w:tcPr>
          <w:p w14:paraId="6F96BB00" w14:textId="77777777" w:rsidR="00D25F53" w:rsidRPr="00F97C61" w:rsidRDefault="00D25F53" w:rsidP="00CD464A">
            <w:pPr>
              <w:spacing w:after="0" w:line="240" w:lineRule="auto"/>
              <w:rPr>
                <w:color w:val="000000" w:themeColor="text1"/>
                <w:sz w:val="18"/>
                <w:szCs w:val="18"/>
              </w:rPr>
            </w:pPr>
          </w:p>
        </w:tc>
      </w:tr>
      <w:tr w:rsidR="00F97C61" w:rsidRPr="00F97C61" w14:paraId="1FC0FECD" w14:textId="07B99AE5" w:rsidTr="00B24AB4">
        <w:trPr>
          <w:trHeight w:val="161"/>
        </w:trPr>
        <w:tc>
          <w:tcPr>
            <w:tcW w:w="1942" w:type="dxa"/>
          </w:tcPr>
          <w:p w14:paraId="42E88118" w14:textId="4361EBBA"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8</w:t>
            </w:r>
          </w:p>
        </w:tc>
        <w:tc>
          <w:tcPr>
            <w:tcW w:w="1000" w:type="dxa"/>
          </w:tcPr>
          <w:p w14:paraId="6CAD5493" w14:textId="0CDB0B0C" w:rsidR="00D25F53" w:rsidRPr="00F97C61" w:rsidRDefault="00D25F53" w:rsidP="00CD464A">
            <w:pPr>
              <w:spacing w:after="0" w:line="240" w:lineRule="auto"/>
              <w:rPr>
                <w:color w:val="000000" w:themeColor="text1"/>
                <w:sz w:val="18"/>
                <w:szCs w:val="18"/>
              </w:rPr>
            </w:pPr>
          </w:p>
        </w:tc>
        <w:tc>
          <w:tcPr>
            <w:tcW w:w="1033" w:type="dxa"/>
          </w:tcPr>
          <w:p w14:paraId="509289F5" w14:textId="7FD0EA51"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.64</w:t>
            </w:r>
          </w:p>
        </w:tc>
        <w:tc>
          <w:tcPr>
            <w:tcW w:w="1203" w:type="dxa"/>
          </w:tcPr>
          <w:p w14:paraId="20C34DE7" w14:textId="77777777" w:rsidR="00D25F53" w:rsidRPr="00F97C61" w:rsidRDefault="00D25F53" w:rsidP="00CD464A">
            <w:pPr>
              <w:spacing w:after="0" w:line="240" w:lineRule="auto"/>
              <w:rPr>
                <w:color w:val="000000" w:themeColor="text1"/>
                <w:sz w:val="18"/>
                <w:szCs w:val="18"/>
              </w:rPr>
            </w:pPr>
          </w:p>
        </w:tc>
        <w:tc>
          <w:tcPr>
            <w:tcW w:w="987" w:type="dxa"/>
          </w:tcPr>
          <w:p w14:paraId="7F905ED8" w14:textId="77777777" w:rsidR="00D25F53" w:rsidRPr="00F97C61" w:rsidRDefault="00D25F53" w:rsidP="00CD464A">
            <w:pPr>
              <w:spacing w:after="0" w:line="240" w:lineRule="auto"/>
              <w:rPr>
                <w:color w:val="000000" w:themeColor="text1"/>
                <w:sz w:val="18"/>
                <w:szCs w:val="18"/>
              </w:rPr>
            </w:pPr>
          </w:p>
        </w:tc>
        <w:tc>
          <w:tcPr>
            <w:tcW w:w="1276" w:type="dxa"/>
          </w:tcPr>
          <w:p w14:paraId="187D7367" w14:textId="77777777" w:rsidR="00D25F53" w:rsidRPr="00F97C61" w:rsidRDefault="00D25F53" w:rsidP="00CD464A">
            <w:pPr>
              <w:spacing w:after="0" w:line="240" w:lineRule="auto"/>
              <w:rPr>
                <w:color w:val="000000" w:themeColor="text1"/>
                <w:sz w:val="18"/>
                <w:szCs w:val="18"/>
              </w:rPr>
            </w:pPr>
          </w:p>
        </w:tc>
      </w:tr>
      <w:tr w:rsidR="00F97C61" w:rsidRPr="00F97C61" w14:paraId="4492870A" w14:textId="72223C98" w:rsidTr="00D25F53">
        <w:trPr>
          <w:trHeight w:val="161"/>
        </w:trPr>
        <w:tc>
          <w:tcPr>
            <w:tcW w:w="1942" w:type="dxa"/>
          </w:tcPr>
          <w:p w14:paraId="49FBC3C8" w14:textId="09D0CB1B"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3</w:t>
            </w:r>
          </w:p>
        </w:tc>
        <w:tc>
          <w:tcPr>
            <w:tcW w:w="1000" w:type="dxa"/>
          </w:tcPr>
          <w:p w14:paraId="5A92AA2B" w14:textId="190F98CE" w:rsidR="00D25F53" w:rsidRPr="00F97C61" w:rsidRDefault="00D25F53" w:rsidP="00CD464A">
            <w:pPr>
              <w:spacing w:after="0" w:line="240" w:lineRule="auto"/>
              <w:rPr>
                <w:color w:val="000000" w:themeColor="text1"/>
                <w:sz w:val="18"/>
                <w:szCs w:val="18"/>
              </w:rPr>
            </w:pPr>
          </w:p>
        </w:tc>
        <w:tc>
          <w:tcPr>
            <w:tcW w:w="1033" w:type="dxa"/>
          </w:tcPr>
          <w:p w14:paraId="47971DA5" w14:textId="1CDCB814"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.62</w:t>
            </w:r>
          </w:p>
        </w:tc>
        <w:tc>
          <w:tcPr>
            <w:tcW w:w="1203" w:type="dxa"/>
          </w:tcPr>
          <w:p w14:paraId="0B591D9C" w14:textId="77777777" w:rsidR="00D25F53" w:rsidRPr="00F97C61" w:rsidRDefault="00D25F53" w:rsidP="00CD464A">
            <w:pPr>
              <w:spacing w:after="0" w:line="240" w:lineRule="auto"/>
              <w:rPr>
                <w:color w:val="000000" w:themeColor="text1"/>
                <w:sz w:val="18"/>
                <w:szCs w:val="18"/>
              </w:rPr>
            </w:pPr>
          </w:p>
        </w:tc>
        <w:tc>
          <w:tcPr>
            <w:tcW w:w="987" w:type="dxa"/>
          </w:tcPr>
          <w:p w14:paraId="74D194E7" w14:textId="77777777" w:rsidR="00D25F53" w:rsidRPr="00F97C61" w:rsidRDefault="00D25F53" w:rsidP="00CD464A">
            <w:pPr>
              <w:spacing w:after="0" w:line="240" w:lineRule="auto"/>
              <w:rPr>
                <w:color w:val="000000" w:themeColor="text1"/>
                <w:sz w:val="18"/>
                <w:szCs w:val="18"/>
              </w:rPr>
            </w:pPr>
          </w:p>
        </w:tc>
        <w:tc>
          <w:tcPr>
            <w:tcW w:w="1276" w:type="dxa"/>
          </w:tcPr>
          <w:p w14:paraId="6A867DBC" w14:textId="77777777" w:rsidR="00D25F53" w:rsidRPr="00F97C61" w:rsidRDefault="00D25F53" w:rsidP="00CD464A">
            <w:pPr>
              <w:spacing w:after="0" w:line="240" w:lineRule="auto"/>
              <w:rPr>
                <w:color w:val="000000" w:themeColor="text1"/>
                <w:sz w:val="18"/>
                <w:szCs w:val="18"/>
              </w:rPr>
            </w:pPr>
          </w:p>
        </w:tc>
      </w:tr>
      <w:tr w:rsidR="00F97C61" w:rsidRPr="00F97C61" w14:paraId="5E6E2B59" w14:textId="6BAB80CF" w:rsidTr="00D25F53">
        <w:trPr>
          <w:trHeight w:val="161"/>
        </w:trPr>
        <w:tc>
          <w:tcPr>
            <w:tcW w:w="1942" w:type="dxa"/>
          </w:tcPr>
          <w:p w14:paraId="44535A22" w14:textId="3DEAD5F5"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4</w:t>
            </w:r>
          </w:p>
        </w:tc>
        <w:tc>
          <w:tcPr>
            <w:tcW w:w="1000" w:type="dxa"/>
          </w:tcPr>
          <w:p w14:paraId="4CB5997A" w14:textId="2A72D880" w:rsidR="00D25F53" w:rsidRPr="00F97C61" w:rsidRDefault="00D25F53" w:rsidP="00CD464A">
            <w:pPr>
              <w:spacing w:after="0" w:line="240" w:lineRule="auto"/>
              <w:rPr>
                <w:color w:val="000000" w:themeColor="text1"/>
                <w:sz w:val="18"/>
                <w:szCs w:val="18"/>
              </w:rPr>
            </w:pPr>
          </w:p>
        </w:tc>
        <w:tc>
          <w:tcPr>
            <w:tcW w:w="1033" w:type="dxa"/>
          </w:tcPr>
          <w:p w14:paraId="6DCDAFF7" w14:textId="6D8B524E"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.62</w:t>
            </w:r>
          </w:p>
        </w:tc>
        <w:tc>
          <w:tcPr>
            <w:tcW w:w="1203" w:type="dxa"/>
          </w:tcPr>
          <w:p w14:paraId="06E47DFC" w14:textId="77777777" w:rsidR="00D25F53" w:rsidRPr="00F97C61" w:rsidRDefault="00D25F53" w:rsidP="00CD464A">
            <w:pPr>
              <w:spacing w:after="0" w:line="240" w:lineRule="auto"/>
              <w:rPr>
                <w:color w:val="000000" w:themeColor="text1"/>
                <w:sz w:val="18"/>
                <w:szCs w:val="18"/>
              </w:rPr>
            </w:pPr>
          </w:p>
        </w:tc>
        <w:tc>
          <w:tcPr>
            <w:tcW w:w="987" w:type="dxa"/>
          </w:tcPr>
          <w:p w14:paraId="06C1EBB7" w14:textId="77777777" w:rsidR="00D25F53" w:rsidRPr="00F97C61" w:rsidRDefault="00D25F53" w:rsidP="00CD464A">
            <w:pPr>
              <w:spacing w:after="0" w:line="240" w:lineRule="auto"/>
              <w:rPr>
                <w:color w:val="000000" w:themeColor="text1"/>
                <w:sz w:val="18"/>
                <w:szCs w:val="18"/>
              </w:rPr>
            </w:pPr>
          </w:p>
        </w:tc>
        <w:tc>
          <w:tcPr>
            <w:tcW w:w="1276" w:type="dxa"/>
          </w:tcPr>
          <w:p w14:paraId="3BD46687" w14:textId="77777777" w:rsidR="00D25F53" w:rsidRPr="00F97C61" w:rsidRDefault="00D25F53" w:rsidP="00CD464A">
            <w:pPr>
              <w:spacing w:after="0" w:line="240" w:lineRule="auto"/>
              <w:rPr>
                <w:color w:val="000000" w:themeColor="text1"/>
                <w:sz w:val="18"/>
                <w:szCs w:val="18"/>
              </w:rPr>
            </w:pPr>
          </w:p>
        </w:tc>
      </w:tr>
      <w:tr w:rsidR="00F97C61" w:rsidRPr="00F97C61" w14:paraId="6C973DC0" w14:textId="28D1BFD2" w:rsidTr="00D25F53">
        <w:trPr>
          <w:trHeight w:val="161"/>
        </w:trPr>
        <w:tc>
          <w:tcPr>
            <w:tcW w:w="1942" w:type="dxa"/>
          </w:tcPr>
          <w:p w14:paraId="4381DB29" w14:textId="14D75F43"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20</w:t>
            </w:r>
          </w:p>
        </w:tc>
        <w:tc>
          <w:tcPr>
            <w:tcW w:w="1000" w:type="dxa"/>
          </w:tcPr>
          <w:p w14:paraId="67C187F6" w14:textId="77777777" w:rsidR="00D25F53" w:rsidRPr="00F97C61" w:rsidRDefault="00D25F53" w:rsidP="00CD464A">
            <w:pPr>
              <w:spacing w:after="0" w:line="240" w:lineRule="auto"/>
              <w:rPr>
                <w:color w:val="000000" w:themeColor="text1"/>
                <w:sz w:val="18"/>
                <w:szCs w:val="18"/>
              </w:rPr>
            </w:pPr>
          </w:p>
        </w:tc>
        <w:tc>
          <w:tcPr>
            <w:tcW w:w="1033" w:type="dxa"/>
          </w:tcPr>
          <w:p w14:paraId="0689E0EE" w14:textId="5486A728"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.52</w:t>
            </w:r>
          </w:p>
        </w:tc>
        <w:tc>
          <w:tcPr>
            <w:tcW w:w="1203" w:type="dxa"/>
          </w:tcPr>
          <w:p w14:paraId="7286C7E6" w14:textId="77777777" w:rsidR="00D25F53" w:rsidRPr="00F97C61" w:rsidRDefault="00D25F53" w:rsidP="00CD464A">
            <w:pPr>
              <w:spacing w:after="0" w:line="240" w:lineRule="auto"/>
              <w:rPr>
                <w:color w:val="000000" w:themeColor="text1"/>
                <w:sz w:val="18"/>
                <w:szCs w:val="18"/>
              </w:rPr>
            </w:pPr>
          </w:p>
        </w:tc>
        <w:tc>
          <w:tcPr>
            <w:tcW w:w="987" w:type="dxa"/>
          </w:tcPr>
          <w:p w14:paraId="37AFC0A9" w14:textId="77777777" w:rsidR="00D25F53" w:rsidRPr="00F97C61" w:rsidRDefault="00D25F53" w:rsidP="00CD464A">
            <w:pPr>
              <w:spacing w:after="0" w:line="240" w:lineRule="auto"/>
              <w:rPr>
                <w:color w:val="000000" w:themeColor="text1"/>
                <w:sz w:val="18"/>
                <w:szCs w:val="18"/>
              </w:rPr>
            </w:pPr>
          </w:p>
        </w:tc>
        <w:tc>
          <w:tcPr>
            <w:tcW w:w="1276" w:type="dxa"/>
          </w:tcPr>
          <w:p w14:paraId="5AAAFC20" w14:textId="77777777" w:rsidR="00D25F53" w:rsidRPr="00F97C61" w:rsidRDefault="00D25F53" w:rsidP="00CD464A">
            <w:pPr>
              <w:spacing w:after="0" w:line="240" w:lineRule="auto"/>
              <w:rPr>
                <w:color w:val="000000" w:themeColor="text1"/>
                <w:sz w:val="18"/>
                <w:szCs w:val="18"/>
              </w:rPr>
            </w:pPr>
          </w:p>
        </w:tc>
      </w:tr>
      <w:tr w:rsidR="00F97C61" w:rsidRPr="00F97C61" w14:paraId="3A36ED9D" w14:textId="73EA3D1A" w:rsidTr="00D25F53">
        <w:trPr>
          <w:trHeight w:val="161"/>
        </w:trPr>
        <w:tc>
          <w:tcPr>
            <w:tcW w:w="1942" w:type="dxa"/>
          </w:tcPr>
          <w:p w14:paraId="0128DEB2" w14:textId="154E5A58"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10</w:t>
            </w:r>
          </w:p>
        </w:tc>
        <w:tc>
          <w:tcPr>
            <w:tcW w:w="1000" w:type="dxa"/>
          </w:tcPr>
          <w:p w14:paraId="17F41487" w14:textId="77777777" w:rsidR="00D25F53" w:rsidRPr="00F97C61" w:rsidRDefault="00D25F53" w:rsidP="00CD464A">
            <w:pPr>
              <w:spacing w:after="0" w:line="240" w:lineRule="auto"/>
              <w:rPr>
                <w:color w:val="000000" w:themeColor="text1"/>
                <w:sz w:val="18"/>
                <w:szCs w:val="18"/>
              </w:rPr>
            </w:pPr>
          </w:p>
        </w:tc>
        <w:tc>
          <w:tcPr>
            <w:tcW w:w="1033" w:type="dxa"/>
          </w:tcPr>
          <w:p w14:paraId="09C44BED" w14:textId="44B94725"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.51</w:t>
            </w:r>
          </w:p>
        </w:tc>
        <w:tc>
          <w:tcPr>
            <w:tcW w:w="1203" w:type="dxa"/>
          </w:tcPr>
          <w:p w14:paraId="4AA169A6" w14:textId="77777777" w:rsidR="00D25F53" w:rsidRPr="00F97C61" w:rsidRDefault="00D25F53" w:rsidP="00CD464A">
            <w:pPr>
              <w:spacing w:after="0" w:line="240" w:lineRule="auto"/>
              <w:rPr>
                <w:color w:val="000000" w:themeColor="text1"/>
                <w:sz w:val="18"/>
                <w:szCs w:val="18"/>
              </w:rPr>
            </w:pPr>
          </w:p>
        </w:tc>
        <w:tc>
          <w:tcPr>
            <w:tcW w:w="987" w:type="dxa"/>
          </w:tcPr>
          <w:p w14:paraId="2D5EDD62" w14:textId="77777777" w:rsidR="00D25F53" w:rsidRPr="00F97C61" w:rsidRDefault="00D25F53" w:rsidP="00CD464A">
            <w:pPr>
              <w:spacing w:after="0" w:line="240" w:lineRule="auto"/>
              <w:rPr>
                <w:color w:val="000000" w:themeColor="text1"/>
                <w:sz w:val="18"/>
                <w:szCs w:val="18"/>
              </w:rPr>
            </w:pPr>
          </w:p>
        </w:tc>
        <w:tc>
          <w:tcPr>
            <w:tcW w:w="1276" w:type="dxa"/>
          </w:tcPr>
          <w:p w14:paraId="1632E990" w14:textId="77777777" w:rsidR="00D25F53" w:rsidRPr="00F97C61" w:rsidRDefault="00D25F53" w:rsidP="00CD464A">
            <w:pPr>
              <w:spacing w:after="0" w:line="240" w:lineRule="auto"/>
              <w:rPr>
                <w:color w:val="000000" w:themeColor="text1"/>
                <w:sz w:val="18"/>
                <w:szCs w:val="18"/>
              </w:rPr>
            </w:pPr>
          </w:p>
        </w:tc>
      </w:tr>
      <w:tr w:rsidR="00F97C61" w:rsidRPr="00F97C61" w14:paraId="19C88A43" w14:textId="632656EC" w:rsidTr="00B24AB4">
        <w:trPr>
          <w:trHeight w:val="161"/>
        </w:trPr>
        <w:tc>
          <w:tcPr>
            <w:tcW w:w="1942" w:type="dxa"/>
          </w:tcPr>
          <w:p w14:paraId="684671A1" w14:textId="6877AF1C"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18</w:t>
            </w:r>
          </w:p>
        </w:tc>
        <w:tc>
          <w:tcPr>
            <w:tcW w:w="1000" w:type="dxa"/>
          </w:tcPr>
          <w:p w14:paraId="71822645" w14:textId="77777777" w:rsidR="00D25F53" w:rsidRPr="00F97C61" w:rsidRDefault="00D25F53" w:rsidP="00CD464A">
            <w:pPr>
              <w:spacing w:after="0" w:line="240" w:lineRule="auto"/>
              <w:rPr>
                <w:color w:val="000000" w:themeColor="text1"/>
                <w:sz w:val="18"/>
                <w:szCs w:val="18"/>
              </w:rPr>
            </w:pPr>
          </w:p>
        </w:tc>
        <w:tc>
          <w:tcPr>
            <w:tcW w:w="1033" w:type="dxa"/>
          </w:tcPr>
          <w:p w14:paraId="29031DC7" w14:textId="6DC86271"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.42</w:t>
            </w:r>
          </w:p>
        </w:tc>
        <w:tc>
          <w:tcPr>
            <w:tcW w:w="1203" w:type="dxa"/>
          </w:tcPr>
          <w:p w14:paraId="779A26BE" w14:textId="77777777" w:rsidR="00D25F53" w:rsidRPr="00F97C61" w:rsidRDefault="00D25F53" w:rsidP="00CD464A">
            <w:pPr>
              <w:spacing w:after="0" w:line="240" w:lineRule="auto"/>
              <w:rPr>
                <w:color w:val="000000" w:themeColor="text1"/>
                <w:sz w:val="18"/>
                <w:szCs w:val="18"/>
              </w:rPr>
            </w:pPr>
          </w:p>
        </w:tc>
        <w:tc>
          <w:tcPr>
            <w:tcW w:w="987" w:type="dxa"/>
          </w:tcPr>
          <w:p w14:paraId="6FCD43DA" w14:textId="77777777" w:rsidR="00D25F53" w:rsidRPr="00F97C61" w:rsidRDefault="00D25F53" w:rsidP="00CD464A">
            <w:pPr>
              <w:spacing w:after="0" w:line="240" w:lineRule="auto"/>
              <w:rPr>
                <w:color w:val="000000" w:themeColor="text1"/>
                <w:sz w:val="18"/>
                <w:szCs w:val="18"/>
              </w:rPr>
            </w:pPr>
          </w:p>
        </w:tc>
        <w:tc>
          <w:tcPr>
            <w:tcW w:w="1276" w:type="dxa"/>
          </w:tcPr>
          <w:p w14:paraId="0F826E27" w14:textId="77777777" w:rsidR="00D25F53" w:rsidRPr="00F97C61" w:rsidRDefault="00D25F53" w:rsidP="00CD464A">
            <w:pPr>
              <w:spacing w:after="0" w:line="240" w:lineRule="auto"/>
              <w:rPr>
                <w:color w:val="000000" w:themeColor="text1"/>
                <w:sz w:val="18"/>
                <w:szCs w:val="18"/>
              </w:rPr>
            </w:pPr>
          </w:p>
        </w:tc>
      </w:tr>
      <w:tr w:rsidR="00F97C61" w:rsidRPr="00F97C61" w14:paraId="519FBFF2" w14:textId="74515B1B" w:rsidTr="00B24AB4">
        <w:trPr>
          <w:trHeight w:val="161"/>
        </w:trPr>
        <w:tc>
          <w:tcPr>
            <w:tcW w:w="1942" w:type="dxa"/>
          </w:tcPr>
          <w:p w14:paraId="3D6CF9BE" w14:textId="5F50C839"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14</w:t>
            </w:r>
          </w:p>
        </w:tc>
        <w:tc>
          <w:tcPr>
            <w:tcW w:w="1000" w:type="dxa"/>
          </w:tcPr>
          <w:p w14:paraId="18B5B9DB" w14:textId="77777777" w:rsidR="00D25F53" w:rsidRPr="00F97C61" w:rsidRDefault="00D25F53" w:rsidP="00CD464A">
            <w:pPr>
              <w:spacing w:after="0" w:line="240" w:lineRule="auto"/>
              <w:rPr>
                <w:color w:val="000000" w:themeColor="text1"/>
                <w:sz w:val="18"/>
                <w:szCs w:val="18"/>
              </w:rPr>
            </w:pPr>
          </w:p>
        </w:tc>
        <w:tc>
          <w:tcPr>
            <w:tcW w:w="1033" w:type="dxa"/>
          </w:tcPr>
          <w:p w14:paraId="0EA7B325" w14:textId="15CEEB0C" w:rsidR="00D25F53" w:rsidRPr="00F97C61" w:rsidRDefault="00D25F53" w:rsidP="00CD464A">
            <w:pPr>
              <w:spacing w:after="0" w:line="240" w:lineRule="auto"/>
              <w:rPr>
                <w:color w:val="000000" w:themeColor="text1"/>
                <w:sz w:val="18"/>
                <w:szCs w:val="18"/>
              </w:rPr>
            </w:pPr>
          </w:p>
        </w:tc>
        <w:tc>
          <w:tcPr>
            <w:tcW w:w="1203" w:type="dxa"/>
          </w:tcPr>
          <w:p w14:paraId="529048D7" w14:textId="073E058F"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.71</w:t>
            </w:r>
          </w:p>
        </w:tc>
        <w:tc>
          <w:tcPr>
            <w:tcW w:w="987" w:type="dxa"/>
          </w:tcPr>
          <w:p w14:paraId="04473501" w14:textId="77777777" w:rsidR="00D25F53" w:rsidRPr="00F97C61" w:rsidRDefault="00D25F53" w:rsidP="00CD464A">
            <w:pPr>
              <w:spacing w:after="0" w:line="240" w:lineRule="auto"/>
              <w:rPr>
                <w:color w:val="000000" w:themeColor="text1"/>
                <w:sz w:val="18"/>
                <w:szCs w:val="18"/>
              </w:rPr>
            </w:pPr>
          </w:p>
        </w:tc>
        <w:tc>
          <w:tcPr>
            <w:tcW w:w="1276" w:type="dxa"/>
          </w:tcPr>
          <w:p w14:paraId="4EEF6919" w14:textId="77777777" w:rsidR="00D25F53" w:rsidRPr="00F97C61" w:rsidRDefault="00D25F53" w:rsidP="00CD464A">
            <w:pPr>
              <w:spacing w:after="0" w:line="240" w:lineRule="auto"/>
              <w:rPr>
                <w:color w:val="000000" w:themeColor="text1"/>
                <w:sz w:val="18"/>
                <w:szCs w:val="18"/>
              </w:rPr>
            </w:pPr>
          </w:p>
        </w:tc>
      </w:tr>
      <w:tr w:rsidR="00F97C61" w:rsidRPr="00F97C61" w14:paraId="38989263" w14:textId="4035DDED" w:rsidTr="00D25F53">
        <w:trPr>
          <w:trHeight w:val="161"/>
        </w:trPr>
        <w:tc>
          <w:tcPr>
            <w:tcW w:w="1942" w:type="dxa"/>
          </w:tcPr>
          <w:p w14:paraId="789374E9" w14:textId="158AECAD"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5</w:t>
            </w:r>
          </w:p>
        </w:tc>
        <w:tc>
          <w:tcPr>
            <w:tcW w:w="1000" w:type="dxa"/>
          </w:tcPr>
          <w:p w14:paraId="4BF91238" w14:textId="77777777" w:rsidR="00D25F53" w:rsidRPr="00F97C61" w:rsidRDefault="00D25F53" w:rsidP="00CD464A">
            <w:pPr>
              <w:spacing w:after="0" w:line="240" w:lineRule="auto"/>
              <w:rPr>
                <w:color w:val="000000" w:themeColor="text1"/>
                <w:sz w:val="18"/>
                <w:szCs w:val="18"/>
              </w:rPr>
            </w:pPr>
          </w:p>
        </w:tc>
        <w:tc>
          <w:tcPr>
            <w:tcW w:w="1033" w:type="dxa"/>
          </w:tcPr>
          <w:p w14:paraId="2D3CC6B0" w14:textId="77777777" w:rsidR="00D25F53" w:rsidRPr="00F97C61" w:rsidRDefault="00D25F53" w:rsidP="00CD464A">
            <w:pPr>
              <w:spacing w:after="0" w:line="240" w:lineRule="auto"/>
              <w:rPr>
                <w:color w:val="000000" w:themeColor="text1"/>
                <w:sz w:val="18"/>
                <w:szCs w:val="18"/>
              </w:rPr>
            </w:pPr>
          </w:p>
        </w:tc>
        <w:tc>
          <w:tcPr>
            <w:tcW w:w="1203" w:type="dxa"/>
          </w:tcPr>
          <w:p w14:paraId="0F9F0756" w14:textId="4C4E0A16"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.63</w:t>
            </w:r>
          </w:p>
        </w:tc>
        <w:tc>
          <w:tcPr>
            <w:tcW w:w="987" w:type="dxa"/>
          </w:tcPr>
          <w:p w14:paraId="62E926F6" w14:textId="77777777" w:rsidR="00D25F53" w:rsidRPr="00F97C61" w:rsidRDefault="00D25F53" w:rsidP="00CD464A">
            <w:pPr>
              <w:spacing w:after="0" w:line="240" w:lineRule="auto"/>
              <w:rPr>
                <w:color w:val="000000" w:themeColor="text1"/>
                <w:sz w:val="18"/>
                <w:szCs w:val="18"/>
              </w:rPr>
            </w:pPr>
          </w:p>
        </w:tc>
        <w:tc>
          <w:tcPr>
            <w:tcW w:w="1276" w:type="dxa"/>
          </w:tcPr>
          <w:p w14:paraId="044DD2B1" w14:textId="77777777" w:rsidR="00D25F53" w:rsidRPr="00F97C61" w:rsidRDefault="00D25F53" w:rsidP="00CD464A">
            <w:pPr>
              <w:spacing w:after="0" w:line="240" w:lineRule="auto"/>
              <w:rPr>
                <w:color w:val="000000" w:themeColor="text1"/>
                <w:sz w:val="18"/>
                <w:szCs w:val="18"/>
              </w:rPr>
            </w:pPr>
          </w:p>
        </w:tc>
      </w:tr>
      <w:tr w:rsidR="00F97C61" w:rsidRPr="00F97C61" w14:paraId="2D17A29E" w14:textId="386EF49B" w:rsidTr="00D25F53">
        <w:trPr>
          <w:trHeight w:val="161"/>
        </w:trPr>
        <w:tc>
          <w:tcPr>
            <w:tcW w:w="1942" w:type="dxa"/>
          </w:tcPr>
          <w:p w14:paraId="5034C1BF" w14:textId="2B3A0A92"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17</w:t>
            </w:r>
          </w:p>
        </w:tc>
        <w:tc>
          <w:tcPr>
            <w:tcW w:w="1000" w:type="dxa"/>
          </w:tcPr>
          <w:p w14:paraId="12F997CD" w14:textId="77777777" w:rsidR="00D25F53" w:rsidRPr="00F97C61" w:rsidRDefault="00D25F53" w:rsidP="00CD464A">
            <w:pPr>
              <w:spacing w:after="0" w:line="240" w:lineRule="auto"/>
              <w:rPr>
                <w:color w:val="000000" w:themeColor="text1"/>
                <w:sz w:val="18"/>
                <w:szCs w:val="18"/>
              </w:rPr>
            </w:pPr>
          </w:p>
        </w:tc>
        <w:tc>
          <w:tcPr>
            <w:tcW w:w="1033" w:type="dxa"/>
          </w:tcPr>
          <w:p w14:paraId="0C415E08" w14:textId="77777777" w:rsidR="00D25F53" w:rsidRPr="00F97C61" w:rsidRDefault="00D25F53" w:rsidP="00CD464A">
            <w:pPr>
              <w:spacing w:after="0" w:line="240" w:lineRule="auto"/>
              <w:rPr>
                <w:color w:val="000000" w:themeColor="text1"/>
                <w:sz w:val="18"/>
                <w:szCs w:val="18"/>
              </w:rPr>
            </w:pPr>
          </w:p>
        </w:tc>
        <w:tc>
          <w:tcPr>
            <w:tcW w:w="1203" w:type="dxa"/>
          </w:tcPr>
          <w:p w14:paraId="42C1021E" w14:textId="70D8FF7A"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.56</w:t>
            </w:r>
          </w:p>
        </w:tc>
        <w:tc>
          <w:tcPr>
            <w:tcW w:w="987" w:type="dxa"/>
          </w:tcPr>
          <w:p w14:paraId="017B0EFF" w14:textId="77777777" w:rsidR="00D25F53" w:rsidRPr="00F97C61" w:rsidRDefault="00D25F53" w:rsidP="00CD464A">
            <w:pPr>
              <w:spacing w:after="0" w:line="240" w:lineRule="auto"/>
              <w:rPr>
                <w:color w:val="000000" w:themeColor="text1"/>
                <w:sz w:val="18"/>
                <w:szCs w:val="18"/>
              </w:rPr>
            </w:pPr>
          </w:p>
        </w:tc>
        <w:tc>
          <w:tcPr>
            <w:tcW w:w="1276" w:type="dxa"/>
          </w:tcPr>
          <w:p w14:paraId="7E8E1DBC" w14:textId="77777777" w:rsidR="00D25F53" w:rsidRPr="00F97C61" w:rsidRDefault="00D25F53" w:rsidP="00CD464A">
            <w:pPr>
              <w:spacing w:after="0" w:line="240" w:lineRule="auto"/>
              <w:rPr>
                <w:color w:val="000000" w:themeColor="text1"/>
                <w:sz w:val="18"/>
                <w:szCs w:val="18"/>
              </w:rPr>
            </w:pPr>
          </w:p>
        </w:tc>
      </w:tr>
      <w:tr w:rsidR="00F97C61" w:rsidRPr="00F97C61" w14:paraId="4501F312" w14:textId="15A6EFA7" w:rsidTr="00D25F53">
        <w:trPr>
          <w:trHeight w:val="161"/>
        </w:trPr>
        <w:tc>
          <w:tcPr>
            <w:tcW w:w="1942" w:type="dxa"/>
          </w:tcPr>
          <w:p w14:paraId="7EC661D5" w14:textId="59850D26"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7</w:t>
            </w:r>
          </w:p>
        </w:tc>
        <w:tc>
          <w:tcPr>
            <w:tcW w:w="1000" w:type="dxa"/>
          </w:tcPr>
          <w:p w14:paraId="1BA431CD" w14:textId="77777777" w:rsidR="00D25F53" w:rsidRPr="00F97C61" w:rsidRDefault="00D25F53" w:rsidP="00CD464A">
            <w:pPr>
              <w:spacing w:after="0" w:line="240" w:lineRule="auto"/>
              <w:rPr>
                <w:color w:val="000000" w:themeColor="text1"/>
                <w:sz w:val="18"/>
                <w:szCs w:val="18"/>
              </w:rPr>
            </w:pPr>
          </w:p>
        </w:tc>
        <w:tc>
          <w:tcPr>
            <w:tcW w:w="1033" w:type="dxa"/>
          </w:tcPr>
          <w:p w14:paraId="05173E0C" w14:textId="77777777" w:rsidR="00D25F53" w:rsidRPr="00F97C61" w:rsidRDefault="00D25F53" w:rsidP="00CD464A">
            <w:pPr>
              <w:spacing w:after="0" w:line="240" w:lineRule="auto"/>
              <w:rPr>
                <w:color w:val="000000" w:themeColor="text1"/>
                <w:sz w:val="18"/>
                <w:szCs w:val="18"/>
              </w:rPr>
            </w:pPr>
          </w:p>
        </w:tc>
        <w:tc>
          <w:tcPr>
            <w:tcW w:w="1203" w:type="dxa"/>
          </w:tcPr>
          <w:p w14:paraId="67B40B27" w14:textId="29BAE2A8"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.56</w:t>
            </w:r>
          </w:p>
        </w:tc>
        <w:tc>
          <w:tcPr>
            <w:tcW w:w="987" w:type="dxa"/>
          </w:tcPr>
          <w:p w14:paraId="011CCB3C" w14:textId="77777777" w:rsidR="00D25F53" w:rsidRPr="00F97C61" w:rsidRDefault="00D25F53" w:rsidP="00CD464A">
            <w:pPr>
              <w:spacing w:after="0" w:line="240" w:lineRule="auto"/>
              <w:rPr>
                <w:color w:val="000000" w:themeColor="text1"/>
                <w:sz w:val="18"/>
                <w:szCs w:val="18"/>
              </w:rPr>
            </w:pPr>
          </w:p>
        </w:tc>
        <w:tc>
          <w:tcPr>
            <w:tcW w:w="1276" w:type="dxa"/>
          </w:tcPr>
          <w:p w14:paraId="42CCC72D" w14:textId="77777777" w:rsidR="00D25F53" w:rsidRPr="00F97C61" w:rsidRDefault="00D25F53" w:rsidP="00CD464A">
            <w:pPr>
              <w:spacing w:after="0" w:line="240" w:lineRule="auto"/>
              <w:rPr>
                <w:color w:val="000000" w:themeColor="text1"/>
                <w:sz w:val="18"/>
                <w:szCs w:val="18"/>
              </w:rPr>
            </w:pPr>
          </w:p>
        </w:tc>
      </w:tr>
      <w:tr w:rsidR="00F97C61" w:rsidRPr="00F97C61" w14:paraId="2CEFB5A9" w14:textId="2531A4B6" w:rsidTr="00B24AB4">
        <w:trPr>
          <w:trHeight w:val="161"/>
        </w:trPr>
        <w:tc>
          <w:tcPr>
            <w:tcW w:w="1942" w:type="dxa"/>
          </w:tcPr>
          <w:p w14:paraId="76D6DEB0" w14:textId="559AD8D5"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12</w:t>
            </w:r>
          </w:p>
        </w:tc>
        <w:tc>
          <w:tcPr>
            <w:tcW w:w="1000" w:type="dxa"/>
          </w:tcPr>
          <w:p w14:paraId="2C2A0E62" w14:textId="77777777" w:rsidR="00D25F53" w:rsidRPr="00F97C61" w:rsidRDefault="00D25F53" w:rsidP="00CD464A">
            <w:pPr>
              <w:spacing w:after="0" w:line="240" w:lineRule="auto"/>
              <w:rPr>
                <w:color w:val="000000" w:themeColor="text1"/>
                <w:sz w:val="18"/>
                <w:szCs w:val="18"/>
              </w:rPr>
            </w:pPr>
          </w:p>
        </w:tc>
        <w:tc>
          <w:tcPr>
            <w:tcW w:w="1033" w:type="dxa"/>
          </w:tcPr>
          <w:p w14:paraId="64769699" w14:textId="77777777" w:rsidR="00D25F53" w:rsidRPr="00F97C61" w:rsidRDefault="00D25F53" w:rsidP="00CD464A">
            <w:pPr>
              <w:spacing w:after="0" w:line="240" w:lineRule="auto"/>
              <w:rPr>
                <w:color w:val="000000" w:themeColor="text1"/>
                <w:sz w:val="18"/>
                <w:szCs w:val="18"/>
              </w:rPr>
            </w:pPr>
          </w:p>
        </w:tc>
        <w:tc>
          <w:tcPr>
            <w:tcW w:w="1203" w:type="dxa"/>
          </w:tcPr>
          <w:p w14:paraId="347C52FC" w14:textId="7CFD7EC6"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.39</w:t>
            </w:r>
          </w:p>
        </w:tc>
        <w:tc>
          <w:tcPr>
            <w:tcW w:w="987" w:type="dxa"/>
          </w:tcPr>
          <w:p w14:paraId="20885A80" w14:textId="77777777" w:rsidR="00D25F53" w:rsidRPr="00F97C61" w:rsidRDefault="00D25F53" w:rsidP="00CD464A">
            <w:pPr>
              <w:spacing w:after="0" w:line="240" w:lineRule="auto"/>
              <w:rPr>
                <w:color w:val="000000" w:themeColor="text1"/>
                <w:sz w:val="18"/>
                <w:szCs w:val="18"/>
              </w:rPr>
            </w:pPr>
          </w:p>
        </w:tc>
        <w:tc>
          <w:tcPr>
            <w:tcW w:w="1276" w:type="dxa"/>
          </w:tcPr>
          <w:p w14:paraId="0FCFAB6A" w14:textId="77777777" w:rsidR="00D25F53" w:rsidRPr="00F97C61" w:rsidRDefault="00D25F53" w:rsidP="00CD464A">
            <w:pPr>
              <w:spacing w:after="0" w:line="240" w:lineRule="auto"/>
              <w:rPr>
                <w:color w:val="000000" w:themeColor="text1"/>
                <w:sz w:val="18"/>
                <w:szCs w:val="18"/>
              </w:rPr>
            </w:pPr>
          </w:p>
        </w:tc>
      </w:tr>
      <w:tr w:rsidR="00F97C61" w:rsidRPr="00F97C61" w14:paraId="2F42915F" w14:textId="232792C8" w:rsidTr="00B24AB4">
        <w:trPr>
          <w:trHeight w:val="161"/>
        </w:trPr>
        <w:tc>
          <w:tcPr>
            <w:tcW w:w="1942" w:type="dxa"/>
          </w:tcPr>
          <w:p w14:paraId="0318D80F" w14:textId="04C2B290"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21</w:t>
            </w:r>
          </w:p>
        </w:tc>
        <w:tc>
          <w:tcPr>
            <w:tcW w:w="1000" w:type="dxa"/>
          </w:tcPr>
          <w:p w14:paraId="6B256BBF" w14:textId="77777777" w:rsidR="00D25F53" w:rsidRPr="00F97C61" w:rsidRDefault="00D25F53" w:rsidP="00CD464A">
            <w:pPr>
              <w:spacing w:after="0" w:line="240" w:lineRule="auto"/>
              <w:rPr>
                <w:color w:val="000000" w:themeColor="text1"/>
                <w:sz w:val="18"/>
                <w:szCs w:val="18"/>
              </w:rPr>
            </w:pPr>
          </w:p>
        </w:tc>
        <w:tc>
          <w:tcPr>
            <w:tcW w:w="1033" w:type="dxa"/>
          </w:tcPr>
          <w:p w14:paraId="15A3765A" w14:textId="77777777" w:rsidR="00D25F53" w:rsidRPr="00F97C61" w:rsidRDefault="00D25F53" w:rsidP="00CD464A">
            <w:pPr>
              <w:spacing w:after="0" w:line="240" w:lineRule="auto"/>
              <w:rPr>
                <w:color w:val="000000" w:themeColor="text1"/>
                <w:sz w:val="18"/>
                <w:szCs w:val="18"/>
              </w:rPr>
            </w:pPr>
          </w:p>
        </w:tc>
        <w:tc>
          <w:tcPr>
            <w:tcW w:w="1203" w:type="dxa"/>
          </w:tcPr>
          <w:p w14:paraId="3B001DC2" w14:textId="77777777" w:rsidR="00D25F53" w:rsidRPr="00F97C61" w:rsidRDefault="00D25F53" w:rsidP="00CD464A">
            <w:pPr>
              <w:spacing w:after="0" w:line="240" w:lineRule="auto"/>
              <w:rPr>
                <w:color w:val="000000" w:themeColor="text1"/>
                <w:sz w:val="18"/>
                <w:szCs w:val="18"/>
              </w:rPr>
            </w:pPr>
          </w:p>
        </w:tc>
        <w:tc>
          <w:tcPr>
            <w:tcW w:w="987" w:type="dxa"/>
          </w:tcPr>
          <w:p w14:paraId="0E8264C3" w14:textId="05D63AAA"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.76</w:t>
            </w:r>
          </w:p>
        </w:tc>
        <w:tc>
          <w:tcPr>
            <w:tcW w:w="1276" w:type="dxa"/>
          </w:tcPr>
          <w:p w14:paraId="74850CA2" w14:textId="77777777" w:rsidR="00D25F53" w:rsidRPr="00F97C61" w:rsidRDefault="00D25F53" w:rsidP="00CD464A">
            <w:pPr>
              <w:spacing w:after="0" w:line="240" w:lineRule="auto"/>
              <w:rPr>
                <w:color w:val="000000" w:themeColor="text1"/>
                <w:sz w:val="18"/>
                <w:szCs w:val="18"/>
              </w:rPr>
            </w:pPr>
          </w:p>
        </w:tc>
      </w:tr>
      <w:tr w:rsidR="00F97C61" w:rsidRPr="00F97C61" w14:paraId="17D0F4DE" w14:textId="113D6243" w:rsidTr="00D25F53">
        <w:trPr>
          <w:trHeight w:val="161"/>
        </w:trPr>
        <w:tc>
          <w:tcPr>
            <w:tcW w:w="1942" w:type="dxa"/>
          </w:tcPr>
          <w:p w14:paraId="27CFC05B" w14:textId="57E9079A"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9</w:t>
            </w:r>
          </w:p>
        </w:tc>
        <w:tc>
          <w:tcPr>
            <w:tcW w:w="1000" w:type="dxa"/>
          </w:tcPr>
          <w:p w14:paraId="68132A8A" w14:textId="77777777" w:rsidR="00D25F53" w:rsidRPr="00F97C61" w:rsidRDefault="00D25F53" w:rsidP="00CD464A">
            <w:pPr>
              <w:spacing w:after="0" w:line="240" w:lineRule="auto"/>
              <w:rPr>
                <w:color w:val="000000" w:themeColor="text1"/>
                <w:sz w:val="18"/>
                <w:szCs w:val="18"/>
              </w:rPr>
            </w:pPr>
          </w:p>
        </w:tc>
        <w:tc>
          <w:tcPr>
            <w:tcW w:w="1033" w:type="dxa"/>
          </w:tcPr>
          <w:p w14:paraId="4253D4E9" w14:textId="77777777" w:rsidR="00D25F53" w:rsidRPr="00F97C61" w:rsidRDefault="00D25F53" w:rsidP="00CD464A">
            <w:pPr>
              <w:spacing w:after="0" w:line="240" w:lineRule="auto"/>
              <w:rPr>
                <w:color w:val="000000" w:themeColor="text1"/>
                <w:sz w:val="18"/>
                <w:szCs w:val="18"/>
              </w:rPr>
            </w:pPr>
          </w:p>
        </w:tc>
        <w:tc>
          <w:tcPr>
            <w:tcW w:w="1203" w:type="dxa"/>
          </w:tcPr>
          <w:p w14:paraId="251BD440" w14:textId="77777777" w:rsidR="00D25F53" w:rsidRPr="00F97C61" w:rsidRDefault="00D25F53" w:rsidP="00CD464A">
            <w:pPr>
              <w:spacing w:after="0" w:line="240" w:lineRule="auto"/>
              <w:rPr>
                <w:color w:val="000000" w:themeColor="text1"/>
                <w:sz w:val="18"/>
                <w:szCs w:val="18"/>
              </w:rPr>
            </w:pPr>
          </w:p>
        </w:tc>
        <w:tc>
          <w:tcPr>
            <w:tcW w:w="987" w:type="dxa"/>
          </w:tcPr>
          <w:p w14:paraId="37AA5A6A" w14:textId="782E7EB3"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.62</w:t>
            </w:r>
          </w:p>
        </w:tc>
        <w:tc>
          <w:tcPr>
            <w:tcW w:w="1276" w:type="dxa"/>
          </w:tcPr>
          <w:p w14:paraId="585A35DB" w14:textId="77777777" w:rsidR="00D25F53" w:rsidRPr="00F97C61" w:rsidRDefault="00D25F53" w:rsidP="00CD464A">
            <w:pPr>
              <w:spacing w:after="0" w:line="240" w:lineRule="auto"/>
              <w:rPr>
                <w:color w:val="000000" w:themeColor="text1"/>
                <w:sz w:val="18"/>
                <w:szCs w:val="18"/>
              </w:rPr>
            </w:pPr>
          </w:p>
        </w:tc>
      </w:tr>
      <w:tr w:rsidR="00F97C61" w:rsidRPr="00F97C61" w14:paraId="7A5CEFB9" w14:textId="4E9AD579" w:rsidTr="00D25F53">
        <w:trPr>
          <w:trHeight w:val="161"/>
        </w:trPr>
        <w:tc>
          <w:tcPr>
            <w:tcW w:w="1942" w:type="dxa"/>
          </w:tcPr>
          <w:p w14:paraId="464EA81D" w14:textId="17A1A46F"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15</w:t>
            </w:r>
          </w:p>
        </w:tc>
        <w:tc>
          <w:tcPr>
            <w:tcW w:w="1000" w:type="dxa"/>
          </w:tcPr>
          <w:p w14:paraId="5294349B" w14:textId="77777777" w:rsidR="00D25F53" w:rsidRPr="00F97C61" w:rsidRDefault="00D25F53" w:rsidP="00CD464A">
            <w:pPr>
              <w:spacing w:after="0" w:line="240" w:lineRule="auto"/>
              <w:rPr>
                <w:color w:val="000000" w:themeColor="text1"/>
                <w:sz w:val="18"/>
                <w:szCs w:val="18"/>
              </w:rPr>
            </w:pPr>
          </w:p>
        </w:tc>
        <w:tc>
          <w:tcPr>
            <w:tcW w:w="1033" w:type="dxa"/>
          </w:tcPr>
          <w:p w14:paraId="1AB2F082" w14:textId="77777777" w:rsidR="00D25F53" w:rsidRPr="00F97C61" w:rsidRDefault="00D25F53" w:rsidP="00CD464A">
            <w:pPr>
              <w:spacing w:after="0" w:line="240" w:lineRule="auto"/>
              <w:rPr>
                <w:color w:val="000000" w:themeColor="text1"/>
                <w:sz w:val="18"/>
                <w:szCs w:val="18"/>
              </w:rPr>
            </w:pPr>
          </w:p>
        </w:tc>
        <w:tc>
          <w:tcPr>
            <w:tcW w:w="1203" w:type="dxa"/>
          </w:tcPr>
          <w:p w14:paraId="5DC168AB" w14:textId="77777777" w:rsidR="00D25F53" w:rsidRPr="00F97C61" w:rsidRDefault="00D25F53" w:rsidP="00CD464A">
            <w:pPr>
              <w:spacing w:after="0" w:line="240" w:lineRule="auto"/>
              <w:rPr>
                <w:color w:val="000000" w:themeColor="text1"/>
                <w:sz w:val="18"/>
                <w:szCs w:val="18"/>
              </w:rPr>
            </w:pPr>
          </w:p>
        </w:tc>
        <w:tc>
          <w:tcPr>
            <w:tcW w:w="987" w:type="dxa"/>
          </w:tcPr>
          <w:p w14:paraId="5FD93FDC" w14:textId="0D85F2A3"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.57</w:t>
            </w:r>
          </w:p>
        </w:tc>
        <w:tc>
          <w:tcPr>
            <w:tcW w:w="1276" w:type="dxa"/>
          </w:tcPr>
          <w:p w14:paraId="71F26015" w14:textId="77777777" w:rsidR="00D25F53" w:rsidRPr="00F97C61" w:rsidRDefault="00D25F53" w:rsidP="00CD464A">
            <w:pPr>
              <w:spacing w:after="0" w:line="240" w:lineRule="auto"/>
              <w:rPr>
                <w:color w:val="000000" w:themeColor="text1"/>
                <w:sz w:val="18"/>
                <w:szCs w:val="18"/>
              </w:rPr>
            </w:pPr>
          </w:p>
        </w:tc>
      </w:tr>
      <w:tr w:rsidR="00F97C61" w:rsidRPr="00F97C61" w14:paraId="198C192E" w14:textId="7F83DB29" w:rsidTr="00B24AB4">
        <w:trPr>
          <w:trHeight w:val="161"/>
        </w:trPr>
        <w:tc>
          <w:tcPr>
            <w:tcW w:w="1942" w:type="dxa"/>
          </w:tcPr>
          <w:p w14:paraId="5A659433" w14:textId="0F07B3CE"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2</w:t>
            </w:r>
          </w:p>
        </w:tc>
        <w:tc>
          <w:tcPr>
            <w:tcW w:w="1000" w:type="dxa"/>
          </w:tcPr>
          <w:p w14:paraId="05F35C72" w14:textId="77777777" w:rsidR="00D25F53" w:rsidRPr="00F97C61" w:rsidRDefault="00D25F53" w:rsidP="00CD464A">
            <w:pPr>
              <w:spacing w:after="0" w:line="240" w:lineRule="auto"/>
              <w:rPr>
                <w:color w:val="000000" w:themeColor="text1"/>
                <w:sz w:val="18"/>
                <w:szCs w:val="18"/>
              </w:rPr>
            </w:pPr>
          </w:p>
        </w:tc>
        <w:tc>
          <w:tcPr>
            <w:tcW w:w="1033" w:type="dxa"/>
          </w:tcPr>
          <w:p w14:paraId="642E34D0" w14:textId="77777777" w:rsidR="00D25F53" w:rsidRPr="00F97C61" w:rsidRDefault="00D25F53" w:rsidP="00CD464A">
            <w:pPr>
              <w:spacing w:after="0" w:line="240" w:lineRule="auto"/>
              <w:rPr>
                <w:color w:val="000000" w:themeColor="text1"/>
                <w:sz w:val="18"/>
                <w:szCs w:val="18"/>
              </w:rPr>
            </w:pPr>
          </w:p>
        </w:tc>
        <w:tc>
          <w:tcPr>
            <w:tcW w:w="1203" w:type="dxa"/>
          </w:tcPr>
          <w:p w14:paraId="5BAD00A1" w14:textId="77777777" w:rsidR="00D25F53" w:rsidRPr="00F97C61" w:rsidRDefault="00D25F53" w:rsidP="00CD464A">
            <w:pPr>
              <w:spacing w:after="0" w:line="240" w:lineRule="auto"/>
              <w:rPr>
                <w:color w:val="000000" w:themeColor="text1"/>
                <w:sz w:val="18"/>
                <w:szCs w:val="18"/>
              </w:rPr>
            </w:pPr>
          </w:p>
        </w:tc>
        <w:tc>
          <w:tcPr>
            <w:tcW w:w="987" w:type="dxa"/>
          </w:tcPr>
          <w:p w14:paraId="16FDFE00" w14:textId="6FC16DE2"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w:t>
            </w:r>
            <w:r w:rsidR="00B84A79" w:rsidRPr="00F97C61">
              <w:rPr>
                <w:color w:val="000000" w:themeColor="text1"/>
                <w:sz w:val="18"/>
                <w:szCs w:val="18"/>
              </w:rPr>
              <w:t>39</w:t>
            </w:r>
          </w:p>
        </w:tc>
        <w:tc>
          <w:tcPr>
            <w:tcW w:w="1276" w:type="dxa"/>
          </w:tcPr>
          <w:p w14:paraId="69346178" w14:textId="77777777" w:rsidR="00D25F53" w:rsidRPr="00F97C61" w:rsidRDefault="00D25F53" w:rsidP="00CD464A">
            <w:pPr>
              <w:spacing w:after="0" w:line="240" w:lineRule="auto"/>
              <w:rPr>
                <w:color w:val="000000" w:themeColor="text1"/>
                <w:sz w:val="18"/>
                <w:szCs w:val="18"/>
              </w:rPr>
            </w:pPr>
          </w:p>
        </w:tc>
      </w:tr>
      <w:tr w:rsidR="00F97C61" w:rsidRPr="00F97C61" w14:paraId="26317CC7" w14:textId="2182D9D1" w:rsidTr="00B24AB4">
        <w:trPr>
          <w:trHeight w:val="161"/>
        </w:trPr>
        <w:tc>
          <w:tcPr>
            <w:tcW w:w="1942" w:type="dxa"/>
          </w:tcPr>
          <w:p w14:paraId="2EAEB25C" w14:textId="076360C8"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11</w:t>
            </w:r>
          </w:p>
        </w:tc>
        <w:tc>
          <w:tcPr>
            <w:tcW w:w="1000" w:type="dxa"/>
          </w:tcPr>
          <w:p w14:paraId="7EFD332F" w14:textId="77777777" w:rsidR="00D25F53" w:rsidRPr="00F97C61" w:rsidRDefault="00D25F53" w:rsidP="00CD464A">
            <w:pPr>
              <w:spacing w:after="0" w:line="240" w:lineRule="auto"/>
              <w:rPr>
                <w:color w:val="000000" w:themeColor="text1"/>
                <w:sz w:val="18"/>
                <w:szCs w:val="18"/>
              </w:rPr>
            </w:pPr>
          </w:p>
        </w:tc>
        <w:tc>
          <w:tcPr>
            <w:tcW w:w="1033" w:type="dxa"/>
          </w:tcPr>
          <w:p w14:paraId="52A18204" w14:textId="77777777" w:rsidR="00D25F53" w:rsidRPr="00F97C61" w:rsidRDefault="00D25F53" w:rsidP="00CD464A">
            <w:pPr>
              <w:spacing w:after="0" w:line="240" w:lineRule="auto"/>
              <w:rPr>
                <w:color w:val="000000" w:themeColor="text1"/>
                <w:sz w:val="18"/>
                <w:szCs w:val="18"/>
              </w:rPr>
            </w:pPr>
          </w:p>
        </w:tc>
        <w:tc>
          <w:tcPr>
            <w:tcW w:w="1203" w:type="dxa"/>
          </w:tcPr>
          <w:p w14:paraId="1905BBAE" w14:textId="77777777" w:rsidR="00D25F53" w:rsidRPr="00F97C61" w:rsidRDefault="00D25F53" w:rsidP="00CD464A">
            <w:pPr>
              <w:spacing w:after="0" w:line="240" w:lineRule="auto"/>
              <w:rPr>
                <w:color w:val="000000" w:themeColor="text1"/>
                <w:sz w:val="18"/>
                <w:szCs w:val="18"/>
              </w:rPr>
            </w:pPr>
          </w:p>
        </w:tc>
        <w:tc>
          <w:tcPr>
            <w:tcW w:w="987" w:type="dxa"/>
          </w:tcPr>
          <w:p w14:paraId="0BFDCF17" w14:textId="77777777" w:rsidR="00D25F53" w:rsidRPr="00F97C61" w:rsidRDefault="00D25F53" w:rsidP="00CD464A">
            <w:pPr>
              <w:spacing w:after="0" w:line="240" w:lineRule="auto"/>
              <w:rPr>
                <w:color w:val="000000" w:themeColor="text1"/>
                <w:sz w:val="18"/>
                <w:szCs w:val="18"/>
              </w:rPr>
            </w:pPr>
          </w:p>
        </w:tc>
        <w:tc>
          <w:tcPr>
            <w:tcW w:w="1276" w:type="dxa"/>
          </w:tcPr>
          <w:p w14:paraId="14B95D00" w14:textId="6A86F1C6" w:rsidR="00D25F53" w:rsidRPr="00F97C61" w:rsidRDefault="00B84A79" w:rsidP="00CD464A">
            <w:pPr>
              <w:spacing w:after="0" w:line="240" w:lineRule="auto"/>
              <w:rPr>
                <w:color w:val="000000" w:themeColor="text1"/>
                <w:sz w:val="18"/>
                <w:szCs w:val="18"/>
              </w:rPr>
            </w:pPr>
            <w:r w:rsidRPr="00F97C61">
              <w:rPr>
                <w:color w:val="000000" w:themeColor="text1"/>
                <w:sz w:val="18"/>
                <w:szCs w:val="18"/>
              </w:rPr>
              <w:t>.74</w:t>
            </w:r>
          </w:p>
        </w:tc>
      </w:tr>
      <w:tr w:rsidR="00F97C61" w:rsidRPr="00F97C61" w14:paraId="220E9458" w14:textId="58EB237D" w:rsidTr="00D25F53">
        <w:trPr>
          <w:trHeight w:val="161"/>
        </w:trPr>
        <w:tc>
          <w:tcPr>
            <w:tcW w:w="1942" w:type="dxa"/>
          </w:tcPr>
          <w:p w14:paraId="538CA579" w14:textId="19DE4794"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13</w:t>
            </w:r>
          </w:p>
        </w:tc>
        <w:tc>
          <w:tcPr>
            <w:tcW w:w="1000" w:type="dxa"/>
          </w:tcPr>
          <w:p w14:paraId="55B50239" w14:textId="77777777" w:rsidR="00D25F53" w:rsidRPr="00F97C61" w:rsidRDefault="00D25F53" w:rsidP="00CD464A">
            <w:pPr>
              <w:spacing w:after="0" w:line="240" w:lineRule="auto"/>
              <w:rPr>
                <w:color w:val="000000" w:themeColor="text1"/>
                <w:sz w:val="18"/>
                <w:szCs w:val="18"/>
              </w:rPr>
            </w:pPr>
          </w:p>
        </w:tc>
        <w:tc>
          <w:tcPr>
            <w:tcW w:w="1033" w:type="dxa"/>
          </w:tcPr>
          <w:p w14:paraId="1C233ACC" w14:textId="77777777" w:rsidR="00D25F53" w:rsidRPr="00F97C61" w:rsidRDefault="00D25F53" w:rsidP="00CD464A">
            <w:pPr>
              <w:spacing w:after="0" w:line="240" w:lineRule="auto"/>
              <w:rPr>
                <w:color w:val="000000" w:themeColor="text1"/>
                <w:sz w:val="18"/>
                <w:szCs w:val="18"/>
              </w:rPr>
            </w:pPr>
          </w:p>
        </w:tc>
        <w:tc>
          <w:tcPr>
            <w:tcW w:w="1203" w:type="dxa"/>
          </w:tcPr>
          <w:p w14:paraId="0E9361C7" w14:textId="77777777" w:rsidR="00D25F53" w:rsidRPr="00F97C61" w:rsidRDefault="00D25F53" w:rsidP="00CD464A">
            <w:pPr>
              <w:spacing w:after="0" w:line="240" w:lineRule="auto"/>
              <w:rPr>
                <w:color w:val="000000" w:themeColor="text1"/>
                <w:sz w:val="18"/>
                <w:szCs w:val="18"/>
              </w:rPr>
            </w:pPr>
          </w:p>
        </w:tc>
        <w:tc>
          <w:tcPr>
            <w:tcW w:w="987" w:type="dxa"/>
          </w:tcPr>
          <w:p w14:paraId="471AD593" w14:textId="77777777" w:rsidR="00D25F53" w:rsidRPr="00F97C61" w:rsidRDefault="00D25F53" w:rsidP="00CD464A">
            <w:pPr>
              <w:spacing w:after="0" w:line="240" w:lineRule="auto"/>
              <w:rPr>
                <w:color w:val="000000" w:themeColor="text1"/>
                <w:sz w:val="18"/>
                <w:szCs w:val="18"/>
              </w:rPr>
            </w:pPr>
          </w:p>
        </w:tc>
        <w:tc>
          <w:tcPr>
            <w:tcW w:w="1276" w:type="dxa"/>
          </w:tcPr>
          <w:p w14:paraId="34A7BD1B" w14:textId="5833CDB9"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w:t>
            </w:r>
            <w:r w:rsidR="00B84A79" w:rsidRPr="00F97C61">
              <w:rPr>
                <w:color w:val="000000" w:themeColor="text1"/>
                <w:sz w:val="18"/>
                <w:szCs w:val="18"/>
              </w:rPr>
              <w:t>73</w:t>
            </w:r>
          </w:p>
        </w:tc>
      </w:tr>
      <w:tr w:rsidR="00F97C61" w:rsidRPr="00F97C61" w14:paraId="6B65973D" w14:textId="2DBCA275" w:rsidTr="00B24AB4">
        <w:trPr>
          <w:trHeight w:val="161"/>
        </w:trPr>
        <w:tc>
          <w:tcPr>
            <w:tcW w:w="1942" w:type="dxa"/>
            <w:tcBorders>
              <w:bottom w:val="single" w:sz="4" w:space="0" w:color="auto"/>
            </w:tcBorders>
          </w:tcPr>
          <w:p w14:paraId="245DBE26" w14:textId="08B0C5D6"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Madde 1</w:t>
            </w:r>
          </w:p>
        </w:tc>
        <w:tc>
          <w:tcPr>
            <w:tcW w:w="1000" w:type="dxa"/>
            <w:tcBorders>
              <w:bottom w:val="single" w:sz="4" w:space="0" w:color="auto"/>
            </w:tcBorders>
          </w:tcPr>
          <w:p w14:paraId="3B548AE7" w14:textId="77777777" w:rsidR="00D25F53" w:rsidRPr="00F97C61" w:rsidRDefault="00D25F53" w:rsidP="00CD464A">
            <w:pPr>
              <w:spacing w:after="0" w:line="240" w:lineRule="auto"/>
              <w:rPr>
                <w:color w:val="000000" w:themeColor="text1"/>
                <w:sz w:val="18"/>
                <w:szCs w:val="18"/>
              </w:rPr>
            </w:pPr>
          </w:p>
        </w:tc>
        <w:tc>
          <w:tcPr>
            <w:tcW w:w="1033" w:type="dxa"/>
            <w:tcBorders>
              <w:bottom w:val="single" w:sz="4" w:space="0" w:color="auto"/>
            </w:tcBorders>
          </w:tcPr>
          <w:p w14:paraId="35618441" w14:textId="77777777" w:rsidR="00D25F53" w:rsidRPr="00F97C61" w:rsidRDefault="00D25F53" w:rsidP="00CD464A">
            <w:pPr>
              <w:spacing w:after="0" w:line="240" w:lineRule="auto"/>
              <w:rPr>
                <w:color w:val="000000" w:themeColor="text1"/>
                <w:sz w:val="18"/>
                <w:szCs w:val="18"/>
              </w:rPr>
            </w:pPr>
          </w:p>
        </w:tc>
        <w:tc>
          <w:tcPr>
            <w:tcW w:w="1203" w:type="dxa"/>
            <w:tcBorders>
              <w:bottom w:val="single" w:sz="4" w:space="0" w:color="auto"/>
            </w:tcBorders>
          </w:tcPr>
          <w:p w14:paraId="791B7E43" w14:textId="77777777" w:rsidR="00D25F53" w:rsidRPr="00F97C61" w:rsidRDefault="00D25F53" w:rsidP="00CD464A">
            <w:pPr>
              <w:spacing w:after="0" w:line="240" w:lineRule="auto"/>
              <w:rPr>
                <w:color w:val="000000" w:themeColor="text1"/>
                <w:sz w:val="18"/>
                <w:szCs w:val="18"/>
              </w:rPr>
            </w:pPr>
          </w:p>
        </w:tc>
        <w:tc>
          <w:tcPr>
            <w:tcW w:w="987" w:type="dxa"/>
            <w:tcBorders>
              <w:bottom w:val="single" w:sz="4" w:space="0" w:color="auto"/>
            </w:tcBorders>
          </w:tcPr>
          <w:p w14:paraId="2EC7C993" w14:textId="77777777" w:rsidR="00D25F53" w:rsidRPr="00F97C61" w:rsidRDefault="00D25F53" w:rsidP="00CD464A">
            <w:pPr>
              <w:spacing w:after="0" w:line="240" w:lineRule="auto"/>
              <w:rPr>
                <w:color w:val="000000" w:themeColor="text1"/>
                <w:sz w:val="18"/>
                <w:szCs w:val="18"/>
              </w:rPr>
            </w:pPr>
          </w:p>
        </w:tc>
        <w:tc>
          <w:tcPr>
            <w:tcW w:w="1276" w:type="dxa"/>
            <w:tcBorders>
              <w:bottom w:val="single" w:sz="4" w:space="0" w:color="auto"/>
            </w:tcBorders>
          </w:tcPr>
          <w:p w14:paraId="54D430EB" w14:textId="591D3794"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w:t>
            </w:r>
            <w:r w:rsidR="00B84A79" w:rsidRPr="00F97C61">
              <w:rPr>
                <w:color w:val="000000" w:themeColor="text1"/>
                <w:sz w:val="18"/>
                <w:szCs w:val="18"/>
              </w:rPr>
              <w:t>51</w:t>
            </w:r>
          </w:p>
        </w:tc>
      </w:tr>
      <w:tr w:rsidR="00F97C61" w:rsidRPr="00F97C61" w14:paraId="0E5C7FF3" w14:textId="000928CE" w:rsidTr="00B24AB4">
        <w:trPr>
          <w:trHeight w:val="314"/>
        </w:trPr>
        <w:tc>
          <w:tcPr>
            <w:tcW w:w="1942" w:type="dxa"/>
            <w:tcBorders>
              <w:top w:val="single" w:sz="4" w:space="0" w:color="auto"/>
            </w:tcBorders>
          </w:tcPr>
          <w:p w14:paraId="3367E045" w14:textId="77777777" w:rsidR="00D25F53" w:rsidRPr="00F97C61" w:rsidRDefault="00D25F53" w:rsidP="00CD464A">
            <w:pPr>
              <w:spacing w:after="0" w:line="240" w:lineRule="auto"/>
              <w:rPr>
                <w:b/>
                <w:bCs/>
                <w:color w:val="000000" w:themeColor="text1"/>
                <w:sz w:val="18"/>
                <w:szCs w:val="18"/>
              </w:rPr>
            </w:pPr>
            <w:proofErr w:type="spellStart"/>
            <w:r w:rsidRPr="00F97C61">
              <w:rPr>
                <w:b/>
                <w:bCs/>
                <w:color w:val="000000" w:themeColor="text1"/>
                <w:sz w:val="18"/>
                <w:szCs w:val="18"/>
              </w:rPr>
              <w:t>Özdeğer</w:t>
            </w:r>
            <w:proofErr w:type="spellEnd"/>
          </w:p>
        </w:tc>
        <w:tc>
          <w:tcPr>
            <w:tcW w:w="1000" w:type="dxa"/>
            <w:tcBorders>
              <w:top w:val="single" w:sz="4" w:space="0" w:color="auto"/>
            </w:tcBorders>
          </w:tcPr>
          <w:p w14:paraId="33137A21" w14:textId="6CCE9ACB"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5,9</w:t>
            </w:r>
            <w:r w:rsidR="00B84A79" w:rsidRPr="00F97C61">
              <w:rPr>
                <w:color w:val="000000" w:themeColor="text1"/>
                <w:sz w:val="18"/>
                <w:szCs w:val="18"/>
              </w:rPr>
              <w:t>27</w:t>
            </w:r>
          </w:p>
        </w:tc>
        <w:tc>
          <w:tcPr>
            <w:tcW w:w="1033" w:type="dxa"/>
            <w:tcBorders>
              <w:top w:val="single" w:sz="4" w:space="0" w:color="auto"/>
            </w:tcBorders>
          </w:tcPr>
          <w:p w14:paraId="0D410D46" w14:textId="5FEE1598"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1,4</w:t>
            </w:r>
            <w:r w:rsidR="00B84A79" w:rsidRPr="00F97C61">
              <w:rPr>
                <w:color w:val="000000" w:themeColor="text1"/>
                <w:sz w:val="18"/>
                <w:szCs w:val="18"/>
              </w:rPr>
              <w:t>56</w:t>
            </w:r>
          </w:p>
        </w:tc>
        <w:tc>
          <w:tcPr>
            <w:tcW w:w="1203" w:type="dxa"/>
            <w:tcBorders>
              <w:top w:val="single" w:sz="4" w:space="0" w:color="auto"/>
            </w:tcBorders>
          </w:tcPr>
          <w:p w14:paraId="13A6DC46" w14:textId="77777777"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1,297</w:t>
            </w:r>
          </w:p>
        </w:tc>
        <w:tc>
          <w:tcPr>
            <w:tcW w:w="987" w:type="dxa"/>
            <w:tcBorders>
              <w:top w:val="single" w:sz="4" w:space="0" w:color="auto"/>
            </w:tcBorders>
          </w:tcPr>
          <w:p w14:paraId="035D127F" w14:textId="01A646E0"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1,2</w:t>
            </w:r>
            <w:r w:rsidR="00B84A79" w:rsidRPr="00F97C61">
              <w:rPr>
                <w:color w:val="000000" w:themeColor="text1"/>
                <w:sz w:val="18"/>
                <w:szCs w:val="18"/>
              </w:rPr>
              <w:t>33</w:t>
            </w:r>
          </w:p>
        </w:tc>
        <w:tc>
          <w:tcPr>
            <w:tcW w:w="1276" w:type="dxa"/>
            <w:tcBorders>
              <w:top w:val="single" w:sz="4" w:space="0" w:color="auto"/>
            </w:tcBorders>
          </w:tcPr>
          <w:p w14:paraId="7124083A" w14:textId="477EDE9D" w:rsidR="00D25F53" w:rsidRPr="00F97C61" w:rsidRDefault="00D25F53" w:rsidP="00CD464A">
            <w:pPr>
              <w:spacing w:after="0" w:line="240" w:lineRule="auto"/>
              <w:rPr>
                <w:color w:val="000000" w:themeColor="text1"/>
                <w:sz w:val="18"/>
                <w:szCs w:val="18"/>
              </w:rPr>
            </w:pPr>
            <w:bookmarkStart w:id="3" w:name="_Hlk75810037"/>
            <w:r w:rsidRPr="00F97C61">
              <w:rPr>
                <w:color w:val="000000" w:themeColor="text1"/>
                <w:sz w:val="18"/>
                <w:szCs w:val="18"/>
              </w:rPr>
              <w:t>1,</w:t>
            </w:r>
            <w:r w:rsidR="00B84A79" w:rsidRPr="00F97C61">
              <w:rPr>
                <w:color w:val="000000" w:themeColor="text1"/>
                <w:sz w:val="18"/>
                <w:szCs w:val="18"/>
              </w:rPr>
              <w:t>130</w:t>
            </w:r>
            <w:bookmarkEnd w:id="3"/>
          </w:p>
        </w:tc>
      </w:tr>
      <w:tr w:rsidR="00F97C61" w:rsidRPr="00F97C61" w14:paraId="7B587EC7" w14:textId="10B65EBE" w:rsidTr="004D2C71">
        <w:trPr>
          <w:trHeight w:val="314"/>
        </w:trPr>
        <w:tc>
          <w:tcPr>
            <w:tcW w:w="1942" w:type="dxa"/>
          </w:tcPr>
          <w:p w14:paraId="0DA54FE4" w14:textId="77777777" w:rsidR="00D25F53" w:rsidRPr="00F97C61" w:rsidRDefault="00D25F53" w:rsidP="00CD464A">
            <w:pPr>
              <w:spacing w:after="0" w:line="240" w:lineRule="auto"/>
              <w:rPr>
                <w:b/>
                <w:bCs/>
                <w:color w:val="000000" w:themeColor="text1"/>
                <w:sz w:val="18"/>
                <w:szCs w:val="18"/>
              </w:rPr>
            </w:pPr>
            <w:r w:rsidRPr="00F97C61">
              <w:rPr>
                <w:b/>
                <w:bCs/>
                <w:color w:val="000000" w:themeColor="text1"/>
                <w:sz w:val="18"/>
                <w:szCs w:val="18"/>
              </w:rPr>
              <w:t>%</w:t>
            </w:r>
            <w:proofErr w:type="spellStart"/>
            <w:r w:rsidRPr="00F97C61">
              <w:rPr>
                <w:b/>
                <w:bCs/>
                <w:color w:val="000000" w:themeColor="text1"/>
                <w:sz w:val="18"/>
                <w:szCs w:val="18"/>
              </w:rPr>
              <w:t>AçıklananVaryans</w:t>
            </w:r>
            <w:proofErr w:type="spellEnd"/>
          </w:p>
        </w:tc>
        <w:tc>
          <w:tcPr>
            <w:tcW w:w="1000" w:type="dxa"/>
          </w:tcPr>
          <w:p w14:paraId="19F6A3AA" w14:textId="3E362B81"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28,</w:t>
            </w:r>
            <w:r w:rsidR="00B84A79" w:rsidRPr="00F97C61">
              <w:rPr>
                <w:color w:val="000000" w:themeColor="text1"/>
                <w:sz w:val="18"/>
                <w:szCs w:val="18"/>
              </w:rPr>
              <w:t>23</w:t>
            </w:r>
          </w:p>
        </w:tc>
        <w:tc>
          <w:tcPr>
            <w:tcW w:w="1033" w:type="dxa"/>
          </w:tcPr>
          <w:p w14:paraId="25F16F53" w14:textId="24CB8868"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6,9</w:t>
            </w:r>
            <w:r w:rsidR="00B84A79" w:rsidRPr="00F97C61">
              <w:rPr>
                <w:color w:val="000000" w:themeColor="text1"/>
                <w:sz w:val="18"/>
                <w:szCs w:val="18"/>
              </w:rPr>
              <w:t>3</w:t>
            </w:r>
          </w:p>
        </w:tc>
        <w:tc>
          <w:tcPr>
            <w:tcW w:w="1203" w:type="dxa"/>
          </w:tcPr>
          <w:p w14:paraId="3A489054" w14:textId="77777777"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6,18</w:t>
            </w:r>
          </w:p>
        </w:tc>
        <w:tc>
          <w:tcPr>
            <w:tcW w:w="987" w:type="dxa"/>
          </w:tcPr>
          <w:p w14:paraId="0CD5C3CE" w14:textId="4768D723" w:rsidR="00D25F53" w:rsidRPr="00F97C61" w:rsidRDefault="00D25F53" w:rsidP="00CD464A">
            <w:pPr>
              <w:spacing w:after="0" w:line="240" w:lineRule="auto"/>
              <w:rPr>
                <w:color w:val="000000" w:themeColor="text1"/>
                <w:sz w:val="18"/>
                <w:szCs w:val="18"/>
              </w:rPr>
            </w:pPr>
            <w:r w:rsidRPr="00F97C61">
              <w:rPr>
                <w:color w:val="000000" w:themeColor="text1"/>
                <w:sz w:val="18"/>
                <w:szCs w:val="18"/>
              </w:rPr>
              <w:t>5,8</w:t>
            </w:r>
            <w:r w:rsidR="00B84A79" w:rsidRPr="00F97C61">
              <w:rPr>
                <w:color w:val="000000" w:themeColor="text1"/>
                <w:sz w:val="18"/>
                <w:szCs w:val="18"/>
              </w:rPr>
              <w:t>7</w:t>
            </w:r>
          </w:p>
        </w:tc>
        <w:tc>
          <w:tcPr>
            <w:tcW w:w="1276" w:type="dxa"/>
          </w:tcPr>
          <w:p w14:paraId="5437CA4B" w14:textId="00C02838" w:rsidR="00D25F53" w:rsidRPr="00F97C61" w:rsidRDefault="00B84A79" w:rsidP="00CD464A">
            <w:pPr>
              <w:spacing w:after="0" w:line="240" w:lineRule="auto"/>
              <w:rPr>
                <w:color w:val="000000" w:themeColor="text1"/>
                <w:sz w:val="18"/>
                <w:szCs w:val="18"/>
              </w:rPr>
            </w:pPr>
            <w:r w:rsidRPr="00F97C61">
              <w:rPr>
                <w:color w:val="000000" w:themeColor="text1"/>
                <w:sz w:val="18"/>
                <w:szCs w:val="18"/>
              </w:rPr>
              <w:t>5,38</w:t>
            </w:r>
          </w:p>
        </w:tc>
      </w:tr>
      <w:tr w:rsidR="00F97C61" w:rsidRPr="00F97C61" w14:paraId="44BDA6D3" w14:textId="77777777" w:rsidTr="00D25F53">
        <w:trPr>
          <w:trHeight w:val="314"/>
        </w:trPr>
        <w:tc>
          <w:tcPr>
            <w:tcW w:w="1942" w:type="dxa"/>
            <w:tcBorders>
              <w:bottom w:val="single" w:sz="4" w:space="0" w:color="auto"/>
            </w:tcBorders>
          </w:tcPr>
          <w:p w14:paraId="098037E9" w14:textId="5937378B" w:rsidR="004D2C71" w:rsidRPr="00F97C61" w:rsidRDefault="004D2C71" w:rsidP="00CD464A">
            <w:pPr>
              <w:spacing w:after="0" w:line="240" w:lineRule="auto"/>
              <w:rPr>
                <w:b/>
                <w:bCs/>
                <w:color w:val="000000" w:themeColor="text1"/>
                <w:sz w:val="18"/>
                <w:szCs w:val="18"/>
              </w:rPr>
            </w:pPr>
            <w:r w:rsidRPr="00F97C61">
              <w:rPr>
                <w:b/>
                <w:bCs/>
                <w:color w:val="000000" w:themeColor="text1"/>
                <w:sz w:val="18"/>
                <w:szCs w:val="18"/>
              </w:rPr>
              <w:t>%</w:t>
            </w:r>
            <w:proofErr w:type="spellStart"/>
            <w:r w:rsidRPr="00F97C61">
              <w:rPr>
                <w:b/>
                <w:bCs/>
                <w:color w:val="000000" w:themeColor="text1"/>
                <w:sz w:val="18"/>
                <w:szCs w:val="18"/>
              </w:rPr>
              <w:t>Kümültif</w:t>
            </w:r>
            <w:proofErr w:type="spellEnd"/>
            <w:r w:rsidRPr="00F97C61">
              <w:rPr>
                <w:b/>
                <w:bCs/>
                <w:color w:val="000000" w:themeColor="text1"/>
                <w:sz w:val="18"/>
                <w:szCs w:val="18"/>
              </w:rPr>
              <w:t xml:space="preserve"> </w:t>
            </w:r>
            <w:proofErr w:type="spellStart"/>
            <w:r w:rsidRPr="00F97C61">
              <w:rPr>
                <w:b/>
                <w:bCs/>
                <w:color w:val="000000" w:themeColor="text1"/>
                <w:sz w:val="18"/>
                <w:szCs w:val="18"/>
              </w:rPr>
              <w:t>Varyans</w:t>
            </w:r>
            <w:proofErr w:type="spellEnd"/>
          </w:p>
        </w:tc>
        <w:tc>
          <w:tcPr>
            <w:tcW w:w="1000" w:type="dxa"/>
            <w:tcBorders>
              <w:bottom w:val="single" w:sz="4" w:space="0" w:color="auto"/>
            </w:tcBorders>
          </w:tcPr>
          <w:p w14:paraId="16ED8B69" w14:textId="2F9B1E2B" w:rsidR="004D2C71" w:rsidRPr="00F97C61" w:rsidRDefault="004D2C71" w:rsidP="00CD464A">
            <w:pPr>
              <w:spacing w:after="0" w:line="240" w:lineRule="auto"/>
              <w:rPr>
                <w:color w:val="000000" w:themeColor="text1"/>
                <w:sz w:val="18"/>
                <w:szCs w:val="18"/>
              </w:rPr>
            </w:pPr>
            <w:r w:rsidRPr="00F97C61">
              <w:rPr>
                <w:color w:val="000000" w:themeColor="text1"/>
                <w:sz w:val="18"/>
                <w:szCs w:val="18"/>
              </w:rPr>
              <w:t>28,23</w:t>
            </w:r>
          </w:p>
        </w:tc>
        <w:tc>
          <w:tcPr>
            <w:tcW w:w="1033" w:type="dxa"/>
            <w:tcBorders>
              <w:bottom w:val="single" w:sz="4" w:space="0" w:color="auto"/>
            </w:tcBorders>
          </w:tcPr>
          <w:p w14:paraId="320A039A" w14:textId="4327E8A3" w:rsidR="004D2C71" w:rsidRPr="00F97C61" w:rsidRDefault="004D2C71" w:rsidP="00CD464A">
            <w:pPr>
              <w:spacing w:after="0" w:line="240" w:lineRule="auto"/>
              <w:rPr>
                <w:color w:val="000000" w:themeColor="text1"/>
                <w:sz w:val="18"/>
                <w:szCs w:val="18"/>
              </w:rPr>
            </w:pPr>
            <w:r w:rsidRPr="00F97C61">
              <w:rPr>
                <w:color w:val="000000" w:themeColor="text1"/>
                <w:sz w:val="18"/>
                <w:szCs w:val="18"/>
              </w:rPr>
              <w:t>35,16</w:t>
            </w:r>
          </w:p>
        </w:tc>
        <w:tc>
          <w:tcPr>
            <w:tcW w:w="1203" w:type="dxa"/>
            <w:tcBorders>
              <w:bottom w:val="single" w:sz="4" w:space="0" w:color="auto"/>
            </w:tcBorders>
          </w:tcPr>
          <w:p w14:paraId="4538F739" w14:textId="3F859697" w:rsidR="004D2C71" w:rsidRPr="00F97C61" w:rsidRDefault="004D2C71" w:rsidP="00CD464A">
            <w:pPr>
              <w:spacing w:after="0" w:line="240" w:lineRule="auto"/>
              <w:rPr>
                <w:color w:val="000000" w:themeColor="text1"/>
                <w:sz w:val="18"/>
                <w:szCs w:val="18"/>
              </w:rPr>
            </w:pPr>
            <w:r w:rsidRPr="00F97C61">
              <w:rPr>
                <w:color w:val="000000" w:themeColor="text1"/>
                <w:sz w:val="18"/>
                <w:szCs w:val="18"/>
              </w:rPr>
              <w:t>41,34</w:t>
            </w:r>
          </w:p>
        </w:tc>
        <w:tc>
          <w:tcPr>
            <w:tcW w:w="987" w:type="dxa"/>
            <w:tcBorders>
              <w:bottom w:val="single" w:sz="4" w:space="0" w:color="auto"/>
            </w:tcBorders>
          </w:tcPr>
          <w:p w14:paraId="35711C1A" w14:textId="5B0051BA" w:rsidR="004D2C71" w:rsidRPr="00F97C61" w:rsidRDefault="004D2C71" w:rsidP="00CD464A">
            <w:pPr>
              <w:spacing w:after="0" w:line="240" w:lineRule="auto"/>
              <w:rPr>
                <w:color w:val="000000" w:themeColor="text1"/>
                <w:sz w:val="18"/>
                <w:szCs w:val="18"/>
              </w:rPr>
            </w:pPr>
            <w:r w:rsidRPr="00F97C61">
              <w:rPr>
                <w:color w:val="000000" w:themeColor="text1"/>
                <w:sz w:val="18"/>
                <w:szCs w:val="18"/>
              </w:rPr>
              <w:t>47,21</w:t>
            </w:r>
          </w:p>
        </w:tc>
        <w:tc>
          <w:tcPr>
            <w:tcW w:w="1276" w:type="dxa"/>
            <w:tcBorders>
              <w:bottom w:val="single" w:sz="4" w:space="0" w:color="auto"/>
            </w:tcBorders>
          </w:tcPr>
          <w:p w14:paraId="4F4FD57B" w14:textId="61D16B4A" w:rsidR="004D2C71" w:rsidRPr="00F97C61" w:rsidRDefault="004D2C71" w:rsidP="00CD464A">
            <w:pPr>
              <w:spacing w:after="0" w:line="240" w:lineRule="auto"/>
              <w:rPr>
                <w:color w:val="000000" w:themeColor="text1"/>
                <w:sz w:val="18"/>
                <w:szCs w:val="18"/>
              </w:rPr>
            </w:pPr>
            <w:r w:rsidRPr="00F97C61">
              <w:rPr>
                <w:color w:val="000000" w:themeColor="text1"/>
                <w:sz w:val="18"/>
                <w:szCs w:val="18"/>
              </w:rPr>
              <w:t>52,59</w:t>
            </w:r>
          </w:p>
        </w:tc>
      </w:tr>
    </w:tbl>
    <w:p w14:paraId="459036A2" w14:textId="34C443A0" w:rsidR="00A42654" w:rsidRPr="00F97C61" w:rsidRDefault="00D04EF3" w:rsidP="00D04EF3">
      <w:pPr>
        <w:spacing w:line="360" w:lineRule="auto"/>
        <w:ind w:left="851"/>
        <w:rPr>
          <w:color w:val="000000" w:themeColor="text1"/>
          <w:sz w:val="18"/>
          <w:szCs w:val="18"/>
        </w:rPr>
      </w:pPr>
      <w:proofErr w:type="gramStart"/>
      <w:r w:rsidRPr="00F97C61">
        <w:rPr>
          <w:color w:val="000000" w:themeColor="text1"/>
          <w:sz w:val="18"/>
          <w:szCs w:val="18"/>
        </w:rPr>
        <w:t>n</w:t>
      </w:r>
      <w:proofErr w:type="gramEnd"/>
      <w:r w:rsidRPr="00F97C61">
        <w:rPr>
          <w:color w:val="000000" w:themeColor="text1"/>
          <w:sz w:val="18"/>
          <w:szCs w:val="18"/>
        </w:rPr>
        <w:t>=294 *p&lt;.01, ** **p&lt;0,001</w:t>
      </w:r>
    </w:p>
    <w:p w14:paraId="68630F3D" w14:textId="77777777" w:rsidR="00D04EF3" w:rsidRPr="00F97C61" w:rsidRDefault="00D04EF3" w:rsidP="00D04EF3">
      <w:pPr>
        <w:spacing w:line="360" w:lineRule="auto"/>
        <w:ind w:left="851"/>
        <w:rPr>
          <w:color w:val="000000" w:themeColor="text1"/>
          <w:sz w:val="18"/>
          <w:szCs w:val="18"/>
        </w:rPr>
      </w:pPr>
    </w:p>
    <w:p w14:paraId="1F34778B" w14:textId="77777777" w:rsidR="00A42654" w:rsidRPr="00F97C61" w:rsidRDefault="00A42654" w:rsidP="00BD0596">
      <w:pPr>
        <w:spacing w:line="360" w:lineRule="auto"/>
        <w:ind w:left="851"/>
        <w:rPr>
          <w:color w:val="000000" w:themeColor="text1"/>
        </w:rPr>
      </w:pPr>
      <w:r w:rsidRPr="00F97C61">
        <w:rPr>
          <w:b/>
          <w:bCs/>
          <w:color w:val="000000" w:themeColor="text1"/>
        </w:rPr>
        <w:t>Ölçüt Geçerliği</w:t>
      </w:r>
    </w:p>
    <w:p w14:paraId="3F23EE2D" w14:textId="6400ECE2" w:rsidR="00902A7D" w:rsidRPr="00F97C61" w:rsidRDefault="00A42654" w:rsidP="00BD4A0E">
      <w:pPr>
        <w:spacing w:line="360" w:lineRule="auto"/>
        <w:ind w:left="851"/>
        <w:rPr>
          <w:color w:val="000000" w:themeColor="text1"/>
        </w:rPr>
      </w:pPr>
      <w:r w:rsidRPr="00F97C61">
        <w:rPr>
          <w:color w:val="000000" w:themeColor="text1"/>
        </w:rPr>
        <w:t xml:space="preserve">Ölçüt bağıntılı geçerliği test etmek amacıyla benzer özelliği ölçen bir ölçek ile geçerliği sınanmıştır. Türkiye’de telkine yatkınlığı ölçen bir ölçeğe rastlanmamıştır. Bu nedenle benlik kurgularını ölçmek amacı ile “Özerk İlişkisel Benlik Ölçeği” ölçüt olarak kabul edilmiştir. Bu ölçeğin özerklik ve </w:t>
      </w:r>
      <w:proofErr w:type="spellStart"/>
      <w:r w:rsidRPr="00F97C61">
        <w:rPr>
          <w:color w:val="000000" w:themeColor="text1"/>
        </w:rPr>
        <w:t>ilişkisellik</w:t>
      </w:r>
      <w:proofErr w:type="spellEnd"/>
      <w:r w:rsidRPr="00F97C61">
        <w:rPr>
          <w:color w:val="000000" w:themeColor="text1"/>
        </w:rPr>
        <w:t xml:space="preserve"> alt boyutları bireylerin kendi tutum ve davranışlarını belirlerken diğerlerinden ne kadar etkilendiği hakkında fikir vermektedir. </w:t>
      </w:r>
      <w:r w:rsidR="004C22A1" w:rsidRPr="00F97C61">
        <w:rPr>
          <w:color w:val="000000" w:themeColor="text1"/>
        </w:rPr>
        <w:t xml:space="preserve">Kısa Telkine Yatkınlık </w:t>
      </w:r>
      <w:proofErr w:type="spellStart"/>
      <w:r w:rsidR="004C22A1" w:rsidRPr="00F97C61">
        <w:rPr>
          <w:color w:val="000000" w:themeColor="text1"/>
        </w:rPr>
        <w:t>Ölçeği’nin</w:t>
      </w:r>
      <w:proofErr w:type="spellEnd"/>
      <w:r w:rsidR="004C22A1" w:rsidRPr="00F97C61">
        <w:rPr>
          <w:color w:val="000000" w:themeColor="text1"/>
        </w:rPr>
        <w:t xml:space="preserve"> </w:t>
      </w:r>
      <w:r w:rsidRPr="00F97C61">
        <w:rPr>
          <w:color w:val="000000" w:themeColor="text1"/>
        </w:rPr>
        <w:t xml:space="preserve">genel puanı ile özerk ilişkisel benlik ölçeğinin özerk benlik ve ilişkisel benlik alt boyutu arasında istatistiksel açıdan anlamlı ilişki bulunmuştur. İki ölçeğin alt boyutları arasındaki korelasyon katsayıları </w:t>
      </w:r>
      <w:r w:rsidR="00902A7D" w:rsidRPr="00F97C61">
        <w:rPr>
          <w:color w:val="000000" w:themeColor="text1"/>
        </w:rPr>
        <w:t>T</w:t>
      </w:r>
      <w:r w:rsidRPr="00F97C61">
        <w:rPr>
          <w:color w:val="000000" w:themeColor="text1"/>
        </w:rPr>
        <w:t>ablo</w:t>
      </w:r>
      <w:r w:rsidR="00902A7D" w:rsidRPr="00F97C61">
        <w:rPr>
          <w:color w:val="000000" w:themeColor="text1"/>
        </w:rPr>
        <w:t xml:space="preserve"> 4’te</w:t>
      </w:r>
      <w:r w:rsidRPr="00F97C61">
        <w:rPr>
          <w:color w:val="000000" w:themeColor="text1"/>
        </w:rPr>
        <w:t xml:space="preserve"> gösterilmiştir</w:t>
      </w:r>
      <w:r w:rsidR="00BD4A0E" w:rsidRPr="00F97C61">
        <w:rPr>
          <w:color w:val="000000" w:themeColor="text1"/>
        </w:rPr>
        <w:t>.</w:t>
      </w:r>
    </w:p>
    <w:p w14:paraId="2C40832A" w14:textId="365AB10E" w:rsidR="00BD4A0E" w:rsidRPr="00F97C61" w:rsidRDefault="00BD4A0E" w:rsidP="00902A7D">
      <w:pPr>
        <w:spacing w:after="0" w:line="240" w:lineRule="auto"/>
        <w:jc w:val="left"/>
        <w:rPr>
          <w:color w:val="000000" w:themeColor="text1"/>
        </w:rPr>
      </w:pPr>
    </w:p>
    <w:p w14:paraId="17E62894" w14:textId="13AB1CB0" w:rsidR="00BD4A0E" w:rsidRPr="00F97C61" w:rsidRDefault="00BD4A0E" w:rsidP="00BD4A0E">
      <w:pPr>
        <w:spacing w:line="360" w:lineRule="auto"/>
        <w:ind w:left="851"/>
        <w:rPr>
          <w:b/>
          <w:bCs/>
          <w:color w:val="000000" w:themeColor="text1"/>
        </w:rPr>
      </w:pPr>
      <w:r w:rsidRPr="00F97C61">
        <w:rPr>
          <w:b/>
          <w:bCs/>
          <w:color w:val="000000" w:themeColor="text1"/>
        </w:rPr>
        <w:t>Tablo 4.</w:t>
      </w:r>
      <w:r w:rsidRPr="00F97C61">
        <w:rPr>
          <w:color w:val="000000" w:themeColor="text1"/>
        </w:rPr>
        <w:t xml:space="preserve"> </w:t>
      </w:r>
      <w:r w:rsidRPr="00F97C61">
        <w:rPr>
          <w:b/>
          <w:bCs/>
          <w:color w:val="000000" w:themeColor="text1"/>
        </w:rPr>
        <w:t>Kısa Telkine Yatkınlık Ölçeği Alt Faktörler</w:t>
      </w:r>
    </w:p>
    <w:tbl>
      <w:tblPr>
        <w:tblStyle w:val="TabloKlavuzu"/>
        <w:tblW w:w="7563"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08"/>
        <w:gridCol w:w="1022"/>
        <w:gridCol w:w="1129"/>
        <w:gridCol w:w="1147"/>
        <w:gridCol w:w="1034"/>
        <w:gridCol w:w="1207"/>
      </w:tblGrid>
      <w:tr w:rsidR="00F97C61" w:rsidRPr="00F97C61" w14:paraId="31CD8EBD" w14:textId="2D58848D" w:rsidTr="00132BD1">
        <w:trPr>
          <w:trHeight w:val="836"/>
        </w:trPr>
        <w:tc>
          <w:tcPr>
            <w:tcW w:w="1057" w:type="dxa"/>
            <w:tcBorders>
              <w:top w:val="single" w:sz="4" w:space="0" w:color="auto"/>
              <w:bottom w:val="single" w:sz="4" w:space="0" w:color="auto"/>
            </w:tcBorders>
          </w:tcPr>
          <w:p w14:paraId="559BB9E6" w14:textId="77777777" w:rsidR="00132BD1" w:rsidRPr="00F97C61" w:rsidRDefault="00132BD1" w:rsidP="00132BD1">
            <w:pPr>
              <w:spacing w:after="0" w:line="360" w:lineRule="auto"/>
              <w:rPr>
                <w:color w:val="000000" w:themeColor="text1"/>
              </w:rPr>
            </w:pPr>
          </w:p>
        </w:tc>
        <w:tc>
          <w:tcPr>
            <w:tcW w:w="1058" w:type="dxa"/>
            <w:tcBorders>
              <w:top w:val="single" w:sz="4" w:space="0" w:color="auto"/>
              <w:bottom w:val="single" w:sz="4" w:space="0" w:color="auto"/>
            </w:tcBorders>
          </w:tcPr>
          <w:p w14:paraId="18741423" w14:textId="77777777" w:rsidR="00132BD1" w:rsidRPr="00F97C61" w:rsidRDefault="00132BD1" w:rsidP="00132BD1">
            <w:pPr>
              <w:spacing w:after="0" w:line="360" w:lineRule="auto"/>
              <w:rPr>
                <w:b/>
                <w:bCs/>
                <w:color w:val="000000" w:themeColor="text1"/>
                <w:sz w:val="18"/>
                <w:szCs w:val="18"/>
              </w:rPr>
            </w:pPr>
          </w:p>
          <w:p w14:paraId="52378A24" w14:textId="29C8D3DA" w:rsidR="00132BD1" w:rsidRPr="00F97C61" w:rsidRDefault="00132BD1" w:rsidP="00132BD1">
            <w:pPr>
              <w:spacing w:after="0" w:line="360" w:lineRule="auto"/>
              <w:rPr>
                <w:b/>
                <w:bCs/>
                <w:color w:val="000000" w:themeColor="text1"/>
              </w:rPr>
            </w:pPr>
            <w:r w:rsidRPr="00F97C61">
              <w:rPr>
                <w:b/>
                <w:bCs/>
                <w:color w:val="000000" w:themeColor="text1"/>
                <w:sz w:val="18"/>
                <w:szCs w:val="18"/>
              </w:rPr>
              <w:t>KTYÖ toplam</w:t>
            </w:r>
          </w:p>
        </w:tc>
        <w:tc>
          <w:tcPr>
            <w:tcW w:w="1069" w:type="dxa"/>
            <w:tcBorders>
              <w:top w:val="single" w:sz="4" w:space="0" w:color="auto"/>
              <w:bottom w:val="single" w:sz="4" w:space="0" w:color="auto"/>
            </w:tcBorders>
          </w:tcPr>
          <w:p w14:paraId="75760447" w14:textId="77777777" w:rsidR="00132BD1" w:rsidRPr="00F97C61" w:rsidRDefault="00132BD1" w:rsidP="00132BD1">
            <w:pPr>
              <w:spacing w:after="0" w:line="360" w:lineRule="auto"/>
              <w:rPr>
                <w:b/>
                <w:bCs/>
                <w:color w:val="000000" w:themeColor="text1"/>
                <w:sz w:val="18"/>
                <w:szCs w:val="18"/>
              </w:rPr>
            </w:pPr>
            <w:r w:rsidRPr="00F97C61">
              <w:rPr>
                <w:b/>
                <w:bCs/>
                <w:color w:val="000000" w:themeColor="text1"/>
                <w:sz w:val="18"/>
                <w:szCs w:val="18"/>
              </w:rPr>
              <w:t>1</w:t>
            </w:r>
          </w:p>
          <w:p w14:paraId="37BB5BE6" w14:textId="7CFC487E" w:rsidR="00132BD1" w:rsidRPr="00F97C61" w:rsidRDefault="00132BD1" w:rsidP="00132BD1">
            <w:pPr>
              <w:spacing w:after="0" w:line="360" w:lineRule="auto"/>
              <w:rPr>
                <w:b/>
                <w:bCs/>
                <w:color w:val="000000" w:themeColor="text1"/>
                <w:sz w:val="18"/>
                <w:szCs w:val="18"/>
              </w:rPr>
            </w:pPr>
            <w:r w:rsidRPr="00F97C61">
              <w:rPr>
                <w:b/>
                <w:bCs/>
                <w:color w:val="000000" w:themeColor="text1"/>
                <w:sz w:val="18"/>
                <w:szCs w:val="18"/>
              </w:rPr>
              <w:t>Akran Uyumu</w:t>
            </w:r>
          </w:p>
        </w:tc>
        <w:tc>
          <w:tcPr>
            <w:tcW w:w="1158" w:type="dxa"/>
            <w:tcBorders>
              <w:top w:val="single" w:sz="4" w:space="0" w:color="auto"/>
              <w:bottom w:val="single" w:sz="4" w:space="0" w:color="auto"/>
            </w:tcBorders>
          </w:tcPr>
          <w:p w14:paraId="3DF637D6" w14:textId="77777777" w:rsidR="00132BD1" w:rsidRPr="00F97C61" w:rsidRDefault="00132BD1" w:rsidP="00132BD1">
            <w:pPr>
              <w:spacing w:after="0" w:line="360" w:lineRule="auto"/>
              <w:rPr>
                <w:b/>
                <w:bCs/>
                <w:color w:val="000000" w:themeColor="text1"/>
                <w:sz w:val="18"/>
                <w:szCs w:val="18"/>
              </w:rPr>
            </w:pPr>
            <w:r w:rsidRPr="00F97C61">
              <w:rPr>
                <w:b/>
                <w:bCs/>
                <w:color w:val="000000" w:themeColor="text1"/>
                <w:sz w:val="18"/>
                <w:szCs w:val="18"/>
              </w:rPr>
              <w:t>2</w:t>
            </w:r>
          </w:p>
          <w:p w14:paraId="29C151B6" w14:textId="4B81646B" w:rsidR="00132BD1" w:rsidRPr="00F97C61" w:rsidRDefault="00132BD1" w:rsidP="00132BD1">
            <w:pPr>
              <w:spacing w:after="0" w:line="360" w:lineRule="auto"/>
              <w:rPr>
                <w:b/>
                <w:bCs/>
                <w:color w:val="000000" w:themeColor="text1"/>
                <w:sz w:val="18"/>
                <w:szCs w:val="18"/>
              </w:rPr>
            </w:pPr>
            <w:r w:rsidRPr="00F97C61">
              <w:rPr>
                <w:b/>
                <w:bCs/>
                <w:color w:val="000000" w:themeColor="text1"/>
                <w:sz w:val="18"/>
                <w:szCs w:val="18"/>
              </w:rPr>
              <w:t>Fizyolojik Telkine Yatkınlık</w:t>
            </w:r>
          </w:p>
        </w:tc>
        <w:tc>
          <w:tcPr>
            <w:tcW w:w="1124" w:type="dxa"/>
            <w:tcBorders>
              <w:top w:val="single" w:sz="4" w:space="0" w:color="auto"/>
              <w:bottom w:val="single" w:sz="4" w:space="0" w:color="auto"/>
            </w:tcBorders>
          </w:tcPr>
          <w:p w14:paraId="6885F245" w14:textId="77777777" w:rsidR="00132BD1" w:rsidRPr="00F97C61" w:rsidRDefault="00132BD1" w:rsidP="00132BD1">
            <w:pPr>
              <w:spacing w:after="0" w:line="240" w:lineRule="auto"/>
              <w:rPr>
                <w:b/>
                <w:bCs/>
                <w:color w:val="000000" w:themeColor="text1"/>
                <w:sz w:val="18"/>
                <w:szCs w:val="18"/>
              </w:rPr>
            </w:pPr>
            <w:r w:rsidRPr="00F97C61">
              <w:rPr>
                <w:b/>
                <w:bCs/>
                <w:color w:val="000000" w:themeColor="text1"/>
                <w:sz w:val="18"/>
                <w:szCs w:val="18"/>
              </w:rPr>
              <w:t>3</w:t>
            </w:r>
          </w:p>
          <w:p w14:paraId="78686DB5" w14:textId="75AC416A" w:rsidR="00132BD1" w:rsidRPr="00F97C61" w:rsidRDefault="00132BD1" w:rsidP="00132BD1">
            <w:pPr>
              <w:spacing w:after="0" w:line="360" w:lineRule="auto"/>
              <w:rPr>
                <w:b/>
                <w:bCs/>
                <w:color w:val="000000" w:themeColor="text1"/>
              </w:rPr>
            </w:pPr>
            <w:r w:rsidRPr="00F97C61">
              <w:rPr>
                <w:b/>
                <w:bCs/>
                <w:color w:val="000000" w:themeColor="text1"/>
                <w:sz w:val="18"/>
                <w:szCs w:val="18"/>
              </w:rPr>
              <w:t>İkna Edilebilirlik</w:t>
            </w:r>
          </w:p>
        </w:tc>
        <w:tc>
          <w:tcPr>
            <w:tcW w:w="1043" w:type="dxa"/>
            <w:tcBorders>
              <w:top w:val="single" w:sz="4" w:space="0" w:color="auto"/>
              <w:bottom w:val="single" w:sz="4" w:space="0" w:color="auto"/>
            </w:tcBorders>
          </w:tcPr>
          <w:p w14:paraId="6C56857A" w14:textId="77777777" w:rsidR="00132BD1" w:rsidRPr="00F97C61" w:rsidRDefault="00132BD1" w:rsidP="00132BD1">
            <w:pPr>
              <w:spacing w:after="0" w:line="240" w:lineRule="auto"/>
              <w:rPr>
                <w:b/>
                <w:bCs/>
                <w:color w:val="000000" w:themeColor="text1"/>
                <w:sz w:val="18"/>
                <w:szCs w:val="18"/>
              </w:rPr>
            </w:pPr>
            <w:r w:rsidRPr="00F97C61">
              <w:rPr>
                <w:b/>
                <w:bCs/>
                <w:color w:val="000000" w:themeColor="text1"/>
                <w:sz w:val="18"/>
                <w:szCs w:val="18"/>
              </w:rPr>
              <w:t>4</w:t>
            </w:r>
          </w:p>
          <w:p w14:paraId="5945BA9A" w14:textId="4E4B90D5" w:rsidR="00132BD1" w:rsidRPr="00F97C61" w:rsidRDefault="00132BD1" w:rsidP="00132BD1">
            <w:pPr>
              <w:spacing w:after="0" w:line="360" w:lineRule="auto"/>
              <w:rPr>
                <w:b/>
                <w:bCs/>
                <w:color w:val="000000" w:themeColor="text1"/>
              </w:rPr>
            </w:pPr>
            <w:r w:rsidRPr="00F97C61">
              <w:rPr>
                <w:b/>
                <w:bCs/>
                <w:color w:val="000000" w:themeColor="text1"/>
                <w:sz w:val="18"/>
                <w:szCs w:val="18"/>
              </w:rPr>
              <w:t>Tüketici Telkine Yatkınlığı</w:t>
            </w:r>
          </w:p>
        </w:tc>
        <w:tc>
          <w:tcPr>
            <w:tcW w:w="1054" w:type="dxa"/>
            <w:tcBorders>
              <w:top w:val="single" w:sz="4" w:space="0" w:color="auto"/>
              <w:bottom w:val="single" w:sz="4" w:space="0" w:color="auto"/>
            </w:tcBorders>
          </w:tcPr>
          <w:p w14:paraId="44000A6E" w14:textId="77777777" w:rsidR="00132BD1" w:rsidRPr="00F97C61" w:rsidRDefault="00132BD1" w:rsidP="00132BD1">
            <w:pPr>
              <w:spacing w:after="0" w:line="240" w:lineRule="auto"/>
              <w:rPr>
                <w:b/>
                <w:bCs/>
                <w:color w:val="000000" w:themeColor="text1"/>
                <w:sz w:val="18"/>
                <w:szCs w:val="18"/>
              </w:rPr>
            </w:pPr>
            <w:r w:rsidRPr="00F97C61">
              <w:rPr>
                <w:b/>
                <w:bCs/>
                <w:color w:val="000000" w:themeColor="text1"/>
                <w:sz w:val="18"/>
                <w:szCs w:val="18"/>
              </w:rPr>
              <w:t>5</w:t>
            </w:r>
          </w:p>
          <w:p w14:paraId="28FA9FB4" w14:textId="509CE9A3" w:rsidR="00132BD1" w:rsidRPr="00F97C61" w:rsidRDefault="00132BD1" w:rsidP="00132BD1">
            <w:pPr>
              <w:spacing w:after="0" w:line="360" w:lineRule="auto"/>
              <w:rPr>
                <w:b/>
                <w:bCs/>
                <w:color w:val="000000" w:themeColor="text1"/>
              </w:rPr>
            </w:pPr>
            <w:r w:rsidRPr="00F97C61">
              <w:rPr>
                <w:b/>
                <w:bCs/>
                <w:color w:val="000000" w:themeColor="text1"/>
                <w:sz w:val="18"/>
                <w:szCs w:val="18"/>
              </w:rPr>
              <w:t>Başkalarının Etkisi</w:t>
            </w:r>
          </w:p>
        </w:tc>
      </w:tr>
      <w:tr w:rsidR="00F97C61" w:rsidRPr="00F97C61" w14:paraId="52A0D7F1" w14:textId="6E58901E" w:rsidTr="00132BD1">
        <w:trPr>
          <w:trHeight w:val="740"/>
        </w:trPr>
        <w:tc>
          <w:tcPr>
            <w:tcW w:w="1057" w:type="dxa"/>
            <w:tcBorders>
              <w:top w:val="single" w:sz="4" w:space="0" w:color="auto"/>
            </w:tcBorders>
          </w:tcPr>
          <w:p w14:paraId="35E9B40A" w14:textId="4506B5A7" w:rsidR="00132BD1" w:rsidRPr="00F97C61" w:rsidRDefault="00132BD1" w:rsidP="00D53E9D">
            <w:pPr>
              <w:spacing w:after="0" w:line="360" w:lineRule="auto"/>
              <w:rPr>
                <w:b/>
                <w:bCs/>
                <w:color w:val="000000" w:themeColor="text1"/>
              </w:rPr>
            </w:pPr>
            <w:r w:rsidRPr="00F97C61">
              <w:rPr>
                <w:b/>
                <w:bCs/>
                <w:color w:val="000000" w:themeColor="text1"/>
                <w:sz w:val="18"/>
                <w:szCs w:val="18"/>
              </w:rPr>
              <w:t>Özerk benlik</w:t>
            </w:r>
          </w:p>
        </w:tc>
        <w:tc>
          <w:tcPr>
            <w:tcW w:w="1058" w:type="dxa"/>
            <w:tcBorders>
              <w:top w:val="single" w:sz="4" w:space="0" w:color="auto"/>
            </w:tcBorders>
          </w:tcPr>
          <w:p w14:paraId="61ACB321" w14:textId="36C4354C" w:rsidR="00132BD1" w:rsidRPr="00F97C61" w:rsidRDefault="00132BD1" w:rsidP="00D53E9D">
            <w:pPr>
              <w:spacing w:after="0" w:line="360" w:lineRule="auto"/>
              <w:rPr>
                <w:color w:val="000000" w:themeColor="text1"/>
              </w:rPr>
            </w:pPr>
            <w:r w:rsidRPr="00F97C61">
              <w:rPr>
                <w:color w:val="000000" w:themeColor="text1"/>
              </w:rPr>
              <w:t>-.43</w:t>
            </w:r>
            <w:r w:rsidR="0064104F">
              <w:rPr>
                <w:color w:val="000000" w:themeColor="text1"/>
              </w:rPr>
              <w:t>**</w:t>
            </w:r>
          </w:p>
        </w:tc>
        <w:tc>
          <w:tcPr>
            <w:tcW w:w="1069" w:type="dxa"/>
            <w:tcBorders>
              <w:top w:val="single" w:sz="4" w:space="0" w:color="auto"/>
            </w:tcBorders>
          </w:tcPr>
          <w:p w14:paraId="3960EE7A" w14:textId="24C94CD1" w:rsidR="00132BD1" w:rsidRPr="00F97C61" w:rsidRDefault="00132BD1" w:rsidP="00D53E9D">
            <w:pPr>
              <w:spacing w:after="0" w:line="360" w:lineRule="auto"/>
              <w:rPr>
                <w:color w:val="000000" w:themeColor="text1"/>
              </w:rPr>
            </w:pPr>
            <w:r w:rsidRPr="00F97C61">
              <w:rPr>
                <w:color w:val="000000" w:themeColor="text1"/>
              </w:rPr>
              <w:t>.-41</w:t>
            </w:r>
            <w:r w:rsidR="0064104F">
              <w:rPr>
                <w:color w:val="000000" w:themeColor="text1"/>
              </w:rPr>
              <w:t>**</w:t>
            </w:r>
          </w:p>
        </w:tc>
        <w:tc>
          <w:tcPr>
            <w:tcW w:w="1158" w:type="dxa"/>
            <w:tcBorders>
              <w:top w:val="single" w:sz="4" w:space="0" w:color="auto"/>
            </w:tcBorders>
          </w:tcPr>
          <w:p w14:paraId="56A990F7" w14:textId="3FB8326F" w:rsidR="00132BD1" w:rsidRPr="00F97C61" w:rsidRDefault="004D2C71" w:rsidP="00D53E9D">
            <w:pPr>
              <w:spacing w:after="0" w:line="360" w:lineRule="auto"/>
              <w:rPr>
                <w:color w:val="000000" w:themeColor="text1"/>
              </w:rPr>
            </w:pPr>
            <w:r w:rsidRPr="00F97C61">
              <w:rPr>
                <w:color w:val="000000" w:themeColor="text1"/>
              </w:rPr>
              <w:t>-.23</w:t>
            </w:r>
            <w:r w:rsidR="0064104F">
              <w:rPr>
                <w:color w:val="000000" w:themeColor="text1"/>
              </w:rPr>
              <w:t>**</w:t>
            </w:r>
          </w:p>
        </w:tc>
        <w:tc>
          <w:tcPr>
            <w:tcW w:w="1124" w:type="dxa"/>
            <w:tcBorders>
              <w:top w:val="single" w:sz="4" w:space="0" w:color="auto"/>
            </w:tcBorders>
          </w:tcPr>
          <w:p w14:paraId="422B3AFB" w14:textId="12AEFC16" w:rsidR="00132BD1" w:rsidRPr="00F97C61" w:rsidRDefault="004D2C71" w:rsidP="00D53E9D">
            <w:pPr>
              <w:spacing w:after="0" w:line="360" w:lineRule="auto"/>
              <w:rPr>
                <w:color w:val="000000" w:themeColor="text1"/>
              </w:rPr>
            </w:pPr>
            <w:r w:rsidRPr="00F97C61">
              <w:rPr>
                <w:color w:val="000000" w:themeColor="text1"/>
              </w:rPr>
              <w:t>-.31</w:t>
            </w:r>
            <w:r w:rsidR="0064104F">
              <w:rPr>
                <w:color w:val="000000" w:themeColor="text1"/>
              </w:rPr>
              <w:t>**</w:t>
            </w:r>
          </w:p>
        </w:tc>
        <w:tc>
          <w:tcPr>
            <w:tcW w:w="1043" w:type="dxa"/>
            <w:tcBorders>
              <w:top w:val="single" w:sz="4" w:space="0" w:color="auto"/>
            </w:tcBorders>
          </w:tcPr>
          <w:p w14:paraId="0F829491" w14:textId="30F2F85A" w:rsidR="00132BD1" w:rsidRPr="00F97C61" w:rsidRDefault="004D2C71" w:rsidP="00D53E9D">
            <w:pPr>
              <w:spacing w:after="0" w:line="360" w:lineRule="auto"/>
              <w:rPr>
                <w:color w:val="000000" w:themeColor="text1"/>
              </w:rPr>
            </w:pPr>
            <w:r w:rsidRPr="00F97C61">
              <w:rPr>
                <w:color w:val="000000" w:themeColor="text1"/>
              </w:rPr>
              <w:t>-.22</w:t>
            </w:r>
            <w:r w:rsidR="0064104F">
              <w:rPr>
                <w:color w:val="000000" w:themeColor="text1"/>
              </w:rPr>
              <w:t>**</w:t>
            </w:r>
          </w:p>
        </w:tc>
        <w:tc>
          <w:tcPr>
            <w:tcW w:w="1054" w:type="dxa"/>
            <w:tcBorders>
              <w:top w:val="single" w:sz="4" w:space="0" w:color="auto"/>
            </w:tcBorders>
          </w:tcPr>
          <w:p w14:paraId="125143C0" w14:textId="3122F42C" w:rsidR="00132BD1" w:rsidRPr="00F97C61" w:rsidRDefault="004D2C71" w:rsidP="00D53E9D">
            <w:pPr>
              <w:spacing w:after="0" w:line="360" w:lineRule="auto"/>
              <w:rPr>
                <w:color w:val="000000" w:themeColor="text1"/>
              </w:rPr>
            </w:pPr>
            <w:r w:rsidRPr="00F97C61">
              <w:rPr>
                <w:color w:val="000000" w:themeColor="text1"/>
              </w:rPr>
              <w:t>-.55</w:t>
            </w:r>
            <w:r w:rsidR="0064104F">
              <w:rPr>
                <w:color w:val="000000" w:themeColor="text1"/>
              </w:rPr>
              <w:t>**</w:t>
            </w:r>
          </w:p>
        </w:tc>
      </w:tr>
      <w:tr w:rsidR="00F97C61" w:rsidRPr="00F97C61" w14:paraId="77B3B5F6" w14:textId="7ACC3C0E" w:rsidTr="00132BD1">
        <w:trPr>
          <w:trHeight w:val="754"/>
        </w:trPr>
        <w:tc>
          <w:tcPr>
            <w:tcW w:w="1057" w:type="dxa"/>
          </w:tcPr>
          <w:p w14:paraId="7F89256B" w14:textId="752916C1" w:rsidR="00132BD1" w:rsidRPr="00F97C61" w:rsidRDefault="00132BD1" w:rsidP="00D53E9D">
            <w:pPr>
              <w:spacing w:after="0" w:line="360" w:lineRule="auto"/>
              <w:rPr>
                <w:b/>
                <w:bCs/>
                <w:color w:val="000000" w:themeColor="text1"/>
              </w:rPr>
            </w:pPr>
            <w:r w:rsidRPr="00F97C61">
              <w:rPr>
                <w:b/>
                <w:bCs/>
                <w:color w:val="000000" w:themeColor="text1"/>
                <w:sz w:val="18"/>
                <w:szCs w:val="18"/>
              </w:rPr>
              <w:t>İlişkisel benlik</w:t>
            </w:r>
          </w:p>
        </w:tc>
        <w:tc>
          <w:tcPr>
            <w:tcW w:w="1058" w:type="dxa"/>
          </w:tcPr>
          <w:p w14:paraId="4B6D7727" w14:textId="0072CCF6" w:rsidR="00132BD1" w:rsidRPr="00F97C61" w:rsidRDefault="00132BD1" w:rsidP="00D53E9D">
            <w:pPr>
              <w:spacing w:after="0" w:line="360" w:lineRule="auto"/>
              <w:rPr>
                <w:color w:val="000000" w:themeColor="text1"/>
              </w:rPr>
            </w:pPr>
            <w:r w:rsidRPr="00F97C61">
              <w:rPr>
                <w:color w:val="000000" w:themeColor="text1"/>
              </w:rPr>
              <w:t>.31</w:t>
            </w:r>
            <w:r w:rsidR="0064104F">
              <w:rPr>
                <w:color w:val="000000" w:themeColor="text1"/>
              </w:rPr>
              <w:t>**</w:t>
            </w:r>
          </w:p>
        </w:tc>
        <w:tc>
          <w:tcPr>
            <w:tcW w:w="1069" w:type="dxa"/>
          </w:tcPr>
          <w:p w14:paraId="4180E19E" w14:textId="2222CD63" w:rsidR="00132BD1" w:rsidRPr="00F97C61" w:rsidRDefault="004D2C71" w:rsidP="00D53E9D">
            <w:pPr>
              <w:spacing w:after="0" w:line="360" w:lineRule="auto"/>
              <w:rPr>
                <w:color w:val="000000" w:themeColor="text1"/>
              </w:rPr>
            </w:pPr>
            <w:r w:rsidRPr="00F97C61">
              <w:rPr>
                <w:color w:val="000000" w:themeColor="text1"/>
              </w:rPr>
              <w:t>.15</w:t>
            </w:r>
            <w:r w:rsidR="0064104F">
              <w:rPr>
                <w:color w:val="000000" w:themeColor="text1"/>
              </w:rPr>
              <w:t>**</w:t>
            </w:r>
          </w:p>
        </w:tc>
        <w:tc>
          <w:tcPr>
            <w:tcW w:w="1158" w:type="dxa"/>
          </w:tcPr>
          <w:p w14:paraId="085C4B0F" w14:textId="21E08C85" w:rsidR="00132BD1" w:rsidRPr="00F97C61" w:rsidRDefault="004D2C71" w:rsidP="00D53E9D">
            <w:pPr>
              <w:spacing w:after="0" w:line="360" w:lineRule="auto"/>
              <w:rPr>
                <w:color w:val="000000" w:themeColor="text1"/>
              </w:rPr>
            </w:pPr>
            <w:r w:rsidRPr="00F97C61">
              <w:rPr>
                <w:color w:val="000000" w:themeColor="text1"/>
              </w:rPr>
              <w:t>.13</w:t>
            </w:r>
            <w:r w:rsidR="0064104F">
              <w:rPr>
                <w:color w:val="000000" w:themeColor="text1"/>
              </w:rPr>
              <w:t>*</w:t>
            </w:r>
          </w:p>
        </w:tc>
        <w:tc>
          <w:tcPr>
            <w:tcW w:w="1124" w:type="dxa"/>
          </w:tcPr>
          <w:p w14:paraId="57B83E10" w14:textId="243673AB" w:rsidR="00132BD1" w:rsidRPr="00F97C61" w:rsidRDefault="004D2C71" w:rsidP="00D53E9D">
            <w:pPr>
              <w:spacing w:after="0" w:line="360" w:lineRule="auto"/>
              <w:rPr>
                <w:color w:val="000000" w:themeColor="text1"/>
              </w:rPr>
            </w:pPr>
            <w:r w:rsidRPr="00F97C61">
              <w:rPr>
                <w:color w:val="000000" w:themeColor="text1"/>
              </w:rPr>
              <w:t>.34</w:t>
            </w:r>
            <w:r w:rsidR="0064104F">
              <w:rPr>
                <w:color w:val="000000" w:themeColor="text1"/>
              </w:rPr>
              <w:t>**</w:t>
            </w:r>
          </w:p>
        </w:tc>
        <w:tc>
          <w:tcPr>
            <w:tcW w:w="1043" w:type="dxa"/>
          </w:tcPr>
          <w:p w14:paraId="5231CDD1" w14:textId="1967B5F8" w:rsidR="00132BD1" w:rsidRPr="00F97C61" w:rsidRDefault="004D2C71" w:rsidP="00D53E9D">
            <w:pPr>
              <w:spacing w:after="0" w:line="360" w:lineRule="auto"/>
              <w:rPr>
                <w:color w:val="000000" w:themeColor="text1"/>
              </w:rPr>
            </w:pPr>
            <w:r w:rsidRPr="00F97C61">
              <w:rPr>
                <w:color w:val="000000" w:themeColor="text1"/>
              </w:rPr>
              <w:t>.21</w:t>
            </w:r>
            <w:r w:rsidR="0064104F">
              <w:rPr>
                <w:color w:val="000000" w:themeColor="text1"/>
              </w:rPr>
              <w:t>**</w:t>
            </w:r>
          </w:p>
        </w:tc>
        <w:tc>
          <w:tcPr>
            <w:tcW w:w="1054" w:type="dxa"/>
          </w:tcPr>
          <w:p w14:paraId="4C691E14" w14:textId="72F6635F" w:rsidR="00132BD1" w:rsidRPr="00F97C61" w:rsidRDefault="004D2C71" w:rsidP="00D53E9D">
            <w:pPr>
              <w:spacing w:after="0" w:line="360" w:lineRule="auto"/>
              <w:rPr>
                <w:color w:val="000000" w:themeColor="text1"/>
              </w:rPr>
            </w:pPr>
            <w:r w:rsidRPr="00F97C61">
              <w:rPr>
                <w:color w:val="000000" w:themeColor="text1"/>
              </w:rPr>
              <w:t>.36</w:t>
            </w:r>
            <w:r w:rsidR="0064104F">
              <w:rPr>
                <w:color w:val="000000" w:themeColor="text1"/>
              </w:rPr>
              <w:t>**</w:t>
            </w:r>
          </w:p>
        </w:tc>
      </w:tr>
    </w:tbl>
    <w:p w14:paraId="014AD390" w14:textId="151ACED3" w:rsidR="00A42654" w:rsidRPr="00F97C61" w:rsidRDefault="00A42654" w:rsidP="002D0914">
      <w:pPr>
        <w:spacing w:line="360" w:lineRule="auto"/>
        <w:ind w:left="698" w:firstLine="153"/>
        <w:rPr>
          <w:color w:val="000000" w:themeColor="text1"/>
        </w:rPr>
      </w:pPr>
      <w:proofErr w:type="gramStart"/>
      <w:r w:rsidRPr="00F97C61">
        <w:rPr>
          <w:color w:val="000000" w:themeColor="text1"/>
        </w:rPr>
        <w:t>n</w:t>
      </w:r>
      <w:proofErr w:type="gramEnd"/>
      <w:r w:rsidRPr="00F97C61">
        <w:rPr>
          <w:color w:val="000000" w:themeColor="text1"/>
        </w:rPr>
        <w:t>=294 *p&lt;.01, ** **p&lt;0,001</w:t>
      </w:r>
    </w:p>
    <w:p w14:paraId="37C9A982" w14:textId="2BA8C54D" w:rsidR="00A67408" w:rsidRDefault="00A67408" w:rsidP="000170DA">
      <w:pPr>
        <w:spacing w:line="360" w:lineRule="auto"/>
        <w:ind w:left="851"/>
        <w:rPr>
          <w:color w:val="000000" w:themeColor="text1"/>
        </w:rPr>
      </w:pPr>
      <w:r>
        <w:rPr>
          <w:color w:val="000000" w:themeColor="text1"/>
        </w:rPr>
        <w:t xml:space="preserve">Tüm katılımcılarda </w:t>
      </w:r>
      <w:r w:rsidRPr="00A67408">
        <w:rPr>
          <w:color w:val="000000" w:themeColor="text1"/>
        </w:rPr>
        <w:t xml:space="preserve">Kısa Telkine Yatkınlık </w:t>
      </w:r>
      <w:proofErr w:type="spellStart"/>
      <w:r w:rsidRPr="00A67408">
        <w:rPr>
          <w:color w:val="000000" w:themeColor="text1"/>
        </w:rPr>
        <w:t>Ölçeği’nin</w:t>
      </w:r>
      <w:proofErr w:type="spellEnd"/>
      <w:r w:rsidRPr="00A67408">
        <w:rPr>
          <w:color w:val="000000" w:themeColor="text1"/>
        </w:rPr>
        <w:t xml:space="preserve"> toplam puanı ile özerk ilişkisel benlik ölçeğinin, özerk benlik (r= -</w:t>
      </w:r>
      <w:r>
        <w:rPr>
          <w:color w:val="000000" w:themeColor="text1"/>
        </w:rPr>
        <w:t>43</w:t>
      </w:r>
      <w:r w:rsidRPr="00A67408">
        <w:rPr>
          <w:color w:val="000000" w:themeColor="text1"/>
        </w:rPr>
        <w:t>) ve ilişkisel benlik (r=.</w:t>
      </w:r>
      <w:r>
        <w:rPr>
          <w:color w:val="000000" w:themeColor="text1"/>
        </w:rPr>
        <w:t>31</w:t>
      </w:r>
      <w:r w:rsidRPr="00A67408">
        <w:rPr>
          <w:color w:val="000000" w:themeColor="text1"/>
        </w:rPr>
        <w:t xml:space="preserve">) alt boyutu arasında istatistiksel açıdan anlamlı ilişki bulunmuştur. </w:t>
      </w:r>
    </w:p>
    <w:p w14:paraId="2EA2EB58" w14:textId="301F31E3" w:rsidR="00A42654" w:rsidRPr="00F97C61" w:rsidRDefault="00A42654" w:rsidP="00BD0596">
      <w:pPr>
        <w:spacing w:line="360" w:lineRule="auto"/>
        <w:ind w:left="851"/>
        <w:rPr>
          <w:color w:val="000000" w:themeColor="text1"/>
        </w:rPr>
      </w:pPr>
      <w:r w:rsidRPr="00F97C61">
        <w:rPr>
          <w:color w:val="000000" w:themeColor="text1"/>
        </w:rPr>
        <w:t>18 yaş altındaki örneklemde</w:t>
      </w:r>
      <w:r w:rsidR="00902A7D" w:rsidRPr="00F97C61">
        <w:rPr>
          <w:color w:val="000000" w:themeColor="text1"/>
        </w:rPr>
        <w:t xml:space="preserve"> </w:t>
      </w:r>
      <w:proofErr w:type="gramStart"/>
      <w:r w:rsidR="00902A7D" w:rsidRPr="00F97C61">
        <w:rPr>
          <w:color w:val="000000" w:themeColor="text1"/>
        </w:rPr>
        <w:t>de</w:t>
      </w:r>
      <w:r w:rsidRPr="00F97C61">
        <w:rPr>
          <w:color w:val="000000" w:themeColor="text1"/>
        </w:rPr>
        <w:t>,</w:t>
      </w:r>
      <w:proofErr w:type="gramEnd"/>
      <w:r w:rsidRPr="00F97C61">
        <w:rPr>
          <w:color w:val="000000" w:themeColor="text1"/>
        </w:rPr>
        <w:t xml:space="preserve"> </w:t>
      </w:r>
      <w:r w:rsidR="004C22A1" w:rsidRPr="00F97C61">
        <w:rPr>
          <w:color w:val="000000" w:themeColor="text1"/>
        </w:rPr>
        <w:t xml:space="preserve">Kısa Telkine Yatkınlık </w:t>
      </w:r>
      <w:proofErr w:type="spellStart"/>
      <w:r w:rsidR="004C22A1" w:rsidRPr="00F97C61">
        <w:rPr>
          <w:color w:val="000000" w:themeColor="text1"/>
        </w:rPr>
        <w:t>Ölçeği’nin</w:t>
      </w:r>
      <w:proofErr w:type="spellEnd"/>
      <w:r w:rsidR="004C22A1" w:rsidRPr="00F97C61">
        <w:rPr>
          <w:color w:val="000000" w:themeColor="text1"/>
        </w:rPr>
        <w:t xml:space="preserve"> </w:t>
      </w:r>
      <w:r w:rsidRPr="00F97C61">
        <w:rPr>
          <w:color w:val="000000" w:themeColor="text1"/>
        </w:rPr>
        <w:t>toplam puanı ile özerk ilişkisel benlik ölçeğinin,</w:t>
      </w:r>
      <w:bookmarkStart w:id="4" w:name="_Hlk64122666"/>
      <w:r w:rsidRPr="00F97C61">
        <w:rPr>
          <w:color w:val="000000" w:themeColor="text1"/>
        </w:rPr>
        <w:t xml:space="preserve"> özerk benlik (r= -35) ve ilişkisel benlik </w:t>
      </w:r>
      <w:bookmarkEnd w:id="4"/>
      <w:r w:rsidRPr="00F97C61">
        <w:rPr>
          <w:color w:val="000000" w:themeColor="text1"/>
        </w:rPr>
        <w:t xml:space="preserve">(r=.29) alt boyutu arasında istatistiksel açıdan anlamlı ilişki bulunmuştur. </w:t>
      </w:r>
    </w:p>
    <w:p w14:paraId="23937C90" w14:textId="6C1E6FA9" w:rsidR="00893215" w:rsidRPr="00F97C61" w:rsidRDefault="00893215" w:rsidP="00BD0596">
      <w:pPr>
        <w:spacing w:line="360" w:lineRule="auto"/>
        <w:ind w:left="851"/>
        <w:rPr>
          <w:color w:val="000000" w:themeColor="text1"/>
        </w:rPr>
      </w:pPr>
    </w:p>
    <w:p w14:paraId="66AE8DF2" w14:textId="518857F4" w:rsidR="00893215" w:rsidRPr="00F97C61" w:rsidRDefault="00893215" w:rsidP="00BD0596">
      <w:pPr>
        <w:spacing w:line="360" w:lineRule="auto"/>
        <w:ind w:left="851"/>
        <w:rPr>
          <w:color w:val="000000" w:themeColor="text1"/>
        </w:rPr>
      </w:pPr>
    </w:p>
    <w:p w14:paraId="76A2F9B7" w14:textId="6552C5A8" w:rsidR="00893215" w:rsidRPr="00F97C61" w:rsidRDefault="00893215" w:rsidP="00BD0596">
      <w:pPr>
        <w:spacing w:line="360" w:lineRule="auto"/>
        <w:ind w:left="851"/>
        <w:rPr>
          <w:color w:val="000000" w:themeColor="text1"/>
        </w:rPr>
      </w:pPr>
    </w:p>
    <w:p w14:paraId="3375B8B1" w14:textId="463B1F0A" w:rsidR="00893215" w:rsidRPr="00F97C61" w:rsidRDefault="00893215" w:rsidP="00BD0596">
      <w:pPr>
        <w:spacing w:line="360" w:lineRule="auto"/>
        <w:ind w:left="851"/>
        <w:rPr>
          <w:color w:val="000000" w:themeColor="text1"/>
        </w:rPr>
      </w:pPr>
    </w:p>
    <w:p w14:paraId="65229A12" w14:textId="7B7DA3C4" w:rsidR="00893215" w:rsidRPr="00F97C61" w:rsidRDefault="00893215" w:rsidP="00BD0596">
      <w:pPr>
        <w:spacing w:line="360" w:lineRule="auto"/>
        <w:ind w:left="851"/>
        <w:rPr>
          <w:color w:val="000000" w:themeColor="text1"/>
        </w:rPr>
      </w:pPr>
    </w:p>
    <w:p w14:paraId="1E008061" w14:textId="1449CB8E" w:rsidR="00893215" w:rsidRPr="00F97C61" w:rsidRDefault="00893215" w:rsidP="00BD0596">
      <w:pPr>
        <w:spacing w:line="360" w:lineRule="auto"/>
        <w:ind w:left="851"/>
        <w:rPr>
          <w:color w:val="000000" w:themeColor="text1"/>
        </w:rPr>
      </w:pPr>
    </w:p>
    <w:p w14:paraId="6E12B08B" w14:textId="5E0BB9E8" w:rsidR="00893215" w:rsidRPr="00F97C61" w:rsidRDefault="00893215" w:rsidP="00BD0596">
      <w:pPr>
        <w:spacing w:line="360" w:lineRule="auto"/>
        <w:ind w:left="851"/>
        <w:rPr>
          <w:color w:val="000000" w:themeColor="text1"/>
        </w:rPr>
      </w:pPr>
    </w:p>
    <w:p w14:paraId="02E7EB67" w14:textId="163E7409" w:rsidR="00893215" w:rsidRPr="00F97C61" w:rsidRDefault="00893215" w:rsidP="00BD0596">
      <w:pPr>
        <w:spacing w:line="360" w:lineRule="auto"/>
        <w:ind w:left="851"/>
        <w:rPr>
          <w:color w:val="000000" w:themeColor="text1"/>
        </w:rPr>
      </w:pPr>
    </w:p>
    <w:p w14:paraId="74F637CA" w14:textId="24C72BE8" w:rsidR="00893215" w:rsidRPr="00F97C61" w:rsidRDefault="00893215" w:rsidP="00BD0596">
      <w:pPr>
        <w:spacing w:line="360" w:lineRule="auto"/>
        <w:ind w:left="851"/>
        <w:rPr>
          <w:color w:val="000000" w:themeColor="text1"/>
        </w:rPr>
      </w:pPr>
    </w:p>
    <w:p w14:paraId="7E186080" w14:textId="083B0125" w:rsidR="00893215" w:rsidRPr="00F97C61" w:rsidRDefault="00893215" w:rsidP="00D04EF3">
      <w:pPr>
        <w:spacing w:line="360" w:lineRule="auto"/>
        <w:rPr>
          <w:b/>
          <w:bCs/>
          <w:color w:val="000000" w:themeColor="text1"/>
        </w:rPr>
      </w:pPr>
    </w:p>
    <w:p w14:paraId="5AA7989E" w14:textId="3BB3590C" w:rsidR="00893215" w:rsidRPr="00F97C61" w:rsidRDefault="006B5D8F" w:rsidP="00BD0596">
      <w:pPr>
        <w:spacing w:line="360" w:lineRule="auto"/>
        <w:ind w:left="851"/>
        <w:rPr>
          <w:b/>
          <w:bCs/>
          <w:color w:val="000000" w:themeColor="text1"/>
        </w:rPr>
      </w:pPr>
      <w:r w:rsidRPr="00F97C61">
        <w:rPr>
          <w:b/>
          <w:bCs/>
          <w:color w:val="000000" w:themeColor="text1"/>
        </w:rPr>
        <w:lastRenderedPageBreak/>
        <w:t>TARTIŞMA</w:t>
      </w:r>
    </w:p>
    <w:p w14:paraId="2D4BC92D" w14:textId="68C84EDA" w:rsidR="000913C0" w:rsidRPr="00F97C61" w:rsidRDefault="00F76351" w:rsidP="000913C0">
      <w:pPr>
        <w:spacing w:line="360" w:lineRule="auto"/>
        <w:ind w:left="851"/>
        <w:rPr>
          <w:color w:val="000000" w:themeColor="text1"/>
        </w:rPr>
      </w:pPr>
      <w:r w:rsidRPr="00F97C61">
        <w:rPr>
          <w:color w:val="000000" w:themeColor="text1"/>
        </w:rPr>
        <w:t>Yürütmüş olduğumu</w:t>
      </w:r>
      <w:r w:rsidR="00D04EF3" w:rsidRPr="00F97C61">
        <w:rPr>
          <w:color w:val="000000" w:themeColor="text1"/>
        </w:rPr>
        <w:t>z</w:t>
      </w:r>
      <w:r w:rsidRPr="00F97C61">
        <w:rPr>
          <w:color w:val="000000" w:themeColor="text1"/>
        </w:rPr>
        <w:t xml:space="preserve"> bu çalışmanın temel amacı, yapısal telkine yatkınlığı değerlendiren bir ölçek olan </w:t>
      </w:r>
      <w:proofErr w:type="spellStart"/>
      <w:r w:rsidRPr="00F97C61">
        <w:rPr>
          <w:color w:val="000000" w:themeColor="text1"/>
        </w:rPr>
        <w:t>KTYÖ’n</w:t>
      </w:r>
      <w:r w:rsidR="004C22A1" w:rsidRPr="00F97C61">
        <w:rPr>
          <w:color w:val="000000" w:themeColor="text1"/>
        </w:rPr>
        <w:t>i</w:t>
      </w:r>
      <w:r w:rsidRPr="00F97C61">
        <w:rPr>
          <w:color w:val="000000" w:themeColor="text1"/>
        </w:rPr>
        <w:t>n</w:t>
      </w:r>
      <w:proofErr w:type="spellEnd"/>
      <w:r w:rsidRPr="00F97C61">
        <w:rPr>
          <w:color w:val="000000" w:themeColor="text1"/>
        </w:rPr>
        <w:t xml:space="preserve"> Türkçe dilinde geçerli ve güvenilir bir şekilde kullanımının uygunluğu saptamaktır. Bulgularımız, ölçeğin orijinal </w:t>
      </w:r>
      <w:proofErr w:type="spellStart"/>
      <w:r w:rsidRPr="00F97C61">
        <w:rPr>
          <w:color w:val="000000" w:themeColor="text1"/>
        </w:rPr>
        <w:t>validasyon</w:t>
      </w:r>
      <w:proofErr w:type="spellEnd"/>
      <w:r w:rsidRPr="00F97C61">
        <w:rPr>
          <w:color w:val="000000" w:themeColor="text1"/>
        </w:rPr>
        <w:t xml:space="preserve"> çalışmasına benzer bir şekilde yüksek bir </w:t>
      </w:r>
      <w:r w:rsidR="00F8305B" w:rsidRPr="00F97C61">
        <w:rPr>
          <w:color w:val="000000" w:themeColor="text1"/>
        </w:rPr>
        <w:t>güvenirlik</w:t>
      </w:r>
      <w:r w:rsidRPr="00F97C61">
        <w:rPr>
          <w:color w:val="000000" w:themeColor="text1"/>
        </w:rPr>
        <w:t xml:space="preserve"> katsayısına (0.87) sahip olduğunu göstermektedir. Bu değer, farklı araştırmacılar tarafından bir ölçeği güvenilirliğini saptamak için önerilen katsayı sınırı olan .70 değerinin üstündedir</w:t>
      </w:r>
      <w:r w:rsidR="00E9227E" w:rsidRPr="00F97C61">
        <w:rPr>
          <w:color w:val="000000" w:themeColor="text1"/>
        </w:rPr>
        <w:t xml:space="preserve"> </w:t>
      </w:r>
      <w:r w:rsidR="00E9227E" w:rsidRPr="00F97C61">
        <w:rPr>
          <w:color w:val="000000" w:themeColor="text1"/>
        </w:rPr>
        <w:fldChar w:fldCharType="begin" w:fldLock="1"/>
      </w:r>
      <w:r w:rsidR="00702DBA" w:rsidRPr="00F97C61">
        <w:rPr>
          <w:color w:val="000000" w:themeColor="text1"/>
        </w:rPr>
        <w:instrText>ADDIN CSL_CITATION {"citationItems":[{"id":"ITEM-1","itemData":{"author":[{"dropping-particle":"","family":"Nunnally, J. C., &amp; Bernstein","given":"I. H.","non-dropping-particle":"","parse-names":false,"suffix":""}],"id":"ITEM-1","issued":{"date-parts":[["1994"]]},"title":"Psychometric theory","type":"book"},"uris":["http://www.mendeley.com/documents/?uuid=5c19edf8-5966-46fe-b691-d3affb9fe8b0"]}],"mendeley":{"formattedCitation":"(Nunnally, J. C., &amp; Bernstein, 1994)","plainTextFormattedCitation":"(Nunnally, J. C., &amp; Bernstein, 1994)","previouslyFormattedCitation":"(Nunnally, J. C., &amp; Bernstein, 1994)"},"properties":{"noteIndex":0},"schema":"https://github.com/citation-style-language/schema/raw/master/csl-citation.json"}</w:instrText>
      </w:r>
      <w:r w:rsidR="00E9227E" w:rsidRPr="00F97C61">
        <w:rPr>
          <w:color w:val="000000" w:themeColor="text1"/>
        </w:rPr>
        <w:fldChar w:fldCharType="separate"/>
      </w:r>
      <w:r w:rsidR="00702DBA" w:rsidRPr="00F97C61">
        <w:rPr>
          <w:noProof/>
          <w:color w:val="000000" w:themeColor="text1"/>
        </w:rPr>
        <w:t>(Nunnally, J. C., &amp; Bernstein, 1994)</w:t>
      </w:r>
      <w:r w:rsidR="00E9227E" w:rsidRPr="00F97C61">
        <w:rPr>
          <w:color w:val="000000" w:themeColor="text1"/>
        </w:rPr>
        <w:fldChar w:fldCharType="end"/>
      </w:r>
      <w:r w:rsidRPr="00F97C61">
        <w:rPr>
          <w:color w:val="000000" w:themeColor="text1"/>
        </w:rPr>
        <w:t xml:space="preserve">. </w:t>
      </w:r>
      <w:r w:rsidR="000913C0" w:rsidRPr="00F97C61">
        <w:rPr>
          <w:color w:val="000000" w:themeColor="text1"/>
        </w:rPr>
        <w:t>Ö</w:t>
      </w:r>
      <w:r w:rsidRPr="00F97C61">
        <w:rPr>
          <w:color w:val="000000" w:themeColor="text1"/>
        </w:rPr>
        <w:t>lçeğin Türkçe formunun</w:t>
      </w:r>
      <w:r w:rsidR="000913C0" w:rsidRPr="00F97C61">
        <w:rPr>
          <w:color w:val="000000" w:themeColor="text1"/>
        </w:rPr>
        <w:t xml:space="preserve"> yapı</w:t>
      </w:r>
      <w:r w:rsidRPr="00F97C61">
        <w:rPr>
          <w:color w:val="000000" w:themeColor="text1"/>
        </w:rPr>
        <w:t xml:space="preserve"> geçerliliğini saptamak amacıyla yapılan </w:t>
      </w:r>
      <w:r w:rsidR="000913C0" w:rsidRPr="00F97C61">
        <w:rPr>
          <w:color w:val="000000" w:themeColor="text1"/>
        </w:rPr>
        <w:t xml:space="preserve">AFA sonucunda açıklanan toplam </w:t>
      </w:r>
      <w:proofErr w:type="spellStart"/>
      <w:r w:rsidR="000913C0" w:rsidRPr="00F97C61">
        <w:rPr>
          <w:color w:val="000000" w:themeColor="text1"/>
        </w:rPr>
        <w:t>varyans</w:t>
      </w:r>
      <w:proofErr w:type="spellEnd"/>
      <w:r w:rsidR="000913C0" w:rsidRPr="00F97C61">
        <w:rPr>
          <w:color w:val="000000" w:themeColor="text1"/>
        </w:rPr>
        <w:t xml:space="preserve"> oranı %5</w:t>
      </w:r>
      <w:r w:rsidR="004D2C71" w:rsidRPr="00F97C61">
        <w:rPr>
          <w:color w:val="000000" w:themeColor="text1"/>
        </w:rPr>
        <w:t>2,59</w:t>
      </w:r>
      <w:r w:rsidR="000913C0" w:rsidRPr="00F97C61">
        <w:rPr>
          <w:color w:val="000000" w:themeColor="text1"/>
        </w:rPr>
        <w:t xml:space="preserve"> olarak bulunmuştur. Ölçek geliştirme ve uyarlama çalışmalarında açıklanan </w:t>
      </w:r>
      <w:proofErr w:type="spellStart"/>
      <w:r w:rsidR="000913C0" w:rsidRPr="00F97C61">
        <w:rPr>
          <w:color w:val="000000" w:themeColor="text1"/>
        </w:rPr>
        <w:t>varyans</w:t>
      </w:r>
      <w:proofErr w:type="spellEnd"/>
      <w:r w:rsidR="000913C0" w:rsidRPr="00F97C61">
        <w:rPr>
          <w:color w:val="000000" w:themeColor="text1"/>
        </w:rPr>
        <w:t xml:space="preserve"> oranı</w:t>
      </w:r>
      <w:r w:rsidR="00330661" w:rsidRPr="00F97C61">
        <w:rPr>
          <w:color w:val="000000" w:themeColor="text1"/>
        </w:rPr>
        <w:t xml:space="preserve"> olarak</w:t>
      </w:r>
      <w:r w:rsidR="000913C0" w:rsidRPr="00F97C61">
        <w:rPr>
          <w:color w:val="000000" w:themeColor="text1"/>
        </w:rPr>
        <w:t xml:space="preserve"> </w:t>
      </w:r>
      <w:r w:rsidR="00F87625" w:rsidRPr="00F97C61">
        <w:rPr>
          <w:color w:val="000000" w:themeColor="text1"/>
        </w:rPr>
        <w:t>tek faktörlü ölçeklerde %30, çok faktörlü ölçeklerde ise</w:t>
      </w:r>
      <w:r w:rsidR="000913C0" w:rsidRPr="00F97C61">
        <w:rPr>
          <w:color w:val="000000" w:themeColor="text1"/>
        </w:rPr>
        <w:t xml:space="preserve"> %</w:t>
      </w:r>
      <w:r w:rsidR="00F87625" w:rsidRPr="00F97C61">
        <w:rPr>
          <w:color w:val="000000" w:themeColor="text1"/>
        </w:rPr>
        <w:t>50</w:t>
      </w:r>
      <w:r w:rsidR="000913C0" w:rsidRPr="00F97C61">
        <w:rPr>
          <w:color w:val="000000" w:themeColor="text1"/>
        </w:rPr>
        <w:t xml:space="preserve"> ve üzeri ölçüt olarak </w:t>
      </w:r>
      <w:r w:rsidR="00330661" w:rsidRPr="00F97C61">
        <w:rPr>
          <w:color w:val="000000" w:themeColor="text1"/>
        </w:rPr>
        <w:t>alındığından</w:t>
      </w:r>
      <w:r w:rsidR="00F87625" w:rsidRPr="00F97C61">
        <w:rPr>
          <w:color w:val="000000" w:themeColor="text1"/>
        </w:rPr>
        <w:t xml:space="preserve"> (Büyüköztürk, 2018)</w:t>
      </w:r>
      <w:r w:rsidR="000913C0" w:rsidRPr="00F97C61">
        <w:rPr>
          <w:color w:val="000000" w:themeColor="text1"/>
        </w:rPr>
        <w:t>, ölçeğin yapı geçerliğinin sağlandığı görülmektedir.</w:t>
      </w:r>
    </w:p>
    <w:p w14:paraId="2286015E" w14:textId="681FB050" w:rsidR="00375F1B" w:rsidRPr="00F97C61" w:rsidRDefault="00F76351" w:rsidP="00BD0596">
      <w:pPr>
        <w:spacing w:line="360" w:lineRule="auto"/>
        <w:ind w:left="851"/>
        <w:rPr>
          <w:color w:val="000000" w:themeColor="text1"/>
        </w:rPr>
      </w:pPr>
      <w:r w:rsidRPr="00F97C61">
        <w:rPr>
          <w:color w:val="000000" w:themeColor="text1"/>
        </w:rPr>
        <w:t xml:space="preserve">Çalışmamızda </w:t>
      </w:r>
      <w:proofErr w:type="spellStart"/>
      <w:r w:rsidR="004C22A1" w:rsidRPr="00F97C61">
        <w:rPr>
          <w:color w:val="000000" w:themeColor="text1"/>
        </w:rPr>
        <w:t>KTYÖ</w:t>
      </w:r>
      <w:r w:rsidRPr="00F97C61">
        <w:rPr>
          <w:color w:val="000000" w:themeColor="text1"/>
        </w:rPr>
        <w:t>’n</w:t>
      </w:r>
      <w:r w:rsidR="004C22A1" w:rsidRPr="00F97C61">
        <w:rPr>
          <w:color w:val="000000" w:themeColor="text1"/>
        </w:rPr>
        <w:t>i</w:t>
      </w:r>
      <w:r w:rsidRPr="00F97C61">
        <w:rPr>
          <w:color w:val="000000" w:themeColor="text1"/>
        </w:rPr>
        <w:t>n</w:t>
      </w:r>
      <w:proofErr w:type="spellEnd"/>
      <w:r w:rsidRPr="00F97C61">
        <w:rPr>
          <w:color w:val="000000" w:themeColor="text1"/>
        </w:rPr>
        <w:t xml:space="preserve"> kriter geçerliliği saptamak için</w:t>
      </w:r>
      <w:r w:rsidR="000913C0" w:rsidRPr="00F97C61">
        <w:rPr>
          <w:color w:val="000000" w:themeColor="text1"/>
        </w:rPr>
        <w:t xml:space="preserve">, </w:t>
      </w:r>
      <w:r w:rsidR="00DA55A6" w:rsidRPr="00F97C61">
        <w:rPr>
          <w:color w:val="000000" w:themeColor="text1"/>
        </w:rPr>
        <w:t xml:space="preserve">bireylerin </w:t>
      </w:r>
      <w:r w:rsidR="00330661" w:rsidRPr="00F97C61">
        <w:rPr>
          <w:color w:val="000000" w:themeColor="text1"/>
        </w:rPr>
        <w:t xml:space="preserve">benlik kurgularını </w:t>
      </w:r>
      <w:r w:rsidR="00DA55A6" w:rsidRPr="00F97C61">
        <w:rPr>
          <w:color w:val="000000" w:themeColor="text1"/>
        </w:rPr>
        <w:t>değerlendirmek amacıyla sıklıkla kullanılan ve orijinal dili Türkçe olan bir ölçek</w:t>
      </w:r>
      <w:r w:rsidR="000913C0" w:rsidRPr="00F97C61">
        <w:rPr>
          <w:color w:val="000000" w:themeColor="text1"/>
        </w:rPr>
        <w:t xml:space="preserve"> olan ÖİBÖ </w:t>
      </w:r>
      <w:r w:rsidR="000913C0" w:rsidRPr="00F97C61">
        <w:rPr>
          <w:color w:val="000000" w:themeColor="text1"/>
        </w:rPr>
        <w:fldChar w:fldCharType="begin" w:fldLock="1"/>
      </w:r>
      <w:r w:rsidR="000913C0" w:rsidRPr="00F97C61">
        <w:rPr>
          <w:color w:val="000000" w:themeColor="text1"/>
        </w:rPr>
        <w:instrText>ADDIN CSL_CITATION {"citationItems":[{"id":"ITEM-1","itemData":{"author":[{"dropping-particle":"","family":"Kagıtçıbaşı","given":"C.","non-dropping-particle":"","parse-names":false,"suffix":""}],"container-title":"Family, self, and human development across cultures: Theory and applications","id":"ITEM-1","issued":{"date-parts":[["2013"]]},"page":"pp.165-207","title":"Autonomous-Related Self","type":"chapter"},"uris":["http://www.mendeley.com/documents/?uuid=6801d26e-de5b-4016-963e-4444c441f511"]}],"mendeley":{"formattedCitation":"(Kagıtçıbaşı, 2013)","plainTextFormattedCitation":"(Kagıtçıbaşı, 2013)","previouslyFormattedCitation":"(Kagıtçıbaşı, 2013)"},"properties":{"noteIndex":0},"schema":"https://github.com/citation-style-language/schema/raw/master/csl-citation.json"}</w:instrText>
      </w:r>
      <w:r w:rsidR="000913C0" w:rsidRPr="00F97C61">
        <w:rPr>
          <w:color w:val="000000" w:themeColor="text1"/>
        </w:rPr>
        <w:fldChar w:fldCharType="separate"/>
      </w:r>
      <w:r w:rsidR="000913C0" w:rsidRPr="00F97C61">
        <w:rPr>
          <w:noProof/>
          <w:color w:val="000000" w:themeColor="text1"/>
        </w:rPr>
        <w:t>(Kagıtçıbaşı, 2013)</w:t>
      </w:r>
      <w:r w:rsidR="000913C0" w:rsidRPr="00F97C61">
        <w:rPr>
          <w:color w:val="000000" w:themeColor="text1"/>
        </w:rPr>
        <w:fldChar w:fldCharType="end"/>
      </w:r>
      <w:r w:rsidR="000913C0" w:rsidRPr="00F97C61">
        <w:rPr>
          <w:color w:val="000000" w:themeColor="text1"/>
        </w:rPr>
        <w:t xml:space="preserve"> kullanılmıştır.</w:t>
      </w:r>
      <w:r w:rsidR="00090D32" w:rsidRPr="00F97C61">
        <w:rPr>
          <w:color w:val="000000" w:themeColor="text1"/>
        </w:rPr>
        <w:t xml:space="preserve"> </w:t>
      </w:r>
      <w:r w:rsidR="004C22A1" w:rsidRPr="00F97C61">
        <w:rPr>
          <w:color w:val="000000" w:themeColor="text1"/>
        </w:rPr>
        <w:t>KTYÖ</w:t>
      </w:r>
      <w:r w:rsidR="000913C0" w:rsidRPr="00F97C61">
        <w:rPr>
          <w:color w:val="000000" w:themeColor="text1"/>
        </w:rPr>
        <w:t xml:space="preserve"> toplam puanı ile </w:t>
      </w:r>
      <w:r w:rsidR="00DA55A6" w:rsidRPr="00F97C61">
        <w:rPr>
          <w:color w:val="000000" w:themeColor="text1"/>
        </w:rPr>
        <w:t xml:space="preserve">ÖİBÖ alt-ölçekleri </w:t>
      </w:r>
      <w:r w:rsidR="001002CA" w:rsidRPr="00F97C61">
        <w:rPr>
          <w:color w:val="000000" w:themeColor="text1"/>
        </w:rPr>
        <w:t xml:space="preserve">olan özerk benlik (r=-,43) ve ilişkisel benlik (r=,31) </w:t>
      </w:r>
      <w:r w:rsidR="000913C0" w:rsidRPr="00F97C61">
        <w:rPr>
          <w:color w:val="000000" w:themeColor="text1"/>
        </w:rPr>
        <w:t xml:space="preserve">arasında </w:t>
      </w:r>
      <w:r w:rsidR="00DA55A6" w:rsidRPr="00F97C61">
        <w:rPr>
          <w:color w:val="000000" w:themeColor="text1"/>
        </w:rPr>
        <w:t>anlamlı</w:t>
      </w:r>
      <w:r w:rsidR="000913C0" w:rsidRPr="00F97C61">
        <w:rPr>
          <w:color w:val="000000" w:themeColor="text1"/>
        </w:rPr>
        <w:t xml:space="preserve"> ancak orta düzeyde</w:t>
      </w:r>
      <w:r w:rsidR="00DA55A6" w:rsidRPr="00F97C61">
        <w:rPr>
          <w:color w:val="000000" w:themeColor="text1"/>
        </w:rPr>
        <w:t xml:space="preserve"> </w:t>
      </w:r>
      <w:r w:rsidR="000913C0" w:rsidRPr="00F97C61">
        <w:rPr>
          <w:color w:val="000000" w:themeColor="text1"/>
        </w:rPr>
        <w:t>bir ilişki saptanmıştır.</w:t>
      </w:r>
      <w:r w:rsidR="004D2C71" w:rsidRPr="00F97C61">
        <w:rPr>
          <w:color w:val="000000" w:themeColor="text1"/>
        </w:rPr>
        <w:t xml:space="preserve"> Alt boyutlarla ise düşük düzeyde anlamlı ilişkiler </w:t>
      </w:r>
      <w:r w:rsidR="00375F1B" w:rsidRPr="00F97C61">
        <w:rPr>
          <w:color w:val="000000" w:themeColor="text1"/>
        </w:rPr>
        <w:t>olduğu gör</w:t>
      </w:r>
      <w:r w:rsidR="00330661" w:rsidRPr="00F97C61">
        <w:rPr>
          <w:color w:val="000000" w:themeColor="text1"/>
        </w:rPr>
        <w:t>ü</w:t>
      </w:r>
      <w:r w:rsidR="00375F1B" w:rsidRPr="00F97C61">
        <w:rPr>
          <w:color w:val="000000" w:themeColor="text1"/>
        </w:rPr>
        <w:t>lmüştür</w:t>
      </w:r>
      <w:r w:rsidR="004D2C71" w:rsidRPr="00F97C61">
        <w:rPr>
          <w:color w:val="000000" w:themeColor="text1"/>
        </w:rPr>
        <w:t xml:space="preserve">. Bunun nedeninin Özerk-İlişkisel Benlik </w:t>
      </w:r>
      <w:proofErr w:type="spellStart"/>
      <w:r w:rsidR="004D2C71" w:rsidRPr="00F97C61">
        <w:rPr>
          <w:color w:val="000000" w:themeColor="text1"/>
        </w:rPr>
        <w:t>Ölçeği’nin</w:t>
      </w:r>
      <w:proofErr w:type="spellEnd"/>
      <w:r w:rsidR="004D2C71" w:rsidRPr="00F97C61">
        <w:rPr>
          <w:color w:val="000000" w:themeColor="text1"/>
        </w:rPr>
        <w:t xml:space="preserve"> doğrudan telkine yatkınlığı </w:t>
      </w:r>
      <w:r w:rsidR="00375F1B" w:rsidRPr="00F97C61">
        <w:rPr>
          <w:color w:val="000000" w:themeColor="text1"/>
        </w:rPr>
        <w:t>değil</w:t>
      </w:r>
      <w:r w:rsidR="004D2C71" w:rsidRPr="00F97C61">
        <w:rPr>
          <w:color w:val="000000" w:themeColor="text1"/>
        </w:rPr>
        <w:t xml:space="preserve"> benlik kurgularını belirleyen bir ölçek olması </w:t>
      </w:r>
      <w:r w:rsidR="00375F1B" w:rsidRPr="00F97C61">
        <w:rPr>
          <w:color w:val="000000" w:themeColor="text1"/>
        </w:rPr>
        <w:t xml:space="preserve">olabilir. Ancak </w:t>
      </w:r>
      <w:proofErr w:type="spellStart"/>
      <w:r w:rsidR="00375F1B" w:rsidRPr="00F97C61">
        <w:rPr>
          <w:color w:val="000000" w:themeColor="text1"/>
        </w:rPr>
        <w:t>Türkçe’de</w:t>
      </w:r>
      <w:proofErr w:type="spellEnd"/>
      <w:r w:rsidR="00330661" w:rsidRPr="00F97C61">
        <w:rPr>
          <w:color w:val="000000" w:themeColor="text1"/>
        </w:rPr>
        <w:t xml:space="preserve"> doğrudan</w:t>
      </w:r>
      <w:r w:rsidR="00375F1B" w:rsidRPr="00F97C61">
        <w:rPr>
          <w:color w:val="000000" w:themeColor="text1"/>
        </w:rPr>
        <w:t xml:space="preserve"> yapısal telkine yatkınlığı ölçen bir ölçme aracı bulunmadığından benzer nitelikleri </w:t>
      </w:r>
      <w:r w:rsidR="00330661" w:rsidRPr="00F97C61">
        <w:rPr>
          <w:color w:val="000000" w:themeColor="text1"/>
        </w:rPr>
        <w:t>değerlendirmesi</w:t>
      </w:r>
      <w:r w:rsidR="00375F1B" w:rsidRPr="00F97C61">
        <w:rPr>
          <w:color w:val="000000" w:themeColor="text1"/>
        </w:rPr>
        <w:t xml:space="preserve"> bakımından tercih edilmiştir.</w:t>
      </w:r>
    </w:p>
    <w:p w14:paraId="78A9E61F" w14:textId="24571C25" w:rsidR="000C0BA0" w:rsidRPr="00F97C61" w:rsidRDefault="00DA55A6" w:rsidP="00330661">
      <w:pPr>
        <w:spacing w:line="360" w:lineRule="auto"/>
        <w:ind w:left="851"/>
        <w:rPr>
          <w:color w:val="000000" w:themeColor="text1"/>
        </w:rPr>
      </w:pPr>
      <w:r w:rsidRPr="00F97C61">
        <w:rPr>
          <w:color w:val="000000" w:themeColor="text1"/>
        </w:rPr>
        <w:t>Elde ettiğimiz önemli bulgu</w:t>
      </w:r>
      <w:r w:rsidR="009723C7" w:rsidRPr="00F97C61">
        <w:rPr>
          <w:color w:val="000000" w:themeColor="text1"/>
        </w:rPr>
        <w:t>lardan bir diğeri ise</w:t>
      </w:r>
      <w:r w:rsidRPr="00F97C61">
        <w:rPr>
          <w:color w:val="000000" w:themeColor="text1"/>
        </w:rPr>
        <w:t xml:space="preserve"> </w:t>
      </w:r>
      <w:bookmarkStart w:id="5" w:name="_Hlk70078306"/>
      <w:proofErr w:type="spellStart"/>
      <w:r w:rsidR="004C22A1" w:rsidRPr="00F97C61">
        <w:rPr>
          <w:color w:val="000000" w:themeColor="text1"/>
        </w:rPr>
        <w:t>KTYÖ</w:t>
      </w:r>
      <w:r w:rsidR="001002CA" w:rsidRPr="00F97C61">
        <w:rPr>
          <w:color w:val="000000" w:themeColor="text1"/>
        </w:rPr>
        <w:t>’n</w:t>
      </w:r>
      <w:r w:rsidR="004C22A1" w:rsidRPr="00F97C61">
        <w:rPr>
          <w:color w:val="000000" w:themeColor="text1"/>
        </w:rPr>
        <w:t>i</w:t>
      </w:r>
      <w:r w:rsidR="001002CA" w:rsidRPr="00F97C61">
        <w:rPr>
          <w:color w:val="000000" w:themeColor="text1"/>
        </w:rPr>
        <w:t>n</w:t>
      </w:r>
      <w:bookmarkEnd w:id="5"/>
      <w:proofErr w:type="spellEnd"/>
      <w:r w:rsidR="00C4194E" w:rsidRPr="00F97C61">
        <w:rPr>
          <w:color w:val="000000" w:themeColor="text1"/>
        </w:rPr>
        <w:t xml:space="preserve"> Türkçe formunun </w:t>
      </w:r>
      <w:r w:rsidR="00375F1B" w:rsidRPr="00F97C61">
        <w:rPr>
          <w:color w:val="000000" w:themeColor="text1"/>
        </w:rPr>
        <w:t>beş</w:t>
      </w:r>
      <w:r w:rsidR="00C4194E" w:rsidRPr="00F97C61">
        <w:rPr>
          <w:color w:val="000000" w:themeColor="text1"/>
        </w:rPr>
        <w:t xml:space="preserve"> faktörlü bir yapı </w:t>
      </w:r>
      <w:r w:rsidR="00F8305B" w:rsidRPr="00F97C61">
        <w:rPr>
          <w:color w:val="000000" w:themeColor="text1"/>
        </w:rPr>
        <w:t>göster</w:t>
      </w:r>
      <w:r w:rsidR="009723C7" w:rsidRPr="00F97C61">
        <w:rPr>
          <w:color w:val="000000" w:themeColor="text1"/>
        </w:rPr>
        <w:t>miş olmasıdır</w:t>
      </w:r>
      <w:r w:rsidR="00F8305B" w:rsidRPr="00F97C61">
        <w:rPr>
          <w:color w:val="000000" w:themeColor="text1"/>
        </w:rPr>
        <w:t xml:space="preserve">. </w:t>
      </w:r>
      <w:r w:rsidR="00C4194E" w:rsidRPr="00F97C61">
        <w:rPr>
          <w:color w:val="000000" w:themeColor="text1"/>
        </w:rPr>
        <w:t>Her ne kadar ölçeğin orijinalini</w:t>
      </w:r>
      <w:r w:rsidR="00375F1B" w:rsidRPr="00F97C61">
        <w:rPr>
          <w:color w:val="000000" w:themeColor="text1"/>
        </w:rPr>
        <w:t xml:space="preserve">n kısa formunu </w:t>
      </w:r>
      <w:r w:rsidR="00C4194E" w:rsidRPr="00F97C61">
        <w:rPr>
          <w:color w:val="000000" w:themeColor="text1"/>
        </w:rPr>
        <w:t xml:space="preserve">geliştiren araştırmacılar </w:t>
      </w:r>
      <w:proofErr w:type="spellStart"/>
      <w:r w:rsidR="004C22A1" w:rsidRPr="00F97C61">
        <w:rPr>
          <w:color w:val="000000" w:themeColor="text1"/>
        </w:rPr>
        <w:t>KTYÖ’nin</w:t>
      </w:r>
      <w:proofErr w:type="spellEnd"/>
      <w:r w:rsidR="00C4194E" w:rsidRPr="00F97C61">
        <w:rPr>
          <w:color w:val="000000" w:themeColor="text1"/>
        </w:rPr>
        <w:t xml:space="preserve"> alt-ölçekler üzerinden bir analize uygun olmadığını ve sadece genel telkine yatkınlığı değerlendirmek amacıyla kullanımının uygun olduğunu bildirseler </w:t>
      </w:r>
      <w:proofErr w:type="gramStart"/>
      <w:r w:rsidR="00C4194E" w:rsidRPr="00F97C61">
        <w:rPr>
          <w:color w:val="000000" w:themeColor="text1"/>
        </w:rPr>
        <w:t>de,</w:t>
      </w:r>
      <w:proofErr w:type="gramEnd"/>
      <w:r w:rsidR="00C4194E" w:rsidRPr="00F97C61">
        <w:rPr>
          <w:color w:val="000000" w:themeColor="text1"/>
        </w:rPr>
        <w:t xml:space="preserve"> </w:t>
      </w:r>
      <w:r w:rsidR="004C22A1" w:rsidRPr="00F97C61">
        <w:rPr>
          <w:color w:val="000000" w:themeColor="text1"/>
        </w:rPr>
        <w:t>KTYÖ</w:t>
      </w:r>
      <w:r w:rsidR="00C4194E" w:rsidRPr="00F97C61">
        <w:rPr>
          <w:color w:val="000000" w:themeColor="text1"/>
        </w:rPr>
        <w:t xml:space="preserve"> maddeleri </w:t>
      </w:r>
      <w:r w:rsidR="009723C7" w:rsidRPr="00F97C61">
        <w:rPr>
          <w:color w:val="000000" w:themeColor="text1"/>
        </w:rPr>
        <w:t xml:space="preserve">ölçeğin uzun formu olan </w:t>
      </w:r>
      <w:r w:rsidR="00C4194E" w:rsidRPr="00F97C61">
        <w:rPr>
          <w:color w:val="000000" w:themeColor="text1"/>
        </w:rPr>
        <w:t xml:space="preserve">MISS alt-ölçeklerinden seçilen maddelerden oluşmaktadır. Bu açıdan bakıldığında </w:t>
      </w:r>
      <w:proofErr w:type="spellStart"/>
      <w:r w:rsidR="00C4194E" w:rsidRPr="00F97C61">
        <w:rPr>
          <w:color w:val="000000" w:themeColor="text1"/>
        </w:rPr>
        <w:t>MISS’in</w:t>
      </w:r>
      <w:proofErr w:type="spellEnd"/>
      <w:r w:rsidR="00C4194E" w:rsidRPr="00F97C61">
        <w:rPr>
          <w:color w:val="000000" w:themeColor="text1"/>
        </w:rPr>
        <w:t xml:space="preserve"> beş </w:t>
      </w:r>
      <w:r w:rsidR="00375F1B" w:rsidRPr="00F97C61">
        <w:rPr>
          <w:color w:val="000000" w:themeColor="text1"/>
        </w:rPr>
        <w:t>faktörlü yapısının</w:t>
      </w:r>
      <w:r w:rsidR="00C4194E" w:rsidRPr="00F97C61">
        <w:rPr>
          <w:color w:val="000000" w:themeColor="text1"/>
        </w:rPr>
        <w:t xml:space="preserve"> </w:t>
      </w:r>
      <w:proofErr w:type="spellStart"/>
      <w:r w:rsidR="004C22A1" w:rsidRPr="00F97C61">
        <w:rPr>
          <w:color w:val="000000" w:themeColor="text1"/>
        </w:rPr>
        <w:t>KTYÖ’nde</w:t>
      </w:r>
      <w:proofErr w:type="spellEnd"/>
      <w:r w:rsidR="00C4194E" w:rsidRPr="00F97C61">
        <w:rPr>
          <w:color w:val="000000" w:themeColor="text1"/>
        </w:rPr>
        <w:t xml:space="preserve"> </w:t>
      </w:r>
      <w:r w:rsidR="00375F1B" w:rsidRPr="00F97C61">
        <w:rPr>
          <w:color w:val="000000" w:themeColor="text1"/>
        </w:rPr>
        <w:t>de</w:t>
      </w:r>
      <w:r w:rsidR="00C4194E" w:rsidRPr="00F97C61">
        <w:rPr>
          <w:color w:val="000000" w:themeColor="text1"/>
        </w:rPr>
        <w:t xml:space="preserve"> devam ettiği</w:t>
      </w:r>
      <w:r w:rsidR="00375F1B" w:rsidRPr="00F97C61">
        <w:rPr>
          <w:color w:val="000000" w:themeColor="text1"/>
        </w:rPr>
        <w:t xml:space="preserve"> görülmektedir. </w:t>
      </w:r>
      <w:r w:rsidR="00C4194E" w:rsidRPr="00F97C61">
        <w:rPr>
          <w:color w:val="000000" w:themeColor="text1"/>
        </w:rPr>
        <w:t xml:space="preserve">Bulgularımız, ölçeğin bu </w:t>
      </w:r>
      <w:r w:rsidR="00375F1B" w:rsidRPr="00F97C61">
        <w:rPr>
          <w:color w:val="000000" w:themeColor="text1"/>
        </w:rPr>
        <w:t>beş</w:t>
      </w:r>
      <w:r w:rsidR="00C4194E" w:rsidRPr="00F97C61">
        <w:rPr>
          <w:color w:val="000000" w:themeColor="text1"/>
        </w:rPr>
        <w:t xml:space="preserve"> faktörlü yapısının toplam </w:t>
      </w:r>
      <w:proofErr w:type="spellStart"/>
      <w:r w:rsidR="00C4194E" w:rsidRPr="00F97C61">
        <w:rPr>
          <w:color w:val="000000" w:themeColor="text1"/>
        </w:rPr>
        <w:t>varyansın</w:t>
      </w:r>
      <w:proofErr w:type="spellEnd"/>
      <w:r w:rsidR="00C4194E" w:rsidRPr="00F97C61">
        <w:rPr>
          <w:color w:val="000000" w:themeColor="text1"/>
        </w:rPr>
        <w:t xml:space="preserve"> %5</w:t>
      </w:r>
      <w:r w:rsidR="00375F1B" w:rsidRPr="00F97C61">
        <w:rPr>
          <w:color w:val="000000" w:themeColor="text1"/>
        </w:rPr>
        <w:t>2,59</w:t>
      </w:r>
      <w:r w:rsidR="00C4194E" w:rsidRPr="00F97C61">
        <w:rPr>
          <w:color w:val="000000" w:themeColor="text1"/>
        </w:rPr>
        <w:t>’</w:t>
      </w:r>
      <w:r w:rsidR="00375F1B" w:rsidRPr="00F97C61">
        <w:rPr>
          <w:color w:val="000000" w:themeColor="text1"/>
        </w:rPr>
        <w:t>unu</w:t>
      </w:r>
      <w:r w:rsidR="00C4194E" w:rsidRPr="00F97C61">
        <w:rPr>
          <w:color w:val="000000" w:themeColor="text1"/>
        </w:rPr>
        <w:t xml:space="preserve"> açıkladığını göstermektedir. </w:t>
      </w:r>
      <w:r w:rsidR="0090601D" w:rsidRPr="001A7B17">
        <w:rPr>
          <w:color w:val="000000" w:themeColor="text1"/>
          <w:highlight w:val="yellow"/>
        </w:rPr>
        <w:t>Doğrulayıcı faktör analizi sonucu ölçeğin kabul edilebilir uyum indekslerine sahip olduğu söylenebilir.</w:t>
      </w:r>
      <w:r w:rsidR="0090601D">
        <w:rPr>
          <w:color w:val="000000" w:themeColor="text1"/>
        </w:rPr>
        <w:t xml:space="preserve"> </w:t>
      </w:r>
      <w:r w:rsidR="00330661" w:rsidRPr="00F97C61">
        <w:rPr>
          <w:color w:val="000000" w:themeColor="text1"/>
        </w:rPr>
        <w:lastRenderedPageBreak/>
        <w:t>Ancak</w:t>
      </w:r>
      <w:r w:rsidR="00C4194E" w:rsidRPr="00F97C61">
        <w:rPr>
          <w:color w:val="000000" w:themeColor="text1"/>
        </w:rPr>
        <w:t xml:space="preserve"> MISS </w:t>
      </w:r>
      <w:r w:rsidR="00375F1B" w:rsidRPr="00F97C61">
        <w:rPr>
          <w:color w:val="000000" w:themeColor="text1"/>
        </w:rPr>
        <w:t>beş faktörlü yapısının</w:t>
      </w:r>
      <w:r w:rsidR="00C4194E" w:rsidRPr="00F97C61">
        <w:rPr>
          <w:color w:val="000000" w:themeColor="text1"/>
        </w:rPr>
        <w:t xml:space="preserve"> genel olarak </w:t>
      </w:r>
      <w:proofErr w:type="spellStart"/>
      <w:r w:rsidR="004C22A1" w:rsidRPr="00F97C61">
        <w:rPr>
          <w:color w:val="000000" w:themeColor="text1"/>
        </w:rPr>
        <w:t>KTYÖ</w:t>
      </w:r>
      <w:r w:rsidR="0008682A" w:rsidRPr="00F97C61">
        <w:rPr>
          <w:color w:val="000000" w:themeColor="text1"/>
        </w:rPr>
        <w:t>’</w:t>
      </w:r>
      <w:r w:rsidR="004C22A1" w:rsidRPr="00F97C61">
        <w:rPr>
          <w:color w:val="000000" w:themeColor="text1"/>
        </w:rPr>
        <w:t>nde</w:t>
      </w:r>
      <w:proofErr w:type="spellEnd"/>
      <w:r w:rsidR="00C4194E" w:rsidRPr="00F97C61">
        <w:rPr>
          <w:color w:val="000000" w:themeColor="text1"/>
        </w:rPr>
        <w:t xml:space="preserve"> d</w:t>
      </w:r>
      <w:r w:rsidR="00375F1B" w:rsidRPr="00F97C61">
        <w:rPr>
          <w:color w:val="000000" w:themeColor="text1"/>
        </w:rPr>
        <w:t>e</w:t>
      </w:r>
      <w:r w:rsidR="00C4194E" w:rsidRPr="00F97C61">
        <w:rPr>
          <w:color w:val="000000" w:themeColor="text1"/>
        </w:rPr>
        <w:t xml:space="preserve"> devam</w:t>
      </w:r>
      <w:r w:rsidR="0008682A" w:rsidRPr="00F97C61">
        <w:rPr>
          <w:color w:val="000000" w:themeColor="text1"/>
        </w:rPr>
        <w:t xml:space="preserve"> e</w:t>
      </w:r>
      <w:r w:rsidR="00C4194E" w:rsidRPr="00F97C61">
        <w:rPr>
          <w:color w:val="000000" w:themeColor="text1"/>
        </w:rPr>
        <w:t xml:space="preserve">ttiği </w:t>
      </w:r>
      <w:r w:rsidR="004B228D" w:rsidRPr="00F97C61">
        <w:rPr>
          <w:color w:val="000000" w:themeColor="text1"/>
        </w:rPr>
        <w:t>görülse</w:t>
      </w:r>
      <w:r w:rsidR="00C4194E" w:rsidRPr="00F97C61">
        <w:rPr>
          <w:color w:val="000000" w:themeColor="text1"/>
        </w:rPr>
        <w:t xml:space="preserve"> </w:t>
      </w:r>
      <w:r w:rsidR="00375F1B" w:rsidRPr="00F97C61">
        <w:rPr>
          <w:color w:val="000000" w:themeColor="text1"/>
        </w:rPr>
        <w:t xml:space="preserve">de </w:t>
      </w:r>
      <w:r w:rsidR="00330661" w:rsidRPr="00F97C61">
        <w:rPr>
          <w:color w:val="000000" w:themeColor="text1"/>
        </w:rPr>
        <w:t xml:space="preserve">ölçeğin kısa form olması </w:t>
      </w:r>
      <w:r w:rsidR="004B228D" w:rsidRPr="00F97C61">
        <w:rPr>
          <w:color w:val="000000" w:themeColor="text1"/>
        </w:rPr>
        <w:t xml:space="preserve">sebebiyle az sayıda maddeden oluşması </w:t>
      </w:r>
      <w:r w:rsidR="00330661" w:rsidRPr="00F97C61">
        <w:rPr>
          <w:color w:val="000000" w:themeColor="text1"/>
        </w:rPr>
        <w:t xml:space="preserve">ve alt boyutların bir özelliği ölçmek için yeterince madde içermemesi bakımından </w:t>
      </w:r>
      <w:r w:rsidR="00C4194E" w:rsidRPr="00F97C61">
        <w:rPr>
          <w:color w:val="000000" w:themeColor="text1"/>
        </w:rPr>
        <w:t xml:space="preserve">test geliştiricilerinin </w:t>
      </w:r>
      <w:proofErr w:type="spellStart"/>
      <w:r w:rsidR="004C22A1" w:rsidRPr="00F97C61">
        <w:rPr>
          <w:color w:val="000000" w:themeColor="text1"/>
        </w:rPr>
        <w:t>KTYÖ’nin</w:t>
      </w:r>
      <w:proofErr w:type="spellEnd"/>
      <w:r w:rsidR="00C4194E" w:rsidRPr="00F97C61">
        <w:rPr>
          <w:color w:val="000000" w:themeColor="text1"/>
        </w:rPr>
        <w:t xml:space="preserve"> alt-boyutların değil genel telkine yatkınlığın değerlendirmesinde </w:t>
      </w:r>
      <w:r w:rsidR="00813295" w:rsidRPr="00F97C61">
        <w:rPr>
          <w:color w:val="000000" w:themeColor="text1"/>
        </w:rPr>
        <w:t xml:space="preserve">toplam puanın </w:t>
      </w:r>
      <w:r w:rsidR="00C4194E" w:rsidRPr="00F97C61">
        <w:rPr>
          <w:color w:val="000000" w:themeColor="text1"/>
        </w:rPr>
        <w:t>kullanılması önerisi</w:t>
      </w:r>
      <w:r w:rsidR="00BE62A1" w:rsidRPr="00F97C61">
        <w:rPr>
          <w:color w:val="000000" w:themeColor="text1"/>
        </w:rPr>
        <w:t xml:space="preserve">nin </w:t>
      </w:r>
      <w:r w:rsidR="00BE62A1" w:rsidRPr="00F97C61">
        <w:rPr>
          <w:color w:val="000000" w:themeColor="text1"/>
        </w:rPr>
        <w:fldChar w:fldCharType="begin" w:fldLock="1"/>
      </w:r>
      <w:r w:rsidR="00BE62A1" w:rsidRPr="00F97C61">
        <w:rPr>
          <w:color w:val="000000" w:themeColor="text1"/>
        </w:rPr>
        <w:instrText>ADDIN CSL_CITATION {"citationItems":[{"id":"ITEM-1","itemData":{"author":[{"dropping-particle":"","family":"Kotov, R. I., Bellman, S. B., &amp; Watson","given":"D. B.","non-dropping-particle":"","parse-names":false,"suffix":""}],"container-title":"Stony Brook University","id":"ITEM-1","issued":{"date-parts":[["2004"]]},"title":"Multidimensional Iowa suggestibility scale (MISS)","type":"webpage"},"uris":["http://www.mendeley.com/documents/?uuid=963a7672-7cb9-462d-8a1e-d35252176fdf"]}],"mendeley":{"formattedCitation":"(Kotov, R. I., Bellman, S. B., &amp; Watson, 2004)","plainTextFormattedCitation":"(Kotov, R. I., Bellman, S. B., &amp; Watson, 2004)","previouslyFormattedCitation":"(Kotov, R. I., Bellman, S. B., &amp; Watson, 2004)"},"properties":{"noteIndex":0},"schema":"https://github.com/citation-style-language/schema/raw/master/csl-citation.json"}</w:instrText>
      </w:r>
      <w:r w:rsidR="00BE62A1" w:rsidRPr="00F97C61">
        <w:rPr>
          <w:color w:val="000000" w:themeColor="text1"/>
        </w:rPr>
        <w:fldChar w:fldCharType="separate"/>
      </w:r>
      <w:r w:rsidR="00BE62A1" w:rsidRPr="00F97C61">
        <w:rPr>
          <w:noProof/>
          <w:color w:val="000000" w:themeColor="text1"/>
        </w:rPr>
        <w:t>(Kotov, R. I., Bellman, S. B., &amp; Watson, 2004)</w:t>
      </w:r>
      <w:r w:rsidR="00BE62A1" w:rsidRPr="00F97C61">
        <w:rPr>
          <w:color w:val="000000" w:themeColor="text1"/>
        </w:rPr>
        <w:fldChar w:fldCharType="end"/>
      </w:r>
      <w:r w:rsidR="00BE62A1" w:rsidRPr="00F97C61">
        <w:rPr>
          <w:color w:val="000000" w:themeColor="text1"/>
        </w:rPr>
        <w:t xml:space="preserve"> uygun olduğu düşünülmektedir</w:t>
      </w:r>
      <w:r w:rsidR="00813295" w:rsidRPr="00F97C61">
        <w:rPr>
          <w:color w:val="000000" w:themeColor="text1"/>
        </w:rPr>
        <w:t>.</w:t>
      </w:r>
    </w:p>
    <w:p w14:paraId="5BBA4150" w14:textId="53AFEDD4" w:rsidR="00ED1D47" w:rsidRPr="00F97C61" w:rsidRDefault="00C4194E" w:rsidP="00ED1D47">
      <w:pPr>
        <w:spacing w:line="360" w:lineRule="auto"/>
        <w:ind w:left="851"/>
        <w:rPr>
          <w:color w:val="000000" w:themeColor="text1"/>
        </w:rPr>
      </w:pPr>
      <w:r w:rsidRPr="00F97C61">
        <w:rPr>
          <w:color w:val="000000" w:themeColor="text1"/>
        </w:rPr>
        <w:t xml:space="preserve">Yürütmüş olduğumuz bu çalışmanın literatüre özgül bir katkısı olacağını düşünüyoruz. </w:t>
      </w:r>
      <w:r w:rsidR="00090D32" w:rsidRPr="00F97C61">
        <w:rPr>
          <w:color w:val="000000" w:themeColor="text1"/>
        </w:rPr>
        <w:t xml:space="preserve">Her ne kadar Türkçe dilinde </w:t>
      </w:r>
      <w:proofErr w:type="spellStart"/>
      <w:r w:rsidR="00090D32" w:rsidRPr="00F97C61">
        <w:rPr>
          <w:color w:val="000000" w:themeColor="text1"/>
        </w:rPr>
        <w:t>hipnotik</w:t>
      </w:r>
      <w:proofErr w:type="spellEnd"/>
      <w:r w:rsidR="00090D32" w:rsidRPr="00F97C61">
        <w:rPr>
          <w:color w:val="000000" w:themeColor="text1"/>
        </w:rPr>
        <w:t xml:space="preserve"> telkine yatkınlığı ölçen bir ölçek geliştirilmiş olsa da y</w:t>
      </w:r>
      <w:r w:rsidRPr="00F97C61">
        <w:rPr>
          <w:color w:val="000000" w:themeColor="text1"/>
        </w:rPr>
        <w:t xml:space="preserve">apısal telkine yatkınlığı değerlendiren Türkçe dilinde bir </w:t>
      </w:r>
      <w:r w:rsidR="000722CA" w:rsidRPr="00F97C61">
        <w:rPr>
          <w:color w:val="000000" w:themeColor="text1"/>
        </w:rPr>
        <w:t xml:space="preserve">ölçek olmaması, bu alandaki bilimsel araştırmaların önünde bir engel olarak </w:t>
      </w:r>
      <w:r w:rsidR="00090D32" w:rsidRPr="00F97C61">
        <w:rPr>
          <w:color w:val="000000" w:themeColor="text1"/>
        </w:rPr>
        <w:t>görülebilir</w:t>
      </w:r>
      <w:r w:rsidR="00D87AA6" w:rsidRPr="00F97C61">
        <w:rPr>
          <w:color w:val="000000" w:themeColor="text1"/>
        </w:rPr>
        <w:t xml:space="preserve"> </w:t>
      </w:r>
      <w:r w:rsidR="00090D32" w:rsidRPr="00F97C61">
        <w:rPr>
          <w:color w:val="000000" w:themeColor="text1"/>
        </w:rPr>
        <w:fldChar w:fldCharType="begin" w:fldLock="1"/>
      </w:r>
      <w:r w:rsidR="00A95345" w:rsidRPr="00F97C61">
        <w:rPr>
          <w:color w:val="000000" w:themeColor="text1"/>
        </w:rPr>
        <w:instrText>ADDIN CSL_CITATION {"citationItems":[{"id":"ITEM-1","itemData":{"ISSN":"00309982","PMID":"31511719","abstract":"OBJECTIVE: To construct a scale for testing hypnotic suggestibility for Turkish-speaking adults that may be quick and convenient, and to test its reliability and validity. METHODS: The study was conducted at the hypnotherapy outpatient clinics of Atatürk University Acupuncture and Complementary Medicine Application and Research Centre. Erzurum, Turkey, from June to August 2017, and comprised aged 18-60 years. As the first step in the preparation of the scale, a panel of 15 experts was founded. The draft was pilot-tested. Incomprehensible suggestion templates in the pilot study were abolished, and the templates were reduced to four which were put to test as the Tastan Suggestibility Scale. Stanford Hypnotic Clinic Scale was also used on the same subjects, and the results were analysed using SPSS. . RESULTS: Of the 61 subjects, 38(62.3%) were females and 23(37.7%) were males. The overall mean age was 34.21±9.9 years. Cronbach alpha internal reliability coefficient of the scale was calculated to be 0.53. Correlation between the Tastan Suggestibility Scale and Stanford Hypnotic Clinic Scale total scores was high (p&lt;0.001). Mean duration of the application of the scale was 5.0±1.2 minutes. CONCLUSIONS: Tastan Suggestibility Scale was found to be a new, reliable, and rapidly applicable scale.","author":[{"dropping-particle":"","family":"Tastan","given":"Kenan","non-dropping-particle":"","parse-names":false,"suffix":""},{"dropping-particle":"","family":"Demiroz","given":"Halime Pinar","non-dropping-particle":"","parse-names":false,"suffix":""},{"dropping-particle":"","family":"Oztekin","given":"Coskun","non-dropping-particle":"","parse-names":false,"suffix":""},{"dropping-particle":"","family":"Sincan","given":"Suat","non-dropping-particle":"","parse-names":false,"suffix":""}],"container-title":"JPMA. The Journal of the Pakistan Medical Association","id":"ITEM-1","issue":"9","issued":{"date-parts":[["2019","9","1"]]},"page":"1236-1330","publisher":"NLM (Medline)","title":"Development and Validation of a Turkish Hypnotic Suggestibility Scale","type":"article-journal","volume":"69"},"uris":["http://www.mendeley.com/documents/?uuid=89e24f4a-08a2-3457-b24d-5d0ddefc0d7b"]}],"mendeley":{"formattedCitation":"(Tastan et al., 2019)","plainTextFormattedCitation":"(Tastan et al., 2019)","previouslyFormattedCitation":"(Tastan et al., 2019)"},"properties":{"noteIndex":0},"schema":"https://github.com/citation-style-language/schema/raw/master/csl-citation.json"}</w:instrText>
      </w:r>
      <w:r w:rsidR="00090D32" w:rsidRPr="00F97C61">
        <w:rPr>
          <w:color w:val="000000" w:themeColor="text1"/>
        </w:rPr>
        <w:fldChar w:fldCharType="separate"/>
      </w:r>
      <w:r w:rsidR="00702DBA" w:rsidRPr="00F97C61">
        <w:rPr>
          <w:noProof/>
          <w:color w:val="000000" w:themeColor="text1"/>
        </w:rPr>
        <w:t>(Tastan et al., 2019)</w:t>
      </w:r>
      <w:r w:rsidR="00090D32" w:rsidRPr="00F97C61">
        <w:rPr>
          <w:color w:val="000000" w:themeColor="text1"/>
        </w:rPr>
        <w:fldChar w:fldCharType="end"/>
      </w:r>
      <w:r w:rsidR="000722CA" w:rsidRPr="00F97C61">
        <w:rPr>
          <w:color w:val="000000" w:themeColor="text1"/>
        </w:rPr>
        <w:t>.</w:t>
      </w:r>
      <w:r w:rsidR="007D408A" w:rsidRPr="00F97C61">
        <w:rPr>
          <w:color w:val="000000" w:themeColor="text1"/>
        </w:rPr>
        <w:t xml:space="preserve"> </w:t>
      </w:r>
      <w:proofErr w:type="gramStart"/>
      <w:r w:rsidR="007D408A" w:rsidRPr="00F97C61">
        <w:rPr>
          <w:color w:val="000000" w:themeColor="text1"/>
        </w:rPr>
        <w:t>Benzer  şekilde</w:t>
      </w:r>
      <w:proofErr w:type="gramEnd"/>
      <w:r w:rsidR="007D408A" w:rsidRPr="00F97C61">
        <w:rPr>
          <w:color w:val="000000" w:themeColor="text1"/>
        </w:rPr>
        <w:t xml:space="preserve"> Türkçe diline çevrilen </w:t>
      </w:r>
      <w:r w:rsidR="007D408A" w:rsidRPr="00F97C61">
        <w:rPr>
          <w:i/>
          <w:iCs/>
          <w:color w:val="000000" w:themeColor="text1"/>
        </w:rPr>
        <w:t xml:space="preserve">Stanford </w:t>
      </w:r>
      <w:proofErr w:type="spellStart"/>
      <w:r w:rsidR="007D408A" w:rsidRPr="00F97C61">
        <w:rPr>
          <w:i/>
          <w:iCs/>
          <w:color w:val="000000" w:themeColor="text1"/>
        </w:rPr>
        <w:t>Hypnotic</w:t>
      </w:r>
      <w:proofErr w:type="spellEnd"/>
      <w:r w:rsidR="007D408A" w:rsidRPr="00F97C61">
        <w:rPr>
          <w:i/>
          <w:iCs/>
          <w:color w:val="000000" w:themeColor="text1"/>
        </w:rPr>
        <w:t xml:space="preserve"> </w:t>
      </w:r>
      <w:proofErr w:type="spellStart"/>
      <w:r w:rsidR="007D408A" w:rsidRPr="00F97C61">
        <w:rPr>
          <w:i/>
          <w:iCs/>
          <w:color w:val="000000" w:themeColor="text1"/>
        </w:rPr>
        <w:t>Clinical</w:t>
      </w:r>
      <w:proofErr w:type="spellEnd"/>
      <w:r w:rsidR="007D408A" w:rsidRPr="00F97C61">
        <w:rPr>
          <w:i/>
          <w:iCs/>
          <w:color w:val="000000" w:themeColor="text1"/>
        </w:rPr>
        <w:t xml:space="preserve"> </w:t>
      </w:r>
      <w:proofErr w:type="spellStart"/>
      <w:r w:rsidR="007D408A" w:rsidRPr="00F97C61">
        <w:rPr>
          <w:i/>
          <w:iCs/>
          <w:color w:val="000000" w:themeColor="text1"/>
        </w:rPr>
        <w:t>Scale</w:t>
      </w:r>
      <w:proofErr w:type="spellEnd"/>
      <w:r w:rsidR="007D408A" w:rsidRPr="00F97C61">
        <w:rPr>
          <w:color w:val="000000" w:themeColor="text1"/>
        </w:rPr>
        <w:t xml:space="preserve"> ve </w:t>
      </w:r>
      <w:proofErr w:type="spellStart"/>
      <w:r w:rsidR="007D408A" w:rsidRPr="00F97C61">
        <w:rPr>
          <w:i/>
          <w:iCs/>
          <w:color w:val="000000" w:themeColor="text1"/>
        </w:rPr>
        <w:t>Gudjonsson</w:t>
      </w:r>
      <w:proofErr w:type="spellEnd"/>
      <w:r w:rsidR="007D408A" w:rsidRPr="00F97C61">
        <w:rPr>
          <w:i/>
          <w:iCs/>
          <w:color w:val="000000" w:themeColor="text1"/>
        </w:rPr>
        <w:t xml:space="preserve"> </w:t>
      </w:r>
      <w:proofErr w:type="spellStart"/>
      <w:r w:rsidR="007D408A" w:rsidRPr="00F97C61">
        <w:rPr>
          <w:i/>
          <w:iCs/>
          <w:color w:val="000000" w:themeColor="text1"/>
        </w:rPr>
        <w:t>Suggestibility</w:t>
      </w:r>
      <w:proofErr w:type="spellEnd"/>
      <w:r w:rsidR="007D408A" w:rsidRPr="00F97C61">
        <w:rPr>
          <w:i/>
          <w:iCs/>
          <w:color w:val="000000" w:themeColor="text1"/>
        </w:rPr>
        <w:t xml:space="preserve"> </w:t>
      </w:r>
      <w:proofErr w:type="spellStart"/>
      <w:r w:rsidR="007D408A" w:rsidRPr="00F97C61">
        <w:rPr>
          <w:i/>
          <w:iCs/>
          <w:color w:val="000000" w:themeColor="text1"/>
        </w:rPr>
        <w:t>Scale</w:t>
      </w:r>
      <w:proofErr w:type="spellEnd"/>
      <w:r w:rsidR="007D408A" w:rsidRPr="00F97C61">
        <w:rPr>
          <w:i/>
          <w:iCs/>
          <w:color w:val="000000" w:themeColor="text1"/>
        </w:rPr>
        <w:t xml:space="preserve"> </w:t>
      </w:r>
      <w:r w:rsidR="007D408A" w:rsidRPr="00F97C61">
        <w:rPr>
          <w:color w:val="000000" w:themeColor="text1"/>
        </w:rPr>
        <w:t>ölçeklerinin de kullanımı nispeten sınırlı olarak kalmıştır.</w:t>
      </w:r>
      <w:r w:rsidR="000722CA" w:rsidRPr="00F97C61">
        <w:rPr>
          <w:color w:val="000000" w:themeColor="text1"/>
        </w:rPr>
        <w:t xml:space="preserve"> Bu nedenle </w:t>
      </w:r>
      <w:proofErr w:type="spellStart"/>
      <w:r w:rsidR="004C22A1" w:rsidRPr="00F97C61">
        <w:rPr>
          <w:color w:val="000000" w:themeColor="text1"/>
        </w:rPr>
        <w:t>KTYÖ’nin</w:t>
      </w:r>
      <w:proofErr w:type="spellEnd"/>
      <w:r w:rsidR="000722CA" w:rsidRPr="00F97C61">
        <w:rPr>
          <w:color w:val="000000" w:themeColor="text1"/>
        </w:rPr>
        <w:t xml:space="preserve"> Türkçe dilinde kullanımı</w:t>
      </w:r>
      <w:r w:rsidR="0008682A" w:rsidRPr="00F97C61">
        <w:rPr>
          <w:color w:val="000000" w:themeColor="text1"/>
        </w:rPr>
        <w:t>nın</w:t>
      </w:r>
      <w:r w:rsidR="000722CA" w:rsidRPr="00F97C61">
        <w:rPr>
          <w:color w:val="000000" w:themeColor="text1"/>
        </w:rPr>
        <w:t>, farklı klinik ve klinik dışı çalışma konularının geliştirilmesin</w:t>
      </w:r>
      <w:r w:rsidR="0008682A" w:rsidRPr="00F97C61">
        <w:rPr>
          <w:color w:val="000000" w:themeColor="text1"/>
        </w:rPr>
        <w:t>i</w:t>
      </w:r>
      <w:r w:rsidR="000722CA" w:rsidRPr="00F97C61">
        <w:rPr>
          <w:color w:val="000000" w:themeColor="text1"/>
        </w:rPr>
        <w:t xml:space="preserve"> </w:t>
      </w:r>
      <w:r w:rsidR="0008682A" w:rsidRPr="00F97C61">
        <w:rPr>
          <w:color w:val="000000" w:themeColor="text1"/>
        </w:rPr>
        <w:t>sağlayabileceği düşünülmektedir.</w:t>
      </w:r>
      <w:r w:rsidR="000722CA" w:rsidRPr="00F97C61">
        <w:rPr>
          <w:color w:val="000000" w:themeColor="text1"/>
        </w:rPr>
        <w:t xml:space="preserve"> </w:t>
      </w:r>
    </w:p>
    <w:p w14:paraId="5D245F20" w14:textId="5801C1E7" w:rsidR="0008682A" w:rsidRPr="00F97C61" w:rsidRDefault="009723C7" w:rsidP="00D87AA6">
      <w:pPr>
        <w:spacing w:line="360" w:lineRule="auto"/>
        <w:ind w:left="851"/>
        <w:rPr>
          <w:color w:val="000000" w:themeColor="text1"/>
        </w:rPr>
      </w:pPr>
      <w:r w:rsidRPr="00F97C61">
        <w:rPr>
          <w:color w:val="000000" w:themeColor="text1"/>
        </w:rPr>
        <w:t>F</w:t>
      </w:r>
      <w:r w:rsidR="000722CA" w:rsidRPr="00F97C61">
        <w:rPr>
          <w:color w:val="000000" w:themeColor="text1"/>
        </w:rPr>
        <w:t>arklı dillerde KTYÖ kullanılarak yapılan çalışmalar göstermektedir ki yapısal telkine yatkınlık madde kullanım bozuklukları ve depresyon gibi farklı pek çok psikopatolojide kritik bir kavram olarak öne çıkmaktadır</w:t>
      </w:r>
      <w:r w:rsidR="00090D32" w:rsidRPr="00F97C61">
        <w:rPr>
          <w:color w:val="000000" w:themeColor="text1"/>
        </w:rPr>
        <w:t xml:space="preserve"> </w:t>
      </w:r>
      <w:r w:rsidR="00090D32" w:rsidRPr="00F97C61">
        <w:rPr>
          <w:color w:val="000000" w:themeColor="text1"/>
        </w:rPr>
        <w:fldChar w:fldCharType="begin" w:fldLock="1"/>
      </w:r>
      <w:r w:rsidR="00A95345" w:rsidRPr="00F97C61">
        <w:rPr>
          <w:color w:val="000000" w:themeColor="text1"/>
        </w:rPr>
        <w:instrText>ADDIN CSL_CITATION {"citationItems":[{"id":"ITEM-1","itemData":{"DOI":"10.3389/fpsyg.2017.00308","ISSN":"1664-1078","abstract":"Several studies have explored the predictability of placebo and nocebo individual responses by investigating personality factors and expectations of pain decreases and increases. Psychological factors such as optimism, suggestibility, empathy and neuroticism have been linked to placebo effects, while pessimism, anxiety and catastrophizing have been associated to nocebo effects. We aimed to investigate the interplay between psychological factors, expectations of low and high pain and placebo hypoalgesia and nocebo hyperalgesia. We studied 46 healthy participants using a well-validated conditioning paradigm with contact heat thermal stimulations. Visual cues were presented to alert participants about the level of intensity of an upcoming thermal pain. We delivered high, medium and low levels of pain associated with red, yellow and green cues, respectively, during the conditioning phase. During the testing phase, the level of painful stimulations was surreptitiously set at the medium control level with all the three cues to measure placebo and nocebo effects. We found both robust placebo hypolagesic and nocebo hyperalgesic responses that were highly correlated with expectancy of low and high pain. Simple linear regression analyses showed that placebo responses were negatively correlated with anxiety severity and different aspects of fear of pain (e.g., medical pain, severe pain). Nocebo responses were positively correlated with anxiety sensitivity and physiological suggestibility with a trend toward catastrophizing. Step-wise regression analyses indicated that an aggregate score of motivation (value/utility and pressure/tense subscales) and suggestibility (physiological reactivity and persuadability subscales), accounted for the 51% of the variance in the placebo responsiveness. When considered together, anxiety severity, NEO openness-extraversion and depression accounted for the 49.1% of the variance of the nocebo responses. Psychological factors per se did not influence expectations. In fact, mediation analyses including expectations, personality factors and placebo and nocebo responses, revealed that expectations were not influenced by personality factors. These findings highlight the potential advantage of considering batteries of personality factors and measurements of expectation in predicting placebo and nocebo effects related to experimental acute pain.","author":[{"dropping-particle":"","family":"Corsi","given":"Nicole","non-dropping-particle":"","parse-names":false,"suffix":""},{"dropping-particle":"","family":"Colloca","given":"Luana","non-dropping-particle":"","parse-names":false,"suffix":""}],"container-title":"Frontiers in Psychology","id":"ITEM-1","issue":"MAR","issued":{"date-parts":[["2017","3","6"]]},"page":"308","publisher":"Frontiers Research Foundation","title":"Placebo and Nocebo Effects: The Advantage of Measuring Expectations and Psychological Factors","type":"article-journal","volume":"8"},"uris":["http://www.mendeley.com/documents/?uuid=3f9917af-d4e0-32b8-a3b3-c8639e1bc174"]},{"id":"ITEM-2","itemData":{"DOI":"10.1016/j.jad.2015.06.028","ISSN":"15732517","PMID":"26142688","abstract":"Background: The growing awareness that so many do not respond adequately to antidepressant (AD) pharmacotherapy has sparked research seeking to characterize those who do. While the pharmacological mechanisms of AD treatment have been extensively evaluated, much remains unknown about the placebo component of the response to medication. This study examined the association between suggestibility levels and response to ADs amongst depressed patients. Methods: Twenty unipolar depression outpatients, recruited before starting AD monotherapy, received clear, standardized instructions that the therapeutic effects of AD, though not side effects, would require 2-4 weeks. At baseline (T1), 1 week (T2), and 1 month (T3), participants were evaluated for depressive symptoms, using the Hamilton Rating Scale for Depression-17 items (HAM-D); for anxiety by the Hamilton Rating Scale for Anxiety (HAM-A); for side effects by the Antidepressant Side Effect Checklist (ASEC); and for suggestibility, using the Multidimensional Iowa Suggestibility Scale (MISS). Results: High levels of baseline suggestibility were associated with less improvement in depression level and more side-effects during the first week. In accordance with our hypothesis the more suggestible patients improved more between T2 and T3. No significant correlations were found between baseline suggestibility levels and change in anxiety. Limitations: Small sample size and a self-report questionnaire assessing suggestibility were limitations. Conclusion: This study offers a potentially new and clinically useful approach to understanding and predicting who will respond to AD treatment. Suggestibility seems to play a role, presumably by shaping expectation, in response to AD treatment. We hope that this avenue will be further explored.","author":[{"dropping-particle":"","family":"Nitzan","given":"Uri","non-dropping-particle":"","parse-names":false,"suffix":""},{"dropping-particle":"","family":"Chalamish","given":"Yossi","non-dropping-particle":"","parse-names":false,"suffix":""},{"dropping-particle":"","family":"Krieger","given":"Israel","non-dropping-particle":"","parse-names":false,"suffix":""},{"dropping-particle":"","family":"Erez","given":"Hany Burstein","non-dropping-particle":"","parse-names":false,"suffix":""},{"dropping-particle":"","family":"Braw","given":"Yoram","non-dropping-particle":"","parse-names":false,"suffix":""},{"dropping-particle":"","family":"Lichtenberg","given":"Pesach","non-dropping-particle":"","parse-names":false,"suffix":""}],"container-title":"Journal of Affective Disorders","id":"ITEM-2","issued":{"date-parts":[["2015","7","6"]]},"page":"8-11","publisher":"Elsevier","title":"Suggestibility as a predictor of response to antidepressants: A preliminary prospective trial","type":"article-journal","volume":"185"},"uris":["http://www.mendeley.com/documents/?uuid=015d1724-4d5d-3fc6-99e9-fbf33bc8a8b4"]},{"id":"ITEM-3","itemData":{"DOI":"10.1017/cts.2020.438","ISSN":"2059-8661","abstract":" OBJECTIVES/GOALS: The purpose of this study was to investigate how suggestibility and social susceptibility relate to alcohol use in young adult non-dependent alcohol users, and the role of trait anxiety in this relationship. We hypothesized that greater trait anxiety would be associated with higher levels of alcohol misuse, and this would be mediated by suggestibility. METHODS/STUDY POPULATION: Study participants enrolled in the NIAAA screening and assessment protocol completed questionnaires on suggestibility, anxiety, and alcohol use. The Multidimensional Iowa Suggestibility Scale (MISS) is a 95-question self-report assessment of suggestibility. Trait anxiety is assessed with the State Trait Anxiety Inventory-Trait (STAI-T). Alcohol measures included the Alcohol Use Disorder Identification Test (AUDIT). Structured Clinical Interviews for DSM-IV or DSM-5 disorders were conducted, and non-dependent participants (N = 113) were considered. A median split was conducted (median age = 35.1 years), with the focus of this study on the younger individuals (N = 55). RESULTS/ANTICIPATED RESULTS: Initial analyses showed that suggestibility, alcohol misuse, and trait anxiety all had significant positive correlations with one another. To better understand the relationship of peer influence, specifically, with drinking and anxiety, MISS subscale of Peer Conformity was analyzed. MISS total score and Peer Conformity were positively correlated with AUDIT Total as well as STAI-T Score. STAI-T Score was additionally positively correlated with AUDIT Total (all p 2 = 0.222). We also looked at Peer Conformity in place of MISS Total (R 2 = 0.213). In both models, only suggestibility measures were significant predictors of harmful alcohol use (p&lt;0.01). DISCUSSION/SIGNIFICANCE OF IMPACT: In young social drinkers, there were significant positive associations between suggestibility, risky alcohol use, and trait anxiety. These results suggest that suggestibility may be a modifiable risk factor for risky alcohol consumption. Future directions include using mediation models to explore the associations between suggestibility, anxiety, and alcohol misuse. ","author":[{"dropping-particle":"","family":"Cowand","given":"Alexandra","non-dropping-particle":"","parse-names":false,"suffix":""},{"dropping-particle":"","family":"Schwandt","given":"Melanie","non-dropping-particle":"","parse-names":false,"suffix":""},{"dropping-particle":"","family":"Schneider","given":"Alyssa","non-dropping-particle":"","parse-names":false,"suffix":""},{"dropping-particle":"","family":"Gilman","given":"Jodi M.","non-dropping-particle":"","parse-names":false,"suffix":""},{"dropping-particle":"","family":"Diazgranados","given":"Nancy","non-dropping-particle":"","parse-names":false,"suffix":""},{"dropping-particle":"","family":"Ramchandani","given":"Vijay A.","non-dropping-particle":"","parse-names":false,"suffix":""},{"dropping-particle":"","family":"Stangl","given":"Bethany L.","non-dropping-particle":"","parse-names":false,"suffix":""}],"container-title":"Journal of Clinical and Translational Science","id":"ITEM-3","issue":"s1","issued":{"date-parts":[["2020","6"]]},"page":"149-149","publisher":"Cambridge University Press (CUP)","title":"4191 The Role of Suggestibility and Trait Anxiety in Young Adult Alcohol Use","type":"article-journal","volume":"4"},"uris":["http://www.mendeley.com/documents/?uuid=45412f58-8e3e-3f65-831f-f17e80dbf5f8"]}],"mendeley":{"formattedCitation":"(Corsi &amp; Colloca, 2017; Cowand et al., 2020; Nitzan et al., 2015)","plainTextFormattedCitation":"(Corsi &amp; Colloca, 2017; Cowand et al., 2020; Nitzan et al., 2015)","previouslyFormattedCitation":"(Corsi &amp; Colloca, 2017; Cowand et al., 2020; Nitzan et al., 2015)"},"properties":{"noteIndex":0},"schema":"https://github.com/citation-style-language/schema/raw/master/csl-citation.json"}</w:instrText>
      </w:r>
      <w:r w:rsidR="00090D32" w:rsidRPr="00F97C61">
        <w:rPr>
          <w:color w:val="000000" w:themeColor="text1"/>
        </w:rPr>
        <w:fldChar w:fldCharType="separate"/>
      </w:r>
      <w:r w:rsidR="00702DBA" w:rsidRPr="00F97C61">
        <w:rPr>
          <w:noProof/>
          <w:color w:val="000000" w:themeColor="text1"/>
        </w:rPr>
        <w:t>(Corsi &amp; Colloca, 2017; Cowand et al., 2020; Nitzan et al., 2015)</w:t>
      </w:r>
      <w:r w:rsidR="00090D32" w:rsidRPr="00F97C61">
        <w:rPr>
          <w:color w:val="000000" w:themeColor="text1"/>
        </w:rPr>
        <w:fldChar w:fldCharType="end"/>
      </w:r>
      <w:r w:rsidR="000722CA" w:rsidRPr="00F97C61">
        <w:rPr>
          <w:color w:val="000000" w:themeColor="text1"/>
        </w:rPr>
        <w:t xml:space="preserve">. </w:t>
      </w:r>
      <w:r w:rsidR="005A75F3" w:rsidRPr="00F97C61">
        <w:rPr>
          <w:color w:val="000000" w:themeColor="text1"/>
        </w:rPr>
        <w:t>Y</w:t>
      </w:r>
      <w:r w:rsidR="000722CA" w:rsidRPr="00F97C61">
        <w:rPr>
          <w:color w:val="000000" w:themeColor="text1"/>
        </w:rPr>
        <w:t>apısal telkine yatkınlığın klinik dışı riskli davranışlar, yeme davranışı</w:t>
      </w:r>
      <w:r w:rsidRPr="00F97C61">
        <w:rPr>
          <w:color w:val="000000" w:themeColor="text1"/>
        </w:rPr>
        <w:t>, alkol kullanımı</w:t>
      </w:r>
      <w:r w:rsidR="000722CA" w:rsidRPr="00F97C61">
        <w:rPr>
          <w:color w:val="000000" w:themeColor="text1"/>
        </w:rPr>
        <w:t xml:space="preserve"> veya tüketici alışkanlıkları gibi</w:t>
      </w:r>
      <w:r w:rsidRPr="00F97C61">
        <w:rPr>
          <w:color w:val="000000" w:themeColor="text1"/>
        </w:rPr>
        <w:t xml:space="preserve"> kavramlarla da</w:t>
      </w:r>
      <w:r w:rsidR="000722CA" w:rsidRPr="00F97C61">
        <w:rPr>
          <w:color w:val="000000" w:themeColor="text1"/>
        </w:rPr>
        <w:t xml:space="preserve"> yakından ilişkisi </w:t>
      </w:r>
      <w:r w:rsidR="005A75F3" w:rsidRPr="00F97C61">
        <w:rPr>
          <w:color w:val="000000" w:themeColor="text1"/>
        </w:rPr>
        <w:t xml:space="preserve">olduğu bilinmektedir </w:t>
      </w:r>
      <w:r w:rsidR="00090D32" w:rsidRPr="00F97C61">
        <w:rPr>
          <w:color w:val="000000" w:themeColor="text1"/>
        </w:rPr>
        <w:fldChar w:fldCharType="begin" w:fldLock="1"/>
      </w:r>
      <w:r w:rsidR="00A95345" w:rsidRPr="00F97C61">
        <w:rPr>
          <w:color w:val="000000" w:themeColor="text1"/>
        </w:rPr>
        <w:instrText>ADDIN CSL_CITATION {"citationItems":[{"id":"ITEM-1","itemData":{"DOI":"10.1016/j.eatbeh.2020.101380","ISSN":"18737358","PMID":"32193130","abstract":"Differences in trait suggestibility among those with obesity may help explain differential responses to weight-loss interventions. Ubiquitous advertising of unhealthy foods, weight-loss products that are not evidence-based, and myths regarding weight loss could be particularly sabotaging in individuals with high levels of suggestibility, with or at risk of developing obesity. This study explored relationships between suggestibility, body mass index (BMI), and self-reported eating-related behaviors that vary among those with obesity. A sample of ethnically diverse adults (N = 73) with a BMI ≥25 completed the Short Suggestibility Scale (SSS), Palatable Eating Motives Scale (PEMS), Binge Eating Scale (BES), Dutch Eating Behavior Questionnaire-Restraint (DEBQ-R), and Barratt Impulsiveness Scale (BIS). Impulsiveness was controlled in analyses due to its strong association with suggestibility. Analyses revealed that BMI was not related to SSS scores, consistent with studies using hypnotic-suggestibility scales. However, SSS scores were positively associated with eating caloric food more frequently for Reward, Social, and Conformity motives, and with greater actual dieting behavior, and binge eating. Suggestibility was not related to eating for Coping motives or effort to diet. If supported by future replications, knowledge of these associations could potentially help inform and tailor weight-loss interventions to protect those that may be most susceptible to adopting invalid messages and products.","author":[{"dropping-particle":"","family":"Ray","given":"Mary Katherine","non-dropping-particle":"","parse-names":false,"suffix":""},{"dropping-particle":"","family":"Zachmann","given":"Ashley E.","non-dropping-particle":"","parse-names":false,"suffix":""},{"dropping-particle":"V.","family":"Caudill","given":"Caroline","non-dropping-particle":"","parse-names":false,"suffix":""},{"dropping-particle":"","family":"Boggiano","given":"Mary M.","non-dropping-particle":"","parse-names":false,"suffix":""}],"container-title":"Eating Behaviors","id":"ITEM-1","issued":{"date-parts":[["2020","4","1"]]},"page":"101380","publisher":"Elsevier Ltd","title":"Relationship between trait suggestibility and eating-related behaviors in overweight and obesity","type":"article-journal","volume":"37"},"uris":["http://www.mendeley.com/documents/?uuid=e8a7f655-d790-370b-bd9d-a2ec86ea7056"]},{"id":"ITEM-2","itemData":{"DOI":"10.2466/01.18.PR0.113x11z0","ISSN":"0033-2941","abstract":"&lt;p&gt;The authors hypothesize a concept, Consumer Hypnotic-Like Suggestibility (CHLS), defined as an altered state of consciousness, as a state causing a tendency to respond positively to messages aimed at inducing consumers to make unplanned purchases. This study aims to investigate the associations of CHLS with interpersonal variables and compulsive purchasing—a frequent and uncontrollable preoccupation with buying or impulses to buy. A study was conducted on a sample of 232 subjects ( n = 111 men; M age = 41 yr.), through the administration of a questionnaire, which measured: CHLS, compulsive purchasing, consumer susceptibility to interpersonal influence (the necessity to enhance one's image in the opinion of others through the consumption of products), and consumer atmospherics, i.e., environmental stimuli known to influence purchasing decisions. Modeling and mediation analyses suggested that internal and external drivers—Consumer Susceptibility to Interpersonal Influence and atmospherics—are positively related to CHLS which affects compulsive purchasing.&lt;/p&gt;","author":[{"dropping-particle":"","family":"Prete","given":"M. Irene","non-dropping-particle":"","parse-names":false,"suffix":""},{"dropping-particle":"","family":"Guido","given":"Gianluigi","non-dropping-particle":"","parse-names":false,"suffix":""},{"dropping-particle":"","family":"Pichierri","given":"Marco","non-dropping-particle":"","parse-names":false,"suffix":""}],"container-title":"Psychological Reports","id":"ITEM-2","issue":"1","issued":{"date-parts":[["2013","8","1"]]},"page":"162-174","publisher":"SAGE PublicationsSage CA: Los Angeles, CA","title":"Consumer Hypnotic-Like Suggestibility: Possible Mechanism in Compulsive Purchasing","type":"article-journal","volume":"113"},"uris":["http://www.mendeley.com/documents/?uuid=55c4dce0-f1e6-3ccd-ae4b-1facb74ab102"]}],"mendeley":{"formattedCitation":"(Prete et al., 2013; Ray et al., 2020)","plainTextFormattedCitation":"(Prete et al., 2013; Ray et al., 2020)","previouslyFormattedCitation":"(Prete et al., 2013; Ray et al., 2020)"},"properties":{"noteIndex":0},"schema":"https://github.com/citation-style-language/schema/raw/master/csl-citation.json"}</w:instrText>
      </w:r>
      <w:r w:rsidR="00090D32" w:rsidRPr="00F97C61">
        <w:rPr>
          <w:color w:val="000000" w:themeColor="text1"/>
        </w:rPr>
        <w:fldChar w:fldCharType="separate"/>
      </w:r>
      <w:r w:rsidR="00702DBA" w:rsidRPr="00F97C61">
        <w:rPr>
          <w:noProof/>
          <w:color w:val="000000" w:themeColor="text1"/>
        </w:rPr>
        <w:t>(Prete et al., 2013; Ray et al., 2020)</w:t>
      </w:r>
      <w:r w:rsidR="00090D32" w:rsidRPr="00F97C61">
        <w:rPr>
          <w:color w:val="000000" w:themeColor="text1"/>
        </w:rPr>
        <w:fldChar w:fldCharType="end"/>
      </w:r>
      <w:r w:rsidR="000722CA" w:rsidRPr="00F97C61">
        <w:rPr>
          <w:color w:val="000000" w:themeColor="text1"/>
        </w:rPr>
        <w:t xml:space="preserve">. </w:t>
      </w:r>
    </w:p>
    <w:p w14:paraId="78940AA2" w14:textId="32954EAB" w:rsidR="00DA1A4C" w:rsidRPr="00F97C61" w:rsidRDefault="00DA1A4C" w:rsidP="002917F4">
      <w:pPr>
        <w:spacing w:line="360" w:lineRule="auto"/>
        <w:ind w:left="851"/>
        <w:rPr>
          <w:color w:val="000000" w:themeColor="text1"/>
        </w:rPr>
      </w:pPr>
      <w:r w:rsidRPr="00F97C61">
        <w:rPr>
          <w:color w:val="000000" w:themeColor="text1"/>
        </w:rPr>
        <w:t>KTYÖ</w:t>
      </w:r>
      <w:r w:rsidR="006D5CCE" w:rsidRPr="00F97C61">
        <w:rPr>
          <w:color w:val="000000" w:themeColor="text1"/>
        </w:rPr>
        <w:t>, klinik örneklemin yanı sıra</w:t>
      </w:r>
      <w:r w:rsidR="00ED1D47" w:rsidRPr="00F97C61">
        <w:rPr>
          <w:color w:val="000000" w:themeColor="text1"/>
        </w:rPr>
        <w:t xml:space="preserve"> </w:t>
      </w:r>
      <w:r w:rsidRPr="00F97C61">
        <w:rPr>
          <w:color w:val="000000" w:themeColor="text1"/>
        </w:rPr>
        <w:t xml:space="preserve">ergenler ve </w:t>
      </w:r>
      <w:r w:rsidR="00ED1D47" w:rsidRPr="00F97C61">
        <w:rPr>
          <w:color w:val="000000" w:themeColor="text1"/>
        </w:rPr>
        <w:t>yetişkinlik dönemi</w:t>
      </w:r>
      <w:r w:rsidRPr="00F97C61">
        <w:rPr>
          <w:color w:val="000000" w:themeColor="text1"/>
        </w:rPr>
        <w:t xml:space="preserve">ndeki bireylerle yürütülen çalışmalarda kullanılabilmesi bakımından önemlidir. </w:t>
      </w:r>
      <w:r w:rsidR="005A75F3" w:rsidRPr="00F97C61">
        <w:rPr>
          <w:color w:val="000000" w:themeColor="text1"/>
        </w:rPr>
        <w:t>E</w:t>
      </w:r>
      <w:r w:rsidRPr="00F97C61">
        <w:rPr>
          <w:color w:val="000000" w:themeColor="text1"/>
        </w:rPr>
        <w:t xml:space="preserve">rgenlik döneminin en önemli görevi kimlik </w:t>
      </w:r>
      <w:r w:rsidR="005A75F3" w:rsidRPr="00F97C61">
        <w:rPr>
          <w:color w:val="000000" w:themeColor="text1"/>
        </w:rPr>
        <w:t>biçimlendirmedir.</w:t>
      </w:r>
      <w:r w:rsidRPr="00F97C61">
        <w:rPr>
          <w:color w:val="000000" w:themeColor="text1"/>
        </w:rPr>
        <w:t xml:space="preserve"> Bu dönemde genç birey mesleki, cinsel, dinsel vb. birçok alana ilişkin şemaları</w:t>
      </w:r>
      <w:r w:rsidR="002917F4" w:rsidRPr="00F97C61">
        <w:rPr>
          <w:color w:val="000000" w:themeColor="text1"/>
        </w:rPr>
        <w:t>nı</w:t>
      </w:r>
      <w:r w:rsidRPr="00F97C61">
        <w:rPr>
          <w:color w:val="000000" w:themeColor="text1"/>
        </w:rPr>
        <w:t xml:space="preserve"> </w:t>
      </w:r>
      <w:r w:rsidR="005A75F3" w:rsidRPr="00F97C61">
        <w:rPr>
          <w:color w:val="000000" w:themeColor="text1"/>
        </w:rPr>
        <w:t xml:space="preserve">şekillendirir. </w:t>
      </w:r>
      <w:r w:rsidR="002917F4" w:rsidRPr="00F97C61">
        <w:rPr>
          <w:color w:val="000000" w:themeColor="text1"/>
        </w:rPr>
        <w:t>Genç birey,</w:t>
      </w:r>
      <w:r w:rsidRPr="00F97C61">
        <w:rPr>
          <w:color w:val="000000" w:themeColor="text1"/>
        </w:rPr>
        <w:t xml:space="preserve"> önce kimliği için farklı alternatifleri araştırıp deneyimler, keşif yapar, sonrasında amaçlarına, değerlerine uygun olan özelliklerden bir ya da birkaçını seçip karar verir</w:t>
      </w:r>
      <w:r w:rsidR="007A5207" w:rsidRPr="00F97C61">
        <w:rPr>
          <w:color w:val="000000" w:themeColor="text1"/>
        </w:rPr>
        <w:t xml:space="preserve"> (</w:t>
      </w:r>
      <w:proofErr w:type="spellStart"/>
      <w:r w:rsidR="007A5207" w:rsidRPr="00F97C61">
        <w:rPr>
          <w:color w:val="000000" w:themeColor="text1"/>
        </w:rPr>
        <w:t>Erikson</w:t>
      </w:r>
      <w:proofErr w:type="spellEnd"/>
      <w:r w:rsidR="007A5207" w:rsidRPr="00F97C61">
        <w:rPr>
          <w:color w:val="000000" w:themeColor="text1"/>
        </w:rPr>
        <w:t>, 2018)</w:t>
      </w:r>
      <w:r w:rsidRPr="00F97C61">
        <w:rPr>
          <w:color w:val="000000" w:themeColor="text1"/>
        </w:rPr>
        <w:t xml:space="preserve">. Telkine yatkın olan bireylerin </w:t>
      </w:r>
      <w:r w:rsidR="002917F4" w:rsidRPr="00F97C61">
        <w:rPr>
          <w:color w:val="000000" w:themeColor="text1"/>
        </w:rPr>
        <w:t>bilgiyi eleştirmeden kabul etme ve içselleştirme olasılıklarının o kadar yüksek olduğuna dair kanıtlar vardır (</w:t>
      </w:r>
      <w:proofErr w:type="spellStart"/>
      <w:r w:rsidR="002917F4" w:rsidRPr="00F97C61">
        <w:rPr>
          <w:color w:val="000000" w:themeColor="text1"/>
        </w:rPr>
        <w:t>Kotov</w:t>
      </w:r>
      <w:proofErr w:type="spellEnd"/>
      <w:r w:rsidR="002917F4" w:rsidRPr="00F97C61">
        <w:rPr>
          <w:color w:val="000000" w:themeColor="text1"/>
        </w:rPr>
        <w:t xml:space="preserve"> ve ark., 2004). Bu durum </w:t>
      </w:r>
      <w:r w:rsidRPr="00F97C61">
        <w:rPr>
          <w:color w:val="000000" w:themeColor="text1"/>
        </w:rPr>
        <w:t xml:space="preserve">kimlik gelişimini olumsuz etkileyebilmektedir. Özellikle ipotekli kimlik geliştiren bireylerin otorite olarak </w:t>
      </w:r>
      <w:r w:rsidRPr="00F97C61">
        <w:rPr>
          <w:color w:val="000000" w:themeColor="text1"/>
        </w:rPr>
        <w:lastRenderedPageBreak/>
        <w:t>kabul ettiği kişilerden etkilenerek kimlik gelişimini bu yönde şekillendirdikleri bilinmektedir</w:t>
      </w:r>
      <w:r w:rsidR="002917F4" w:rsidRPr="00F97C61">
        <w:rPr>
          <w:color w:val="000000" w:themeColor="text1"/>
        </w:rPr>
        <w:t xml:space="preserve"> (</w:t>
      </w:r>
      <w:proofErr w:type="spellStart"/>
      <w:r w:rsidR="002917F4" w:rsidRPr="00F97C61">
        <w:rPr>
          <w:color w:val="000000" w:themeColor="text1"/>
        </w:rPr>
        <w:t>Marcia</w:t>
      </w:r>
      <w:proofErr w:type="spellEnd"/>
      <w:r w:rsidR="002917F4" w:rsidRPr="00F97C61">
        <w:rPr>
          <w:color w:val="000000" w:themeColor="text1"/>
        </w:rPr>
        <w:t>, 1966)</w:t>
      </w:r>
      <w:r w:rsidRPr="00F97C61">
        <w:rPr>
          <w:color w:val="000000" w:themeColor="text1"/>
        </w:rPr>
        <w:t>.</w:t>
      </w:r>
      <w:r w:rsidR="002917F4" w:rsidRPr="00F97C61">
        <w:rPr>
          <w:color w:val="000000" w:themeColor="text1"/>
        </w:rPr>
        <w:t xml:space="preserve"> </w:t>
      </w:r>
    </w:p>
    <w:p w14:paraId="6E2D6BD5" w14:textId="7DB7DB9B" w:rsidR="005A75F3" w:rsidRPr="00F97C61" w:rsidRDefault="00DA1A4C" w:rsidP="00765DAF">
      <w:pPr>
        <w:spacing w:line="360" w:lineRule="auto"/>
        <w:ind w:left="851"/>
        <w:rPr>
          <w:color w:val="000000" w:themeColor="text1"/>
        </w:rPr>
      </w:pPr>
      <w:r w:rsidRPr="00F97C61">
        <w:rPr>
          <w:color w:val="000000" w:themeColor="text1"/>
        </w:rPr>
        <w:t>Son yıllarda yapılan araştırmalar kimlik gelişiminin ergenlikte başlamasına karşın, yirmili yaşların başı ve ortasına kadar sürdüğünü belirtmişlerdir.</w:t>
      </w:r>
      <w:r w:rsidRPr="00F97C61">
        <w:rPr>
          <w:rFonts w:eastAsia="Times New Roman" w:cs="Times New Roman"/>
          <w:color w:val="000000" w:themeColor="text1"/>
          <w:szCs w:val="24"/>
          <w:lang w:eastAsia="tr-TR"/>
        </w:rPr>
        <w:t xml:space="preserve"> </w:t>
      </w:r>
      <w:r w:rsidRPr="00F97C61">
        <w:rPr>
          <w:color w:val="000000" w:themeColor="text1"/>
        </w:rPr>
        <w:t xml:space="preserve">Beliren yetişkinlik adı verilen </w:t>
      </w:r>
      <w:r w:rsidR="000F2AFB" w:rsidRPr="00F97C61">
        <w:rPr>
          <w:color w:val="000000" w:themeColor="text1"/>
        </w:rPr>
        <w:t xml:space="preserve">bu </w:t>
      </w:r>
      <w:r w:rsidRPr="00F97C61">
        <w:rPr>
          <w:color w:val="000000" w:themeColor="text1"/>
        </w:rPr>
        <w:t>dönem</w:t>
      </w:r>
      <w:r w:rsidR="000F2AFB" w:rsidRPr="00F97C61">
        <w:rPr>
          <w:color w:val="000000" w:themeColor="text1"/>
        </w:rPr>
        <w:t>de</w:t>
      </w:r>
      <w:r w:rsidRPr="00F97C61">
        <w:rPr>
          <w:color w:val="000000" w:themeColor="text1"/>
        </w:rPr>
        <w:t>, genç insanlar yaşamlarının birçok alanında</w:t>
      </w:r>
      <w:r w:rsidR="000F2AFB" w:rsidRPr="00F97C61">
        <w:rPr>
          <w:color w:val="000000" w:themeColor="text1"/>
        </w:rPr>
        <w:t xml:space="preserve"> </w:t>
      </w:r>
      <w:r w:rsidRPr="00F97C61">
        <w:rPr>
          <w:color w:val="000000" w:themeColor="text1"/>
        </w:rPr>
        <w:t>fırsatları ara</w:t>
      </w:r>
      <w:r w:rsidR="000F2AFB" w:rsidRPr="00F97C61">
        <w:rPr>
          <w:color w:val="000000" w:themeColor="text1"/>
        </w:rPr>
        <w:t>yıp</w:t>
      </w:r>
      <w:r w:rsidR="00E62E94" w:rsidRPr="00F97C61">
        <w:rPr>
          <w:color w:val="000000" w:themeColor="text1"/>
        </w:rPr>
        <w:t xml:space="preserve">, </w:t>
      </w:r>
      <w:r w:rsidR="000F2AFB" w:rsidRPr="00F97C61">
        <w:rPr>
          <w:color w:val="000000" w:themeColor="text1"/>
        </w:rPr>
        <w:t>farklı seçenekleri dener,</w:t>
      </w:r>
      <w:r w:rsidRPr="00F97C61">
        <w:rPr>
          <w:color w:val="000000" w:themeColor="text1"/>
        </w:rPr>
        <w:t xml:space="preserve"> kimliklerini sorgul</w:t>
      </w:r>
      <w:r w:rsidR="000F2AFB" w:rsidRPr="00F97C61">
        <w:rPr>
          <w:color w:val="000000" w:themeColor="text1"/>
        </w:rPr>
        <w:t>ayıp,</w:t>
      </w:r>
      <w:r w:rsidRPr="00F97C61">
        <w:rPr>
          <w:color w:val="000000" w:themeColor="text1"/>
        </w:rPr>
        <w:t xml:space="preserve"> kim oldukların</w:t>
      </w:r>
      <w:r w:rsidR="000F2AFB" w:rsidRPr="00F97C61">
        <w:rPr>
          <w:color w:val="000000" w:themeColor="text1"/>
        </w:rPr>
        <w:t>a</w:t>
      </w:r>
      <w:r w:rsidRPr="00F97C61">
        <w:rPr>
          <w:color w:val="000000" w:themeColor="text1"/>
        </w:rPr>
        <w:t xml:space="preserve"> ve yaşamdan </w:t>
      </w:r>
      <w:r w:rsidR="000F2AFB" w:rsidRPr="00F97C61">
        <w:rPr>
          <w:color w:val="000000" w:themeColor="text1"/>
        </w:rPr>
        <w:t>neler beklediklerine karar verirler</w:t>
      </w:r>
      <w:r w:rsidR="002917F4" w:rsidRPr="00F97C61">
        <w:rPr>
          <w:color w:val="000000" w:themeColor="text1"/>
        </w:rPr>
        <w:t xml:space="preserve"> (</w:t>
      </w:r>
      <w:proofErr w:type="spellStart"/>
      <w:r w:rsidR="002917F4" w:rsidRPr="00F97C61">
        <w:rPr>
          <w:color w:val="000000" w:themeColor="text1"/>
        </w:rPr>
        <w:t>Arnet</w:t>
      </w:r>
      <w:proofErr w:type="spellEnd"/>
      <w:r w:rsidR="002917F4" w:rsidRPr="00F97C61">
        <w:rPr>
          <w:color w:val="000000" w:themeColor="text1"/>
        </w:rPr>
        <w:t>, 2000)</w:t>
      </w:r>
      <w:r w:rsidR="000F2AFB" w:rsidRPr="00F97C61">
        <w:rPr>
          <w:color w:val="000000" w:themeColor="text1"/>
        </w:rPr>
        <w:t>. Yaşamı etkileyecek seçimlerin yapıldığı</w:t>
      </w:r>
      <w:r w:rsidR="005A75F3" w:rsidRPr="00F97C61">
        <w:rPr>
          <w:color w:val="000000" w:themeColor="text1"/>
        </w:rPr>
        <w:t xml:space="preserve"> ve benlik özelliklerinin şekillendiği</w:t>
      </w:r>
      <w:r w:rsidR="000F2AFB" w:rsidRPr="00F97C61">
        <w:rPr>
          <w:color w:val="000000" w:themeColor="text1"/>
        </w:rPr>
        <w:t xml:space="preserve"> bu dönemde bireyin hangi faktörlerin etkisi altında karar verdiğini, telkine ne kadar yatkın olduğunu belir</w:t>
      </w:r>
      <w:r w:rsidR="002917F4" w:rsidRPr="00F97C61">
        <w:rPr>
          <w:color w:val="000000" w:themeColor="text1"/>
        </w:rPr>
        <w:t>le</w:t>
      </w:r>
      <w:r w:rsidR="000F2AFB" w:rsidRPr="00F97C61">
        <w:rPr>
          <w:color w:val="000000" w:themeColor="text1"/>
        </w:rPr>
        <w:t xml:space="preserve">mek önemlidir. </w:t>
      </w:r>
      <w:r w:rsidR="00765DAF" w:rsidRPr="00F97C61">
        <w:rPr>
          <w:color w:val="000000" w:themeColor="text1"/>
        </w:rPr>
        <w:t xml:space="preserve">Bu araştırmanın sonuçları da </w:t>
      </w:r>
      <w:r w:rsidR="00271415" w:rsidRPr="00F97C61">
        <w:rPr>
          <w:color w:val="000000" w:themeColor="text1"/>
        </w:rPr>
        <w:t>t</w:t>
      </w:r>
      <w:r w:rsidR="000F2AFB" w:rsidRPr="00F97C61">
        <w:rPr>
          <w:color w:val="000000" w:themeColor="text1"/>
        </w:rPr>
        <w:t xml:space="preserve">elkine yatkınlık puanları ile </w:t>
      </w:r>
      <w:r w:rsidR="000722CA" w:rsidRPr="00F97C61">
        <w:rPr>
          <w:color w:val="000000" w:themeColor="text1"/>
        </w:rPr>
        <w:t xml:space="preserve">özerk benlik </w:t>
      </w:r>
      <w:r w:rsidR="005A75F3" w:rsidRPr="00F97C61">
        <w:rPr>
          <w:color w:val="000000" w:themeColor="text1"/>
        </w:rPr>
        <w:t xml:space="preserve">arasında </w:t>
      </w:r>
      <w:r w:rsidR="000722CA" w:rsidRPr="00F97C61">
        <w:rPr>
          <w:color w:val="000000" w:themeColor="text1"/>
        </w:rPr>
        <w:t xml:space="preserve">negatif, ilişkisel benlik </w:t>
      </w:r>
      <w:r w:rsidR="005A75F3" w:rsidRPr="00F97C61">
        <w:rPr>
          <w:color w:val="000000" w:themeColor="text1"/>
        </w:rPr>
        <w:t>arasında ise</w:t>
      </w:r>
      <w:r w:rsidR="000722CA" w:rsidRPr="00F97C61">
        <w:rPr>
          <w:color w:val="000000" w:themeColor="text1"/>
        </w:rPr>
        <w:t xml:space="preserve"> pozitif korelasyon </w:t>
      </w:r>
      <w:r w:rsidR="00765DAF" w:rsidRPr="00F97C61">
        <w:rPr>
          <w:color w:val="000000" w:themeColor="text1"/>
        </w:rPr>
        <w:t xml:space="preserve">olduğunu göstermekte, </w:t>
      </w:r>
      <w:r w:rsidR="002917F4" w:rsidRPr="00F97C61">
        <w:rPr>
          <w:color w:val="000000" w:themeColor="text1"/>
        </w:rPr>
        <w:t>telkine yatkınlık ile benlik arasındaki bağlantıy</w:t>
      </w:r>
      <w:r w:rsidR="00765DAF" w:rsidRPr="00F97C61">
        <w:rPr>
          <w:color w:val="000000" w:themeColor="text1"/>
        </w:rPr>
        <w:t>a dikkati çekmektedir.</w:t>
      </w:r>
    </w:p>
    <w:p w14:paraId="6EBFD236" w14:textId="252BB0EA" w:rsidR="00ED1D47" w:rsidRPr="00F97C61" w:rsidRDefault="00271415" w:rsidP="005A75F3">
      <w:pPr>
        <w:spacing w:line="360" w:lineRule="auto"/>
        <w:ind w:left="851"/>
        <w:rPr>
          <w:color w:val="000000" w:themeColor="text1"/>
        </w:rPr>
      </w:pPr>
      <w:r w:rsidRPr="00F97C61">
        <w:rPr>
          <w:color w:val="000000" w:themeColor="text1"/>
        </w:rPr>
        <w:t>A</w:t>
      </w:r>
      <w:r w:rsidR="005A75F3" w:rsidRPr="00F97C61">
        <w:rPr>
          <w:color w:val="000000" w:themeColor="text1"/>
        </w:rPr>
        <w:t xml:space="preserve">raştırma </w:t>
      </w:r>
      <w:r w:rsidR="000722CA" w:rsidRPr="00F97C61">
        <w:rPr>
          <w:color w:val="000000" w:themeColor="text1"/>
        </w:rPr>
        <w:t>bulgular</w:t>
      </w:r>
      <w:r w:rsidR="005A75F3" w:rsidRPr="00F97C61">
        <w:rPr>
          <w:color w:val="000000" w:themeColor="text1"/>
        </w:rPr>
        <w:t>ı</w:t>
      </w:r>
      <w:r w:rsidR="000722CA" w:rsidRPr="00F97C61">
        <w:rPr>
          <w:color w:val="000000" w:themeColor="text1"/>
        </w:rPr>
        <w:t>,</w:t>
      </w:r>
      <w:r w:rsidRPr="00F97C61">
        <w:rPr>
          <w:color w:val="000000" w:themeColor="text1"/>
        </w:rPr>
        <w:t xml:space="preserve"> sadece genç yetişkinlerde değil,</w:t>
      </w:r>
      <w:r w:rsidR="000722CA" w:rsidRPr="00F97C61">
        <w:rPr>
          <w:color w:val="000000" w:themeColor="text1"/>
        </w:rPr>
        <w:t xml:space="preserve"> 18 yaş altı örneklemde de </w:t>
      </w:r>
      <w:proofErr w:type="spellStart"/>
      <w:r w:rsidR="000722CA" w:rsidRPr="00F97C61">
        <w:rPr>
          <w:color w:val="000000" w:themeColor="text1"/>
        </w:rPr>
        <w:t>KTYÖ’nün</w:t>
      </w:r>
      <w:proofErr w:type="spellEnd"/>
      <w:r w:rsidR="000722CA" w:rsidRPr="00F97C61">
        <w:rPr>
          <w:color w:val="000000" w:themeColor="text1"/>
        </w:rPr>
        <w:t xml:space="preserve"> geçerli ve güvenilir olduğunu göstermekte</w:t>
      </w:r>
      <w:r w:rsidR="005A75F3" w:rsidRPr="00F97C61">
        <w:rPr>
          <w:color w:val="000000" w:themeColor="text1"/>
        </w:rPr>
        <w:t>dir.</w:t>
      </w:r>
      <w:r w:rsidR="000722CA" w:rsidRPr="00F97C61">
        <w:rPr>
          <w:color w:val="000000" w:themeColor="text1"/>
        </w:rPr>
        <w:t xml:space="preserve"> </w:t>
      </w:r>
      <w:r w:rsidR="005A75F3" w:rsidRPr="00F97C61">
        <w:rPr>
          <w:color w:val="000000" w:themeColor="text1"/>
        </w:rPr>
        <w:t>B</w:t>
      </w:r>
      <w:r w:rsidR="000722CA" w:rsidRPr="00F97C61">
        <w:rPr>
          <w:color w:val="000000" w:themeColor="text1"/>
        </w:rPr>
        <w:t xml:space="preserve">u bulgu </w:t>
      </w:r>
      <w:r w:rsidR="00E62E94" w:rsidRPr="00F97C61">
        <w:rPr>
          <w:color w:val="000000" w:themeColor="text1"/>
        </w:rPr>
        <w:t>genç</w:t>
      </w:r>
      <w:r w:rsidR="005A75F3" w:rsidRPr="00F97C61">
        <w:rPr>
          <w:color w:val="000000" w:themeColor="text1"/>
        </w:rPr>
        <w:t xml:space="preserve"> yetişkinlik</w:t>
      </w:r>
      <w:r w:rsidR="000722CA" w:rsidRPr="00F97C61">
        <w:rPr>
          <w:color w:val="000000" w:themeColor="text1"/>
        </w:rPr>
        <w:t xml:space="preserve"> ve ergenlik dönemindeki </w:t>
      </w:r>
      <w:r w:rsidR="005A75F3" w:rsidRPr="00F97C61">
        <w:rPr>
          <w:color w:val="000000" w:themeColor="text1"/>
        </w:rPr>
        <w:t xml:space="preserve">gelişimsel </w:t>
      </w:r>
      <w:r w:rsidR="00E62E94" w:rsidRPr="00F97C61">
        <w:rPr>
          <w:color w:val="000000" w:themeColor="text1"/>
        </w:rPr>
        <w:t xml:space="preserve">meselelerin </w:t>
      </w:r>
      <w:r w:rsidRPr="00F97C61">
        <w:rPr>
          <w:color w:val="000000" w:themeColor="text1"/>
        </w:rPr>
        <w:t>yanı sıra</w:t>
      </w:r>
      <w:r w:rsidR="005A75F3" w:rsidRPr="00F97C61">
        <w:rPr>
          <w:color w:val="000000" w:themeColor="text1"/>
        </w:rPr>
        <w:t xml:space="preserve"> </w:t>
      </w:r>
      <w:r w:rsidR="000722CA" w:rsidRPr="00F97C61">
        <w:rPr>
          <w:color w:val="000000" w:themeColor="text1"/>
        </w:rPr>
        <w:t>farklı psikiyatrik durumların telkine yatkınlık perspektifinden ele alınabileceğini göstermektedir. Zira yurtdışında yapılan çalışmalar ergenlerin telkine yatkınlığı ile alkol – madde kullanım bozukluğu riski arasında belirgin ilişkilere işaret etmektedir</w:t>
      </w:r>
      <w:r w:rsidR="00090D32" w:rsidRPr="00F97C61">
        <w:rPr>
          <w:color w:val="000000" w:themeColor="text1"/>
        </w:rPr>
        <w:t xml:space="preserve"> </w:t>
      </w:r>
      <w:r w:rsidR="00090D32" w:rsidRPr="00F97C61">
        <w:rPr>
          <w:color w:val="000000" w:themeColor="text1"/>
        </w:rPr>
        <w:fldChar w:fldCharType="begin" w:fldLock="1"/>
      </w:r>
      <w:r w:rsidR="00A95345" w:rsidRPr="00F97C61">
        <w:rPr>
          <w:color w:val="000000" w:themeColor="text1"/>
        </w:rPr>
        <w:instrText>ADDIN CSL_CITATION {"citationItems":[{"id":"ITEM-1","itemData":{"DOI":"10.1017/cts.2019.357","ISSN":"2059-8661","abstract":"OBJECTIVES/SPECIFIC AIMS: Suggestibility, defined as the inclination to accept and internalize messages, has not been assessed much in relation to alcohol use. Prior research has shown that suggestibility to social cues and peer influence may play a role in driving alcohol consumption. Our previous work has shown associations between suggestibility and alcohol consumption in social drinkers. This study aims to examine how suggestibility and social susceptibility are related to ideas alcohol consumption and consequences across the spectrum of alcohol use and misuse. We hypothesize that those with higher suggestibility and social susceptibility reports will also have higher alcohol consumption and consequences, and that the impact of susceptibility is lower in dependent compared to non-dependent drinkers. METHODS/STUDY POPULATION: Study participants enrolled in the NIAAA screening and assessment protocol (N=157) completed questionnaires on suggestibility and alcohol consumption, The Multidimensional Iowa Suggestibility Scale (MISS) is a 95-question self-report assessment of suggestibility which draws from subcategories of consumer suggestibility, perceivability, physiological suggestibility, physiological reactivity, and peer conformity. Alcohol measures included 90-day Timeline Followback interviews and the Alcohol Use Disorder Identification Test (AUDIT). Participants also underwent the Structured Clinical Interviews for DSM-IV or DSM-5 disorders, and were stratified into two groups: alcohol dependent (N = 86) and non-dependent (N=71). Median split by age was additionally used to explore age’s relationship with suggestibility and alcohol with the under 36 (N = 45) and over 36 (N = 26) non-dependent groups. RESULTS/ANTICIPATED RESULTS: Initial analyses showed marked differences between the dependent and non-dependent groups in the relationship between the MISS total score and AUDIT total score. The non-dependent group showed significant positive correlations between MISS and AUDIT scores (r = 0.460, p &lt; 0.001), while the dependent group did not show any correlation between MISS and AUDIT scores. Further examination of these relationships in the nondependent group revealed that MISS scores were also significantly positively correlated with AUDIT subscores of consumption, harm, and dependence. Age was found to have a significant negative correlation with MISS score (r = −0.354, p &lt; 0.01). To better understand the role of age, the sample was split based on …","author":[{"dropping-particle":"","family":"Cowand","given":"Alexandra","non-dropping-particle":"","parse-names":false,"suffix":""},{"dropping-particle":"","family":"Stangl","given":"Bethany L.","non-dropping-particle":"","parse-names":false,"suffix":""},{"dropping-particle":"","family":"Schwandt","given":"Melanie L.","non-dropping-particle":"","parse-names":false,"suffix":""},{"dropping-particle":"","family":"Schneider","given":"Alyssa","non-dropping-particle":"","parse-names":false,"suffix":""},{"dropping-particle":"","family":"Gilman","given":"Jodi M.","non-dropping-particle":"","parse-names":false,"suffix":""},{"dropping-particle":"","family":"Diazgranados","given":"Nancy","non-dropping-particle":"","parse-names":false,"suffix":""},{"dropping-particle":"","family":"Ramchandani","given":"Vijay A.","non-dropping-particle":"","parse-names":false,"suffix":""}],"container-title":"Journal of Clinical and Translational Science","id":"ITEM-1","issue":"s1","issued":{"date-parts":[["2019","3"]]},"page":"156-156","publisher":"Cambridge University Press (CUP)","title":"3289 The Role of Suggestibility in Alcohol Use and Misuse","type":"article-journal","volume":"3"},"uris":["http://www.mendeley.com/documents/?uuid=b0016f87-e4f0-3e77-a73c-fb941b7bc0c5"]}],"mendeley":{"formattedCitation":"(Cowand et al., 2019)","plainTextFormattedCitation":"(Cowand et al., 2019)","previouslyFormattedCitation":"(Cowand et al., 2019)"},"properties":{"noteIndex":0},"schema":"https://github.com/citation-style-language/schema/raw/master/csl-citation.json"}</w:instrText>
      </w:r>
      <w:r w:rsidR="00090D32" w:rsidRPr="00F97C61">
        <w:rPr>
          <w:color w:val="000000" w:themeColor="text1"/>
        </w:rPr>
        <w:fldChar w:fldCharType="separate"/>
      </w:r>
      <w:r w:rsidR="00702DBA" w:rsidRPr="00F97C61">
        <w:rPr>
          <w:noProof/>
          <w:color w:val="000000" w:themeColor="text1"/>
        </w:rPr>
        <w:t>(Cowand et al., 2019)</w:t>
      </w:r>
      <w:r w:rsidR="00090D32" w:rsidRPr="00F97C61">
        <w:rPr>
          <w:color w:val="000000" w:themeColor="text1"/>
        </w:rPr>
        <w:fldChar w:fldCharType="end"/>
      </w:r>
      <w:r w:rsidR="000722CA" w:rsidRPr="00F97C61">
        <w:rPr>
          <w:color w:val="000000" w:themeColor="text1"/>
        </w:rPr>
        <w:t xml:space="preserve">. </w:t>
      </w:r>
    </w:p>
    <w:p w14:paraId="06CFCD63" w14:textId="07A27CC1" w:rsidR="000913C0" w:rsidRPr="00F97C61" w:rsidRDefault="000722CA" w:rsidP="009A54EA">
      <w:pPr>
        <w:spacing w:line="360" w:lineRule="auto"/>
        <w:ind w:left="851"/>
        <w:rPr>
          <w:color w:val="000000" w:themeColor="text1"/>
        </w:rPr>
      </w:pPr>
      <w:r w:rsidRPr="00F97C61">
        <w:rPr>
          <w:color w:val="000000" w:themeColor="text1"/>
        </w:rPr>
        <w:t xml:space="preserve">Sonuç olarak yürütmüş olduğumuz bu çalışma </w:t>
      </w:r>
      <w:proofErr w:type="spellStart"/>
      <w:r w:rsidRPr="00F97C61">
        <w:rPr>
          <w:color w:val="000000" w:themeColor="text1"/>
        </w:rPr>
        <w:t>KTYÖ’nün</w:t>
      </w:r>
      <w:proofErr w:type="spellEnd"/>
      <w:r w:rsidRPr="00F97C61">
        <w:rPr>
          <w:color w:val="000000" w:themeColor="text1"/>
        </w:rPr>
        <w:t xml:space="preserve"> </w:t>
      </w:r>
      <w:r w:rsidR="00A22C4B" w:rsidRPr="00F97C61">
        <w:rPr>
          <w:color w:val="000000" w:themeColor="text1"/>
        </w:rPr>
        <w:t xml:space="preserve">Türkçe dilinde kullanımının hem </w:t>
      </w:r>
      <w:r w:rsidR="00271415" w:rsidRPr="00F97C61">
        <w:rPr>
          <w:color w:val="000000" w:themeColor="text1"/>
        </w:rPr>
        <w:t>yetişkinler</w:t>
      </w:r>
      <w:r w:rsidR="00A22C4B" w:rsidRPr="00F97C61">
        <w:rPr>
          <w:color w:val="000000" w:themeColor="text1"/>
        </w:rPr>
        <w:t xml:space="preserve"> hem de ergenlerde geçerli ve güvenilir olduğunu göstermektedir. Bulgularımız ayrıca </w:t>
      </w:r>
      <w:proofErr w:type="spellStart"/>
      <w:r w:rsidR="00A22C4B" w:rsidRPr="00F97C61">
        <w:rPr>
          <w:color w:val="000000" w:themeColor="text1"/>
        </w:rPr>
        <w:t>KTYÖ’nün</w:t>
      </w:r>
      <w:proofErr w:type="spellEnd"/>
      <w:r w:rsidR="00A22C4B" w:rsidRPr="00F97C61">
        <w:rPr>
          <w:color w:val="000000" w:themeColor="text1"/>
        </w:rPr>
        <w:t xml:space="preserve"> MISS ölçeği alt-boyutlarındansa genel telkine yatkınlığı ölçmek için </w:t>
      </w:r>
      <w:r w:rsidR="006D5CCE" w:rsidRPr="00F97C61">
        <w:rPr>
          <w:color w:val="000000" w:themeColor="text1"/>
        </w:rPr>
        <w:t xml:space="preserve">toplam puanının kullanımının </w:t>
      </w:r>
      <w:r w:rsidR="00A22C4B" w:rsidRPr="00F97C61">
        <w:rPr>
          <w:color w:val="000000" w:themeColor="text1"/>
        </w:rPr>
        <w:t>daha uygun olduğu</w:t>
      </w:r>
      <w:r w:rsidR="006D5CCE" w:rsidRPr="00F97C61">
        <w:rPr>
          <w:color w:val="000000" w:themeColor="text1"/>
        </w:rPr>
        <w:t>nu</w:t>
      </w:r>
      <w:r w:rsidR="00A22C4B" w:rsidRPr="00F97C61">
        <w:rPr>
          <w:color w:val="000000" w:themeColor="text1"/>
        </w:rPr>
        <w:t xml:space="preserve"> teyit etmektedir. </w:t>
      </w:r>
      <w:r w:rsidR="00271415" w:rsidRPr="00F97C61">
        <w:rPr>
          <w:color w:val="000000" w:themeColor="text1"/>
        </w:rPr>
        <w:t>Ancak</w:t>
      </w:r>
      <w:r w:rsidR="00702D01" w:rsidRPr="00F97C61">
        <w:rPr>
          <w:color w:val="000000" w:themeColor="text1"/>
        </w:rPr>
        <w:t xml:space="preserve"> </w:t>
      </w:r>
      <w:r w:rsidR="000913C0" w:rsidRPr="00F97C61">
        <w:rPr>
          <w:color w:val="000000" w:themeColor="text1"/>
        </w:rPr>
        <w:t xml:space="preserve">ölçeğin ölçüt geçerliğini belirlemek amacıyla, telkine yatkınlık kavramıyla ilişkili olabilecek psikolojik yapıları değerlendiren, geçerlik ve güvenirliği kanıtlanmış </w:t>
      </w:r>
      <w:r w:rsidR="004246B1" w:rsidRPr="00F97C61">
        <w:rPr>
          <w:color w:val="000000" w:themeColor="text1"/>
        </w:rPr>
        <w:t xml:space="preserve">farklı </w:t>
      </w:r>
      <w:r w:rsidR="000913C0" w:rsidRPr="00F97C61">
        <w:rPr>
          <w:color w:val="000000" w:themeColor="text1"/>
        </w:rPr>
        <w:t xml:space="preserve">ölçeklerle </w:t>
      </w:r>
      <w:r w:rsidR="004246B1" w:rsidRPr="00F97C61">
        <w:rPr>
          <w:color w:val="000000" w:themeColor="text1"/>
        </w:rPr>
        <w:t>KYTÖ arasındaki</w:t>
      </w:r>
      <w:r w:rsidR="000913C0" w:rsidRPr="00F97C61">
        <w:rPr>
          <w:color w:val="000000" w:themeColor="text1"/>
        </w:rPr>
        <w:t xml:space="preserve"> ilişkiler incelenebilir. Ayrıca ölçeğin geçerlik ve güvenirlik çalışmalarının yürütüldüğü araştırma grubu </w:t>
      </w:r>
      <w:r w:rsidR="004246B1" w:rsidRPr="00F97C61">
        <w:rPr>
          <w:color w:val="000000" w:themeColor="text1"/>
        </w:rPr>
        <w:t xml:space="preserve">lise ve </w:t>
      </w:r>
      <w:r w:rsidR="000913C0" w:rsidRPr="00F97C61">
        <w:rPr>
          <w:color w:val="000000" w:themeColor="text1"/>
        </w:rPr>
        <w:t xml:space="preserve">üniversite öğrencilerinden oluşmaktadır. Dolayısıyla ölçeğin geçerlik ve güvenirliği için farklı </w:t>
      </w:r>
      <w:r w:rsidR="004246B1" w:rsidRPr="00F97C61">
        <w:rPr>
          <w:color w:val="000000" w:themeColor="text1"/>
        </w:rPr>
        <w:t xml:space="preserve">klinik </w:t>
      </w:r>
      <w:r w:rsidR="000913C0" w:rsidRPr="00F97C61">
        <w:rPr>
          <w:color w:val="000000" w:themeColor="text1"/>
        </w:rPr>
        <w:t xml:space="preserve">örneklemler üzerinde yapılacak çalışmalar da son derece önemlidir. </w:t>
      </w:r>
    </w:p>
    <w:p w14:paraId="7F98AAC3" w14:textId="1EDBF2F4" w:rsidR="000D48AE" w:rsidRPr="00F97C61" w:rsidRDefault="000D48AE" w:rsidP="009A54EA">
      <w:pPr>
        <w:spacing w:line="360" w:lineRule="auto"/>
        <w:ind w:left="851"/>
        <w:rPr>
          <w:color w:val="000000" w:themeColor="text1"/>
        </w:rPr>
      </w:pPr>
    </w:p>
    <w:p w14:paraId="770434B5" w14:textId="674E8176" w:rsidR="000D48AE" w:rsidRPr="00F97C61" w:rsidRDefault="000D48AE" w:rsidP="009A54EA">
      <w:pPr>
        <w:spacing w:line="360" w:lineRule="auto"/>
        <w:ind w:left="851"/>
        <w:rPr>
          <w:color w:val="000000" w:themeColor="text1"/>
        </w:rPr>
      </w:pPr>
      <w:r w:rsidRPr="00F97C61">
        <w:rPr>
          <w:color w:val="000000" w:themeColor="text1"/>
        </w:rPr>
        <w:lastRenderedPageBreak/>
        <w:t xml:space="preserve">Yürütmüş olduğumuz bu çalışmada bazı temel kısıtlılıklar mevcuttur. İlk olarak çalışmada Türkçe diline çevrilen KTYÖ, 91 maddelik MISS ölçeğinin 21 maddelik kısaltılmış hali olduğundan </w:t>
      </w:r>
      <w:proofErr w:type="spellStart"/>
      <w:r w:rsidRPr="00F97C61">
        <w:rPr>
          <w:color w:val="000000" w:themeColor="text1"/>
        </w:rPr>
        <w:t>psikometrik</w:t>
      </w:r>
      <w:proofErr w:type="spellEnd"/>
      <w:r w:rsidRPr="00F97C61">
        <w:rPr>
          <w:color w:val="000000" w:themeColor="text1"/>
        </w:rPr>
        <w:t xml:space="preserve"> özellikleri açısından orijinal ölçekten farklılıklar göstermektedir. Diğer bir kısıtlılığımız da Türkçe dilinde yapısal telkine yatkınlığı ölçen bir ölçek olmamasıdır. Her ne kadar bu kısıtlılık telkine yatkınlıkla benzer bir konsept olan benlik algısı ölçeği üzerinden sınırlanmaya çalışılmış olsa da bu iki konseptin birebir örtüştüğü düşünülemez. Çalışmadaki diğer bir kısıtlılık da örneklemimizin ergen ve genç yetişkinlerden oluşmuş olmasıdır. Her ne kadar KTYÖ orijinal </w:t>
      </w:r>
      <w:proofErr w:type="spellStart"/>
      <w:r w:rsidRPr="00F97C61">
        <w:rPr>
          <w:color w:val="000000" w:themeColor="text1"/>
        </w:rPr>
        <w:t>validasyon</w:t>
      </w:r>
      <w:proofErr w:type="spellEnd"/>
      <w:r w:rsidRPr="00F97C61">
        <w:rPr>
          <w:color w:val="000000" w:themeColor="text1"/>
        </w:rPr>
        <w:t xml:space="preserve"> çalışması da benzer bir örneklemle yapılmışsa </w:t>
      </w:r>
      <w:proofErr w:type="gramStart"/>
      <w:r w:rsidRPr="00F97C61">
        <w:rPr>
          <w:color w:val="000000" w:themeColor="text1"/>
        </w:rPr>
        <w:t>da,</w:t>
      </w:r>
      <w:proofErr w:type="gramEnd"/>
      <w:r w:rsidRPr="00F97C61">
        <w:rPr>
          <w:color w:val="000000" w:themeColor="text1"/>
        </w:rPr>
        <w:t xml:space="preserve"> bu durum ölçeğin genel popülasyonda kullanımını sınırlayan bir faktör olarak değerlendirilebilir. </w:t>
      </w:r>
    </w:p>
    <w:p w14:paraId="092EF867" w14:textId="73604F16" w:rsidR="00C82D42" w:rsidRPr="00F97C61" w:rsidRDefault="00C82D42" w:rsidP="002D0914">
      <w:pPr>
        <w:spacing w:after="0" w:line="240" w:lineRule="auto"/>
        <w:jc w:val="left"/>
        <w:rPr>
          <w:color w:val="000000" w:themeColor="text1"/>
        </w:rPr>
      </w:pPr>
    </w:p>
    <w:p w14:paraId="161BEC25" w14:textId="71E1116D" w:rsidR="00400883" w:rsidRPr="00F97C61" w:rsidRDefault="00400883">
      <w:pPr>
        <w:spacing w:after="0" w:line="240" w:lineRule="auto"/>
        <w:jc w:val="left"/>
        <w:rPr>
          <w:b/>
          <w:bCs/>
          <w:color w:val="000000" w:themeColor="text1"/>
        </w:rPr>
      </w:pPr>
    </w:p>
    <w:p w14:paraId="4E11B25F" w14:textId="77777777" w:rsidR="006D5CCE" w:rsidRPr="00F97C61" w:rsidRDefault="006D5CCE">
      <w:pPr>
        <w:spacing w:after="0" w:line="240" w:lineRule="auto"/>
        <w:jc w:val="left"/>
        <w:rPr>
          <w:b/>
          <w:bCs/>
          <w:color w:val="000000" w:themeColor="text1"/>
        </w:rPr>
      </w:pPr>
      <w:r w:rsidRPr="00F97C61">
        <w:rPr>
          <w:b/>
          <w:bCs/>
          <w:color w:val="000000" w:themeColor="text1"/>
        </w:rPr>
        <w:br w:type="page"/>
      </w:r>
    </w:p>
    <w:p w14:paraId="506BBD8F" w14:textId="56066306" w:rsidR="00C82D42" w:rsidRPr="00F97C61" w:rsidRDefault="00C82D42" w:rsidP="002D0914">
      <w:pPr>
        <w:spacing w:line="360" w:lineRule="auto"/>
        <w:ind w:left="851"/>
        <w:rPr>
          <w:b/>
          <w:bCs/>
          <w:color w:val="000000" w:themeColor="text1"/>
        </w:rPr>
      </w:pPr>
      <w:r w:rsidRPr="00F97C61">
        <w:rPr>
          <w:b/>
          <w:bCs/>
          <w:color w:val="000000" w:themeColor="text1"/>
        </w:rPr>
        <w:lastRenderedPageBreak/>
        <w:t xml:space="preserve">Kaynakça </w:t>
      </w:r>
    </w:p>
    <w:p w14:paraId="4AED35A4" w14:textId="576013F6" w:rsidR="00F21E13" w:rsidRPr="00F21E13" w:rsidRDefault="00C82D42" w:rsidP="00F21E13">
      <w:pPr>
        <w:widowControl w:val="0"/>
        <w:autoSpaceDE w:val="0"/>
        <w:autoSpaceDN w:val="0"/>
        <w:adjustRightInd w:val="0"/>
        <w:spacing w:line="360" w:lineRule="auto"/>
        <w:ind w:left="480" w:hanging="480"/>
        <w:rPr>
          <w:rFonts w:cs="Times New Roman"/>
          <w:noProof/>
          <w:lang w:val="en-US"/>
        </w:rPr>
      </w:pPr>
      <w:r w:rsidRPr="00F97C61">
        <w:rPr>
          <w:color w:val="000000" w:themeColor="text1"/>
        </w:rPr>
        <w:fldChar w:fldCharType="begin" w:fldLock="1"/>
      </w:r>
      <w:r w:rsidRPr="00F97C61">
        <w:rPr>
          <w:color w:val="000000" w:themeColor="text1"/>
        </w:rPr>
        <w:instrText xml:space="preserve">ADDIN Mendeley Bibliography CSL_BIBLIOGRAPHY </w:instrText>
      </w:r>
      <w:r w:rsidRPr="00F97C61">
        <w:rPr>
          <w:color w:val="000000" w:themeColor="text1"/>
        </w:rPr>
        <w:fldChar w:fldCharType="separate"/>
      </w:r>
      <w:r w:rsidR="00F21E13" w:rsidRPr="00F21E13">
        <w:rPr>
          <w:rFonts w:cs="Times New Roman"/>
          <w:noProof/>
          <w:lang w:val="en-US"/>
        </w:rPr>
        <w:t xml:space="preserve">Agargun, Mehmet Yucel; Gulec, Mustafa; Ozturk, Rabia; Cimen, D. (2007). The Stanford hypnotic clinical scale for adults (SHCS): Validity and reliability of the Turkish version. </w:t>
      </w:r>
      <w:r w:rsidR="00F21E13" w:rsidRPr="00F21E13">
        <w:rPr>
          <w:rFonts w:cs="Times New Roman"/>
          <w:i/>
          <w:iCs/>
          <w:noProof/>
          <w:lang w:val="en-US"/>
        </w:rPr>
        <w:t>Sleep and Hypnosis</w:t>
      </w:r>
      <w:r w:rsidR="00F21E13" w:rsidRPr="00F21E13">
        <w:rPr>
          <w:rFonts w:cs="Times New Roman"/>
          <w:noProof/>
          <w:lang w:val="en-US"/>
        </w:rPr>
        <w:t xml:space="preserve">, </w:t>
      </w:r>
      <w:r w:rsidR="00F21E13" w:rsidRPr="00F21E13">
        <w:rPr>
          <w:rFonts w:cs="Times New Roman"/>
          <w:i/>
          <w:iCs/>
          <w:noProof/>
          <w:lang w:val="en-US"/>
        </w:rPr>
        <w:t>9</w:t>
      </w:r>
      <w:r w:rsidR="00F21E13" w:rsidRPr="00F21E13">
        <w:rPr>
          <w:rFonts w:cs="Times New Roman"/>
          <w:noProof/>
          <w:lang w:val="en-US"/>
        </w:rPr>
        <w:t>(2), 71–81. http://www.sleepandhypnosis.org/ing/Pdf/12e13cc740ad44149ba00004163c737f.pdf</w:t>
      </w:r>
    </w:p>
    <w:p w14:paraId="092FB4A4"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Alganami, F., Varese, F., Wagstaff, G. F., &amp; Bentall, R. P. (2017). Suggestibility and signal detection performance in hallucination-prone students. </w:t>
      </w:r>
      <w:r w:rsidRPr="00F21E13">
        <w:rPr>
          <w:rFonts w:cs="Times New Roman"/>
          <w:i/>
          <w:iCs/>
          <w:noProof/>
          <w:lang w:val="en-US"/>
        </w:rPr>
        <w:t>Cognitive Neuropsychiatry</w:t>
      </w:r>
      <w:r w:rsidRPr="00F21E13">
        <w:rPr>
          <w:rFonts w:cs="Times New Roman"/>
          <w:noProof/>
          <w:lang w:val="en-US"/>
        </w:rPr>
        <w:t xml:space="preserve">, </w:t>
      </w:r>
      <w:r w:rsidRPr="00F21E13">
        <w:rPr>
          <w:rFonts w:cs="Times New Roman"/>
          <w:i/>
          <w:iCs/>
          <w:noProof/>
          <w:lang w:val="en-US"/>
        </w:rPr>
        <w:t>22</w:t>
      </w:r>
      <w:r w:rsidRPr="00F21E13">
        <w:rPr>
          <w:rFonts w:cs="Times New Roman"/>
          <w:noProof/>
          <w:lang w:val="en-US"/>
        </w:rPr>
        <w:t>(2), 159–174. https://doi.org/10.1080/13546805.2017.1294056</w:t>
      </w:r>
    </w:p>
    <w:p w14:paraId="0631A5D0"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Benham, G., Smith, N., &amp; Nash, M. R. (2002). Hypnotic susceptibility scales: Are the mean scores increasing? </w:t>
      </w:r>
      <w:r w:rsidRPr="00F21E13">
        <w:rPr>
          <w:rFonts w:cs="Times New Roman"/>
          <w:i/>
          <w:iCs/>
          <w:noProof/>
          <w:lang w:val="en-US"/>
        </w:rPr>
        <w:t>International Journal of Clinical and Experimental Hypnosis</w:t>
      </w:r>
      <w:r w:rsidRPr="00F21E13">
        <w:rPr>
          <w:rFonts w:cs="Times New Roman"/>
          <w:noProof/>
          <w:lang w:val="en-US"/>
        </w:rPr>
        <w:t xml:space="preserve">, </w:t>
      </w:r>
      <w:r w:rsidRPr="00F21E13">
        <w:rPr>
          <w:rFonts w:cs="Times New Roman"/>
          <w:i/>
          <w:iCs/>
          <w:noProof/>
          <w:lang w:val="en-US"/>
        </w:rPr>
        <w:t>50</w:t>
      </w:r>
      <w:r w:rsidRPr="00F21E13">
        <w:rPr>
          <w:rFonts w:cs="Times New Roman"/>
          <w:noProof/>
          <w:lang w:val="en-US"/>
        </w:rPr>
        <w:t>(1), 5–16. https://doi.org/10.1080/00207140208410087</w:t>
      </w:r>
    </w:p>
    <w:p w14:paraId="39B2D2D0"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Brüne, M., Tas, C., Wischniewski, J., Welpinghus, A., Heinisch, C., &amp; Newen, A. (2012). Hypnotic ingroup-outgroup suggestion influences economic decision-making in an Ultimatum Game. </w:t>
      </w:r>
      <w:r w:rsidRPr="00F21E13">
        <w:rPr>
          <w:rFonts w:cs="Times New Roman"/>
          <w:i/>
          <w:iCs/>
          <w:noProof/>
          <w:lang w:val="en-US"/>
        </w:rPr>
        <w:t>Consciousness and Cognition</w:t>
      </w:r>
      <w:r w:rsidRPr="00F21E13">
        <w:rPr>
          <w:rFonts w:cs="Times New Roman"/>
          <w:noProof/>
          <w:lang w:val="en-US"/>
        </w:rPr>
        <w:t xml:space="preserve">, </w:t>
      </w:r>
      <w:r w:rsidRPr="00F21E13">
        <w:rPr>
          <w:rFonts w:cs="Times New Roman"/>
          <w:i/>
          <w:iCs/>
          <w:noProof/>
          <w:lang w:val="en-US"/>
        </w:rPr>
        <w:t>21</w:t>
      </w:r>
      <w:r w:rsidRPr="00F21E13">
        <w:rPr>
          <w:rFonts w:cs="Times New Roman"/>
          <w:noProof/>
          <w:lang w:val="en-US"/>
        </w:rPr>
        <w:t>(2), 939–946. https://doi.org/10.1016/j.concog.2012.02.009</w:t>
      </w:r>
    </w:p>
    <w:p w14:paraId="1C4E3C86"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Corsi, N., &amp; Colloca, L. (2017). Placebo and Nocebo Effects: The Advantage of Measuring Expectations and Psychological Factors. </w:t>
      </w:r>
      <w:r w:rsidRPr="00F21E13">
        <w:rPr>
          <w:rFonts w:cs="Times New Roman"/>
          <w:i/>
          <w:iCs/>
          <w:noProof/>
          <w:lang w:val="en-US"/>
        </w:rPr>
        <w:t>Frontiers in Psychology</w:t>
      </w:r>
      <w:r w:rsidRPr="00F21E13">
        <w:rPr>
          <w:rFonts w:cs="Times New Roman"/>
          <w:noProof/>
          <w:lang w:val="en-US"/>
        </w:rPr>
        <w:t xml:space="preserve">, </w:t>
      </w:r>
      <w:r w:rsidRPr="00F21E13">
        <w:rPr>
          <w:rFonts w:cs="Times New Roman"/>
          <w:i/>
          <w:iCs/>
          <w:noProof/>
          <w:lang w:val="en-US"/>
        </w:rPr>
        <w:t>8</w:t>
      </w:r>
      <w:r w:rsidRPr="00F21E13">
        <w:rPr>
          <w:rFonts w:cs="Times New Roman"/>
          <w:noProof/>
          <w:lang w:val="en-US"/>
        </w:rPr>
        <w:t>(MAR), 308. https://doi.org/10.3389/fpsyg.2017.00308</w:t>
      </w:r>
    </w:p>
    <w:p w14:paraId="007494AF"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Cowand, A., Schwandt, M., Schneider, A., Gilman, J. M., Diazgranados, N., Ramchandani, V. A., &amp; Stangl, B. L. (2020). 4191 The Role of Suggestibility and Trait Anxiety in Young Adult Alcohol Use. </w:t>
      </w:r>
      <w:r w:rsidRPr="00F21E13">
        <w:rPr>
          <w:rFonts w:cs="Times New Roman"/>
          <w:i/>
          <w:iCs/>
          <w:noProof/>
          <w:lang w:val="en-US"/>
        </w:rPr>
        <w:t>Journal of Clinical and Translational Science</w:t>
      </w:r>
      <w:r w:rsidRPr="00F21E13">
        <w:rPr>
          <w:rFonts w:cs="Times New Roman"/>
          <w:noProof/>
          <w:lang w:val="en-US"/>
        </w:rPr>
        <w:t xml:space="preserve">, </w:t>
      </w:r>
      <w:r w:rsidRPr="00F21E13">
        <w:rPr>
          <w:rFonts w:cs="Times New Roman"/>
          <w:i/>
          <w:iCs/>
          <w:noProof/>
          <w:lang w:val="en-US"/>
        </w:rPr>
        <w:t>4</w:t>
      </w:r>
      <w:r w:rsidRPr="00F21E13">
        <w:rPr>
          <w:rFonts w:cs="Times New Roman"/>
          <w:noProof/>
          <w:lang w:val="en-US"/>
        </w:rPr>
        <w:t>(s1), 149–149. https://doi.org/10.1017/cts.2020.438</w:t>
      </w:r>
    </w:p>
    <w:p w14:paraId="1378B34D" w14:textId="66E26C93" w:rsid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Cowand, A., Stangl, B. L., Schwandt, M. L., Schneider, A., Gilman, J. M., Diazgranados, N., &amp; Ramchandani, V. A. (2019). 3289 The Role of Suggestibility in Alcohol Use and Misuse. </w:t>
      </w:r>
      <w:r w:rsidRPr="00F21E13">
        <w:rPr>
          <w:rFonts w:cs="Times New Roman"/>
          <w:i/>
          <w:iCs/>
          <w:noProof/>
          <w:lang w:val="en-US"/>
        </w:rPr>
        <w:t>Journal of Clinical and Translational Science</w:t>
      </w:r>
      <w:r w:rsidRPr="00F21E13">
        <w:rPr>
          <w:rFonts w:cs="Times New Roman"/>
          <w:noProof/>
          <w:lang w:val="en-US"/>
        </w:rPr>
        <w:t xml:space="preserve">, </w:t>
      </w:r>
      <w:r w:rsidRPr="00F21E13">
        <w:rPr>
          <w:rFonts w:cs="Times New Roman"/>
          <w:i/>
          <w:iCs/>
          <w:noProof/>
          <w:lang w:val="en-US"/>
        </w:rPr>
        <w:t>3</w:t>
      </w:r>
      <w:r w:rsidRPr="00F21E13">
        <w:rPr>
          <w:rFonts w:cs="Times New Roman"/>
          <w:noProof/>
          <w:lang w:val="en-US"/>
        </w:rPr>
        <w:t>(s1), 156–156. https://doi.org/10.1017/cts.2019.357</w:t>
      </w:r>
    </w:p>
    <w:p w14:paraId="176C31ED" w14:textId="1CC0E403" w:rsidR="00913AE9" w:rsidRPr="00F21E13" w:rsidRDefault="00913AE9" w:rsidP="00F21E13">
      <w:pPr>
        <w:widowControl w:val="0"/>
        <w:autoSpaceDE w:val="0"/>
        <w:autoSpaceDN w:val="0"/>
        <w:adjustRightInd w:val="0"/>
        <w:spacing w:line="360" w:lineRule="auto"/>
        <w:ind w:left="480" w:hanging="480"/>
        <w:rPr>
          <w:rFonts w:cs="Times New Roman"/>
          <w:noProof/>
          <w:lang w:val="en-US"/>
        </w:rPr>
      </w:pPr>
      <w:r w:rsidRPr="00913AE9">
        <w:rPr>
          <w:rFonts w:cs="Times New Roman"/>
          <w:noProof/>
        </w:rPr>
        <w:t xml:space="preserve">Çokluk, Ö., Şekercioğlu, G. ve Büyüköztürk, Ş. (2010). Çok değişkenli istatistik SPSS ve LISREL </w:t>
      </w:r>
      <w:r w:rsidRPr="00913AE9">
        <w:rPr>
          <w:rFonts w:cs="Times New Roman"/>
          <w:noProof/>
        </w:rPr>
        <w:lastRenderedPageBreak/>
        <w:t>uygulamaları (Birinci baskı). Ankara: Pegem Akademi Yayınları.</w:t>
      </w:r>
    </w:p>
    <w:p w14:paraId="18834D85"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Dienes, Z., Brown, E., Hutton, S., Kirsch, I., Mazzoni, G., &amp; Wright, D. B. (2009). Hypnotic suggestibility, cognitive inhibition, and dissociation. </w:t>
      </w:r>
      <w:r w:rsidRPr="00F21E13">
        <w:rPr>
          <w:rFonts w:cs="Times New Roman"/>
          <w:i/>
          <w:iCs/>
          <w:noProof/>
          <w:lang w:val="en-US"/>
        </w:rPr>
        <w:t>Consciousness and Cognition</w:t>
      </w:r>
      <w:r w:rsidRPr="00F21E13">
        <w:rPr>
          <w:rFonts w:cs="Times New Roman"/>
          <w:noProof/>
          <w:lang w:val="en-US"/>
        </w:rPr>
        <w:t xml:space="preserve">, </w:t>
      </w:r>
      <w:r w:rsidRPr="00F21E13">
        <w:rPr>
          <w:rFonts w:cs="Times New Roman"/>
          <w:i/>
          <w:iCs/>
          <w:noProof/>
          <w:lang w:val="en-US"/>
        </w:rPr>
        <w:t>18</w:t>
      </w:r>
      <w:r w:rsidRPr="00F21E13">
        <w:rPr>
          <w:rFonts w:cs="Times New Roman"/>
          <w:noProof/>
          <w:lang w:val="en-US"/>
        </w:rPr>
        <w:t>(4), 837–847. https://doi.org/10.1016/j.concog.2009.07.009</w:t>
      </w:r>
    </w:p>
    <w:p w14:paraId="00419D4E"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Eisen, M. L., &amp; Lynn, S. J. (2001). Dissociation, Memory and Suggestibility in Adults and Children. </w:t>
      </w:r>
      <w:r w:rsidRPr="00F21E13">
        <w:rPr>
          <w:rFonts w:cs="Times New Roman"/>
          <w:i/>
          <w:iCs/>
          <w:noProof/>
          <w:lang w:val="en-US"/>
        </w:rPr>
        <w:t>Applied Cognitive Psychology</w:t>
      </w:r>
      <w:r w:rsidRPr="00F21E13">
        <w:rPr>
          <w:rFonts w:cs="Times New Roman"/>
          <w:noProof/>
          <w:lang w:val="en-US"/>
        </w:rPr>
        <w:t xml:space="preserve">, </w:t>
      </w:r>
      <w:r w:rsidRPr="00F21E13">
        <w:rPr>
          <w:rFonts w:cs="Times New Roman"/>
          <w:i/>
          <w:iCs/>
          <w:noProof/>
          <w:lang w:val="en-US"/>
        </w:rPr>
        <w:t>15</w:t>
      </w:r>
      <w:r w:rsidRPr="00F21E13">
        <w:rPr>
          <w:rFonts w:cs="Times New Roman"/>
          <w:noProof/>
          <w:lang w:val="en-US"/>
        </w:rPr>
        <w:t>(7 SPEC. ISS.). https://doi.org/10.1002/acp.834</w:t>
      </w:r>
    </w:p>
    <w:p w14:paraId="703C7B15"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Emma, B., John, S., &amp; John, C. (2010). Suggestibility, Dissociation and Positive Schizotypy. </w:t>
      </w:r>
      <w:r w:rsidRPr="00F21E13">
        <w:rPr>
          <w:rFonts w:cs="Times New Roman"/>
          <w:i/>
          <w:iCs/>
          <w:noProof/>
          <w:lang w:val="en-US"/>
        </w:rPr>
        <w:t>Clínica y Salud</w:t>
      </w:r>
      <w:r w:rsidRPr="00F21E13">
        <w:rPr>
          <w:rFonts w:cs="Times New Roman"/>
          <w:noProof/>
          <w:lang w:val="en-US"/>
        </w:rPr>
        <w:t xml:space="preserve">, </w:t>
      </w:r>
      <w:r w:rsidRPr="00F21E13">
        <w:rPr>
          <w:rFonts w:cs="Times New Roman"/>
          <w:i/>
          <w:iCs/>
          <w:noProof/>
          <w:lang w:val="en-US"/>
        </w:rPr>
        <w:t>21</w:t>
      </w:r>
      <w:r w:rsidRPr="00F21E13">
        <w:rPr>
          <w:rFonts w:cs="Times New Roman"/>
          <w:noProof/>
          <w:lang w:val="en-US"/>
        </w:rPr>
        <w:t>(1), 3–8. https://doi.org/10.5093/cl2010v21n1a1</w:t>
      </w:r>
    </w:p>
    <w:p w14:paraId="5B4AD099"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Escolà-Gascón, Á. (2020). Researching unexplained phenomena: empirical-statistical validity and reliability of the Multivariable Multiaxial Suggestibility Inventory-2 (MMSI-2). </w:t>
      </w:r>
      <w:r w:rsidRPr="00F21E13">
        <w:rPr>
          <w:rFonts w:cs="Times New Roman"/>
          <w:i/>
          <w:iCs/>
          <w:noProof/>
          <w:lang w:val="en-US"/>
        </w:rPr>
        <w:t>Heliyon</w:t>
      </w:r>
      <w:r w:rsidRPr="00F21E13">
        <w:rPr>
          <w:rFonts w:cs="Times New Roman"/>
          <w:noProof/>
          <w:lang w:val="en-US"/>
        </w:rPr>
        <w:t xml:space="preserve">, </w:t>
      </w:r>
      <w:r w:rsidRPr="00F21E13">
        <w:rPr>
          <w:rFonts w:cs="Times New Roman"/>
          <w:i/>
          <w:iCs/>
          <w:noProof/>
          <w:lang w:val="en-US"/>
        </w:rPr>
        <w:t>6</w:t>
      </w:r>
      <w:r w:rsidRPr="00F21E13">
        <w:rPr>
          <w:rFonts w:cs="Times New Roman"/>
          <w:noProof/>
          <w:lang w:val="en-US"/>
        </w:rPr>
        <w:t>(7), e04291. https://doi.org/10.1016/j.heliyon.2020.e04291</w:t>
      </w:r>
    </w:p>
    <w:p w14:paraId="603166DB"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Fassler, O., Lynn, S. J., &amp; Knox, J. (2008). Is hypnotic suggestibility a stable trait? </w:t>
      </w:r>
      <w:r w:rsidRPr="00F21E13">
        <w:rPr>
          <w:rFonts w:cs="Times New Roman"/>
          <w:i/>
          <w:iCs/>
          <w:noProof/>
          <w:lang w:val="en-US"/>
        </w:rPr>
        <w:t>Consciousness and Cognition</w:t>
      </w:r>
      <w:r w:rsidRPr="00F21E13">
        <w:rPr>
          <w:rFonts w:cs="Times New Roman"/>
          <w:noProof/>
          <w:lang w:val="en-US"/>
        </w:rPr>
        <w:t xml:space="preserve">, </w:t>
      </w:r>
      <w:r w:rsidRPr="00F21E13">
        <w:rPr>
          <w:rFonts w:cs="Times New Roman"/>
          <w:i/>
          <w:iCs/>
          <w:noProof/>
          <w:lang w:val="en-US"/>
        </w:rPr>
        <w:t>17</w:t>
      </w:r>
      <w:r w:rsidRPr="00F21E13">
        <w:rPr>
          <w:rFonts w:cs="Times New Roman"/>
          <w:noProof/>
          <w:lang w:val="en-US"/>
        </w:rPr>
        <w:t>(1), 240–253. https://doi.org/10.1016/j.concog.2007.05.004</w:t>
      </w:r>
    </w:p>
    <w:p w14:paraId="6243C143"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Gilman, J. M., Curran, M. T., Calderon, V., Stoeckel, L. E., &amp; Evins, A. E. (2014). Impulsive Social Influence Increases Impulsive Choices on a Temporal Discounting Task in Young Adults. </w:t>
      </w:r>
      <w:r w:rsidRPr="00F21E13">
        <w:rPr>
          <w:rFonts w:cs="Times New Roman"/>
          <w:i/>
          <w:iCs/>
          <w:noProof/>
          <w:lang w:val="en-US"/>
        </w:rPr>
        <w:t>PLoS ONE</w:t>
      </w:r>
      <w:r w:rsidRPr="00F21E13">
        <w:rPr>
          <w:rFonts w:cs="Times New Roman"/>
          <w:noProof/>
          <w:lang w:val="en-US"/>
        </w:rPr>
        <w:t xml:space="preserve">, </w:t>
      </w:r>
      <w:r w:rsidRPr="00F21E13">
        <w:rPr>
          <w:rFonts w:cs="Times New Roman"/>
          <w:i/>
          <w:iCs/>
          <w:noProof/>
          <w:lang w:val="en-US"/>
        </w:rPr>
        <w:t>9</w:t>
      </w:r>
      <w:r w:rsidRPr="00F21E13">
        <w:rPr>
          <w:rFonts w:cs="Times New Roman"/>
          <w:noProof/>
          <w:lang w:val="en-US"/>
        </w:rPr>
        <w:t>(7), e101570. https://doi.org/10.1371/journal.pone.0101570</w:t>
      </w:r>
    </w:p>
    <w:p w14:paraId="5C5A2225"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Gudjonsson, G. H., &amp; Clark, N. K. (1986). Suggestibility in police interrogation: A social psychological model. </w:t>
      </w:r>
      <w:r w:rsidRPr="00F21E13">
        <w:rPr>
          <w:rFonts w:cs="Times New Roman"/>
          <w:i/>
          <w:iCs/>
          <w:noProof/>
          <w:lang w:val="en-US"/>
        </w:rPr>
        <w:t>Social Behaviour</w:t>
      </w:r>
      <w:r w:rsidRPr="00F21E13">
        <w:rPr>
          <w:rFonts w:cs="Times New Roman"/>
          <w:noProof/>
          <w:lang w:val="en-US"/>
        </w:rPr>
        <w:t xml:space="preserve">, </w:t>
      </w:r>
      <w:r w:rsidRPr="00F21E13">
        <w:rPr>
          <w:rFonts w:cs="Times New Roman"/>
          <w:i/>
          <w:iCs/>
          <w:noProof/>
          <w:lang w:val="en-US"/>
        </w:rPr>
        <w:t>1</w:t>
      </w:r>
      <w:r w:rsidRPr="00F21E13">
        <w:rPr>
          <w:rFonts w:cs="Times New Roman"/>
          <w:noProof/>
          <w:lang w:val="en-US"/>
        </w:rPr>
        <w:t>(2), 83–104.</w:t>
      </w:r>
    </w:p>
    <w:p w14:paraId="08DCDA7C"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Kagitcibasi, C. (2005). Autonomy and relatedness in cultural context implications for self and family. </w:t>
      </w:r>
      <w:r w:rsidRPr="00F21E13">
        <w:rPr>
          <w:rFonts w:cs="Times New Roman"/>
          <w:i/>
          <w:iCs/>
          <w:noProof/>
          <w:lang w:val="en-US"/>
        </w:rPr>
        <w:t>Journal of Cross-Cultural Psychology</w:t>
      </w:r>
      <w:r w:rsidRPr="00F21E13">
        <w:rPr>
          <w:rFonts w:cs="Times New Roman"/>
          <w:noProof/>
          <w:lang w:val="en-US"/>
        </w:rPr>
        <w:t xml:space="preserve">, </w:t>
      </w:r>
      <w:r w:rsidRPr="00F21E13">
        <w:rPr>
          <w:rFonts w:cs="Times New Roman"/>
          <w:i/>
          <w:iCs/>
          <w:noProof/>
          <w:lang w:val="en-US"/>
        </w:rPr>
        <w:t>36</w:t>
      </w:r>
      <w:r w:rsidRPr="00F21E13">
        <w:rPr>
          <w:rFonts w:cs="Times New Roman"/>
          <w:noProof/>
          <w:lang w:val="en-US"/>
        </w:rPr>
        <w:t>(4), 403–422. https://doi.org/10.1177/0022022105275959</w:t>
      </w:r>
    </w:p>
    <w:p w14:paraId="1BB66FE3"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Kagitcibasi, C. (2012). Sociocultural Change and Integrative Syntheses in Human Development: Autonomous-Related Self and Social–Cognitive Competence. </w:t>
      </w:r>
      <w:r w:rsidRPr="00F21E13">
        <w:rPr>
          <w:rFonts w:cs="Times New Roman"/>
          <w:i/>
          <w:iCs/>
          <w:noProof/>
          <w:lang w:val="en-US"/>
        </w:rPr>
        <w:t>Child Development Perspectives</w:t>
      </w:r>
      <w:r w:rsidRPr="00F21E13">
        <w:rPr>
          <w:rFonts w:cs="Times New Roman"/>
          <w:noProof/>
          <w:lang w:val="en-US"/>
        </w:rPr>
        <w:t xml:space="preserve">, </w:t>
      </w:r>
      <w:r w:rsidRPr="00F21E13">
        <w:rPr>
          <w:rFonts w:cs="Times New Roman"/>
          <w:i/>
          <w:iCs/>
          <w:noProof/>
          <w:lang w:val="en-US"/>
        </w:rPr>
        <w:t>6</w:t>
      </w:r>
      <w:r w:rsidRPr="00F21E13">
        <w:rPr>
          <w:rFonts w:cs="Times New Roman"/>
          <w:noProof/>
          <w:lang w:val="en-US"/>
        </w:rPr>
        <w:t>(1), 5–11. https://doi.org/10.1111/J.1750-8606.2011.00173.X</w:t>
      </w:r>
    </w:p>
    <w:p w14:paraId="40EF0AB7"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Kagıtçıbaşı, C. (2013). Autonomous-Related Self. In </w:t>
      </w:r>
      <w:r w:rsidRPr="00F21E13">
        <w:rPr>
          <w:rFonts w:cs="Times New Roman"/>
          <w:i/>
          <w:iCs/>
          <w:noProof/>
          <w:lang w:val="en-US"/>
        </w:rPr>
        <w:t>Family, self, and human development across cultures: Theory and applications</w:t>
      </w:r>
      <w:r w:rsidRPr="00F21E13">
        <w:rPr>
          <w:rFonts w:cs="Times New Roman"/>
          <w:noProof/>
          <w:lang w:val="en-US"/>
        </w:rPr>
        <w:t xml:space="preserve"> (p. pp.165-207).</w:t>
      </w:r>
    </w:p>
    <w:p w14:paraId="2D7AF19D"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lastRenderedPageBreak/>
        <w:t xml:space="preserve">Kaviani, H., &amp; Hatami, N. (2016). Link between Mindfulness and Personality-Related Factors Including Empathy, Theory of Mind, Openness, Pro-social Behaviour and Suggestibility. </w:t>
      </w:r>
      <w:r w:rsidRPr="00F21E13">
        <w:rPr>
          <w:rFonts w:cs="Times New Roman"/>
          <w:i/>
          <w:iCs/>
          <w:noProof/>
          <w:lang w:val="en-US"/>
        </w:rPr>
        <w:t>Clinical Depression</w:t>
      </w:r>
      <w:r w:rsidRPr="00F21E13">
        <w:rPr>
          <w:rFonts w:cs="Times New Roman"/>
          <w:noProof/>
          <w:lang w:val="en-US"/>
        </w:rPr>
        <w:t xml:space="preserve">, </w:t>
      </w:r>
      <w:r w:rsidRPr="00F21E13">
        <w:rPr>
          <w:rFonts w:cs="Times New Roman"/>
          <w:i/>
          <w:iCs/>
          <w:noProof/>
          <w:lang w:val="en-US"/>
        </w:rPr>
        <w:t>02</w:t>
      </w:r>
      <w:r w:rsidRPr="00F21E13">
        <w:rPr>
          <w:rFonts w:cs="Times New Roman"/>
          <w:noProof/>
          <w:lang w:val="en-US"/>
        </w:rPr>
        <w:t>(04). https://doi.org/10.4172/2572-0791.1000119</w:t>
      </w:r>
    </w:p>
    <w:p w14:paraId="6093D36C"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Kirsch, I. (1997). Suggestibility or hypnosis: What do our scales really measure? </w:t>
      </w:r>
      <w:r w:rsidRPr="00F21E13">
        <w:rPr>
          <w:rFonts w:cs="Times New Roman"/>
          <w:i/>
          <w:iCs/>
          <w:noProof/>
          <w:lang w:val="en-US"/>
        </w:rPr>
        <w:t>International Journal of Clinical and Experimental Hypnosis</w:t>
      </w:r>
      <w:r w:rsidRPr="00F21E13">
        <w:rPr>
          <w:rFonts w:cs="Times New Roman"/>
          <w:noProof/>
          <w:lang w:val="en-US"/>
        </w:rPr>
        <w:t xml:space="preserve">, </w:t>
      </w:r>
      <w:r w:rsidRPr="00F21E13">
        <w:rPr>
          <w:rFonts w:cs="Times New Roman"/>
          <w:i/>
          <w:iCs/>
          <w:noProof/>
          <w:lang w:val="en-US"/>
        </w:rPr>
        <w:t>45</w:t>
      </w:r>
      <w:r w:rsidRPr="00F21E13">
        <w:rPr>
          <w:rFonts w:cs="Times New Roman"/>
          <w:noProof/>
          <w:lang w:val="en-US"/>
        </w:rPr>
        <w:t>(3), 212–225. https://doi.org/10.1080/00207149708416124</w:t>
      </w:r>
    </w:p>
    <w:p w14:paraId="2222C9B3"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Kotov, R. I., Bellman, S. B., &amp; Watson, D. B. (2004). </w:t>
      </w:r>
      <w:r w:rsidRPr="00F21E13">
        <w:rPr>
          <w:rFonts w:cs="Times New Roman"/>
          <w:i/>
          <w:iCs/>
          <w:noProof/>
          <w:lang w:val="en-US"/>
        </w:rPr>
        <w:t>Multidimensional Iowa suggestibility scale (MISS)</w:t>
      </w:r>
      <w:r w:rsidRPr="00F21E13">
        <w:rPr>
          <w:rFonts w:cs="Times New Roman"/>
          <w:noProof/>
          <w:lang w:val="en-US"/>
        </w:rPr>
        <w:t>. Stony Brook University.</w:t>
      </w:r>
    </w:p>
    <w:p w14:paraId="2BA0AE59"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Maraldo, T. M., Zhou, W., Dowling, J., &amp; Vander Wal, J. S. (2016). Replication and extension of the dual pathway model of disordered eating: The role of fear of negative evaluation, suggestibility, rumination, and self-compassion. </w:t>
      </w:r>
      <w:r w:rsidRPr="00F21E13">
        <w:rPr>
          <w:rFonts w:cs="Times New Roman"/>
          <w:i/>
          <w:iCs/>
          <w:noProof/>
          <w:lang w:val="en-US"/>
        </w:rPr>
        <w:t>Eating Behaviors</w:t>
      </w:r>
      <w:r w:rsidRPr="00F21E13">
        <w:rPr>
          <w:rFonts w:cs="Times New Roman"/>
          <w:noProof/>
          <w:lang w:val="en-US"/>
        </w:rPr>
        <w:t xml:space="preserve">, </w:t>
      </w:r>
      <w:r w:rsidRPr="00F21E13">
        <w:rPr>
          <w:rFonts w:cs="Times New Roman"/>
          <w:i/>
          <w:iCs/>
          <w:noProof/>
          <w:lang w:val="en-US"/>
        </w:rPr>
        <w:t>23</w:t>
      </w:r>
      <w:r w:rsidRPr="00F21E13">
        <w:rPr>
          <w:rFonts w:cs="Times New Roman"/>
          <w:noProof/>
          <w:lang w:val="en-US"/>
        </w:rPr>
        <w:t>, 187–194. https://doi.org/10.1016/J.EATBEH.2016.10.008</w:t>
      </w:r>
    </w:p>
    <w:p w14:paraId="4E4D4966"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Nitzan, U., Chalamish, Y., Krieger, I., Erez, H. B., Braw, Y., &amp; Lichtenberg, P. (2015). Suggestibility as a predictor of response to antidepressants: A preliminary prospective trial. </w:t>
      </w:r>
      <w:r w:rsidRPr="00F21E13">
        <w:rPr>
          <w:rFonts w:cs="Times New Roman"/>
          <w:i/>
          <w:iCs/>
          <w:noProof/>
          <w:lang w:val="en-US"/>
        </w:rPr>
        <w:t>Journal of Affective Disorders</w:t>
      </w:r>
      <w:r w:rsidRPr="00F21E13">
        <w:rPr>
          <w:rFonts w:cs="Times New Roman"/>
          <w:noProof/>
          <w:lang w:val="en-US"/>
        </w:rPr>
        <w:t xml:space="preserve">, </w:t>
      </w:r>
      <w:r w:rsidRPr="00F21E13">
        <w:rPr>
          <w:rFonts w:cs="Times New Roman"/>
          <w:i/>
          <w:iCs/>
          <w:noProof/>
          <w:lang w:val="en-US"/>
        </w:rPr>
        <w:t>185</w:t>
      </w:r>
      <w:r w:rsidRPr="00F21E13">
        <w:rPr>
          <w:rFonts w:cs="Times New Roman"/>
          <w:noProof/>
          <w:lang w:val="en-US"/>
        </w:rPr>
        <w:t>, 8–11. https://doi.org/10.1016/j.jad.2015.06.028</w:t>
      </w:r>
    </w:p>
    <w:p w14:paraId="0605A952"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Nunnally, J. C., &amp; Bernstein, I. H. (1994). </w:t>
      </w:r>
      <w:r w:rsidRPr="00F21E13">
        <w:rPr>
          <w:rFonts w:cs="Times New Roman"/>
          <w:i/>
          <w:iCs/>
          <w:noProof/>
          <w:lang w:val="en-US"/>
        </w:rPr>
        <w:t>Psychometric theory</w:t>
      </w:r>
      <w:r w:rsidRPr="00F21E13">
        <w:rPr>
          <w:rFonts w:cs="Times New Roman"/>
          <w:noProof/>
          <w:lang w:val="en-US"/>
        </w:rPr>
        <w:t>.</w:t>
      </w:r>
    </w:p>
    <w:p w14:paraId="223D6B68"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Ozcan, E. I. (2018). </w:t>
      </w:r>
      <w:r w:rsidRPr="00F21E13">
        <w:rPr>
          <w:rFonts w:cs="Times New Roman"/>
          <w:i/>
          <w:iCs/>
          <w:noProof/>
          <w:lang w:val="en-US"/>
        </w:rPr>
        <w:t>Gudjonsson yönlendirilebilirlik ölçeği Türkçe geçerlilik ve güvenirlilik çalışması</w:t>
      </w:r>
      <w:r w:rsidRPr="00F21E13">
        <w:rPr>
          <w:rFonts w:cs="Times New Roman"/>
          <w:noProof/>
          <w:lang w:val="en-US"/>
        </w:rPr>
        <w:t xml:space="preserve"> [İstanbul Üniversitesi ]. http://katalog.istanbul.edu.tr/client/tr_TR/default_tr/search/detailnonmodal?qu=Dissosiyatif+yaşantılar.&amp;d=ent%3A%2F%2FSD_ILS%2F0%2FSD_ILS%3A2243139~ILS~0&amp;ps=300</w:t>
      </w:r>
    </w:p>
    <w:p w14:paraId="294E4C99"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Pires, R., Silva, D. R., &amp; Ferreira, A. S. (2013). Personality styles and suggestibility: A differential approach. </w:t>
      </w:r>
      <w:r w:rsidRPr="00F21E13">
        <w:rPr>
          <w:rFonts w:cs="Times New Roman"/>
          <w:i/>
          <w:iCs/>
          <w:noProof/>
          <w:lang w:val="en-US"/>
        </w:rPr>
        <w:t>Personality and Individual Differences</w:t>
      </w:r>
      <w:r w:rsidRPr="00F21E13">
        <w:rPr>
          <w:rFonts w:cs="Times New Roman"/>
          <w:noProof/>
          <w:lang w:val="en-US"/>
        </w:rPr>
        <w:t xml:space="preserve">, </w:t>
      </w:r>
      <w:r w:rsidRPr="00F21E13">
        <w:rPr>
          <w:rFonts w:cs="Times New Roman"/>
          <w:i/>
          <w:iCs/>
          <w:noProof/>
          <w:lang w:val="en-US"/>
        </w:rPr>
        <w:t>55</w:t>
      </w:r>
      <w:r w:rsidRPr="00F21E13">
        <w:rPr>
          <w:rFonts w:cs="Times New Roman"/>
          <w:noProof/>
          <w:lang w:val="en-US"/>
        </w:rPr>
        <w:t>(4), 381–386. https://doi.org/10.1016/J.PAID.2013.03.017</w:t>
      </w:r>
    </w:p>
    <w:p w14:paraId="3BDD5EED"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Prete, M. I., Guido, G., &amp; Pichierri, M. (2013). Consumer Hypnotic-Like Suggestibility: Possible Mechanism in Compulsive Purchasing. </w:t>
      </w:r>
      <w:r w:rsidRPr="00F21E13">
        <w:rPr>
          <w:rFonts w:cs="Times New Roman"/>
          <w:i/>
          <w:iCs/>
          <w:noProof/>
          <w:lang w:val="en-US"/>
        </w:rPr>
        <w:t>Psychological Reports</w:t>
      </w:r>
      <w:r w:rsidRPr="00F21E13">
        <w:rPr>
          <w:rFonts w:cs="Times New Roman"/>
          <w:noProof/>
          <w:lang w:val="en-US"/>
        </w:rPr>
        <w:t xml:space="preserve">, </w:t>
      </w:r>
      <w:r w:rsidRPr="00F21E13">
        <w:rPr>
          <w:rFonts w:cs="Times New Roman"/>
          <w:i/>
          <w:iCs/>
          <w:noProof/>
          <w:lang w:val="en-US"/>
        </w:rPr>
        <w:t>113</w:t>
      </w:r>
      <w:r w:rsidRPr="00F21E13">
        <w:rPr>
          <w:rFonts w:cs="Times New Roman"/>
          <w:noProof/>
          <w:lang w:val="en-US"/>
        </w:rPr>
        <w:t>(1), 162–174. https://doi.org/10.2466/01.18.PR0.113x11z0</w:t>
      </w:r>
    </w:p>
    <w:p w14:paraId="368F7FAB"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Ray, M. K., Zachmann, A. E., Caudill, C. V., &amp; Boggiano, M. M. (2020). Relationship between </w:t>
      </w:r>
      <w:r w:rsidRPr="00F21E13">
        <w:rPr>
          <w:rFonts w:cs="Times New Roman"/>
          <w:noProof/>
          <w:lang w:val="en-US"/>
        </w:rPr>
        <w:lastRenderedPageBreak/>
        <w:t xml:space="preserve">trait suggestibility and eating-related behaviors in overweight and obesity. </w:t>
      </w:r>
      <w:r w:rsidRPr="00F21E13">
        <w:rPr>
          <w:rFonts w:cs="Times New Roman"/>
          <w:i/>
          <w:iCs/>
          <w:noProof/>
          <w:lang w:val="en-US"/>
        </w:rPr>
        <w:t>Eating Behaviors</w:t>
      </w:r>
      <w:r w:rsidRPr="00F21E13">
        <w:rPr>
          <w:rFonts w:cs="Times New Roman"/>
          <w:noProof/>
          <w:lang w:val="en-US"/>
        </w:rPr>
        <w:t xml:space="preserve">, </w:t>
      </w:r>
      <w:r w:rsidRPr="00F21E13">
        <w:rPr>
          <w:rFonts w:cs="Times New Roman"/>
          <w:i/>
          <w:iCs/>
          <w:noProof/>
          <w:lang w:val="en-US"/>
        </w:rPr>
        <w:t>37</w:t>
      </w:r>
      <w:r w:rsidRPr="00F21E13">
        <w:rPr>
          <w:rFonts w:cs="Times New Roman"/>
          <w:noProof/>
          <w:lang w:val="en-US"/>
        </w:rPr>
        <w:t>, 101380. https://doi.org/10.1016/j.eatbeh.2020.101380</w:t>
      </w:r>
    </w:p>
    <w:p w14:paraId="3A21873B"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Scullin, M. H., &amp; Ceci, S. J. (2001). A suggestibility scale for children. </w:t>
      </w:r>
      <w:r w:rsidRPr="00F21E13">
        <w:rPr>
          <w:rFonts w:cs="Times New Roman"/>
          <w:i/>
          <w:iCs/>
          <w:noProof/>
          <w:lang w:val="en-US"/>
        </w:rPr>
        <w:t>Personality and Individual Differences</w:t>
      </w:r>
      <w:r w:rsidRPr="00F21E13">
        <w:rPr>
          <w:rFonts w:cs="Times New Roman"/>
          <w:noProof/>
          <w:lang w:val="en-US"/>
        </w:rPr>
        <w:t xml:space="preserve">, </w:t>
      </w:r>
      <w:r w:rsidRPr="00F21E13">
        <w:rPr>
          <w:rFonts w:cs="Times New Roman"/>
          <w:i/>
          <w:iCs/>
          <w:noProof/>
          <w:lang w:val="en-US"/>
        </w:rPr>
        <w:t>30</w:t>
      </w:r>
      <w:r w:rsidRPr="00F21E13">
        <w:rPr>
          <w:rFonts w:cs="Times New Roman"/>
          <w:noProof/>
          <w:lang w:val="en-US"/>
        </w:rPr>
        <w:t>(5), 843–856. https://doi.org/10.1016/S0191-8869(00)00077-5</w:t>
      </w:r>
    </w:p>
    <w:p w14:paraId="334DC08B"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Stangl, B. L., Schuster, R. M., Schneider, A., Dechert, A., Potter, K. W., Hareli, M., Mahmud, F., Yalin, E. R., Ramchandani, V. A., &amp; Gilman, J. M. (2019). Suggestibility is associated with alcohol self-administration, subjective alcohol effects, and self-reported drinking behavior. </w:t>
      </w:r>
      <w:r w:rsidRPr="00F21E13">
        <w:rPr>
          <w:rFonts w:cs="Times New Roman"/>
          <w:i/>
          <w:iCs/>
          <w:noProof/>
          <w:lang w:val="en-US"/>
        </w:rPr>
        <w:t>Journal of Psychopharmacology</w:t>
      </w:r>
      <w:r w:rsidRPr="00F21E13">
        <w:rPr>
          <w:rFonts w:cs="Times New Roman"/>
          <w:noProof/>
          <w:lang w:val="en-US"/>
        </w:rPr>
        <w:t xml:space="preserve">, </w:t>
      </w:r>
      <w:r w:rsidRPr="00F21E13">
        <w:rPr>
          <w:rFonts w:cs="Times New Roman"/>
          <w:i/>
          <w:iCs/>
          <w:noProof/>
          <w:lang w:val="en-US"/>
        </w:rPr>
        <w:t>33</w:t>
      </w:r>
      <w:r w:rsidRPr="00F21E13">
        <w:rPr>
          <w:rFonts w:cs="Times New Roman"/>
          <w:noProof/>
          <w:lang w:val="en-US"/>
        </w:rPr>
        <w:t>(7), 769–778. https://doi.org/10.1177/0269881119827813</w:t>
      </w:r>
    </w:p>
    <w:p w14:paraId="48E073BB"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Szpitalak, M., &amp; Polczyk, R. (2016). Reinforced self-affirmation and interrogative suggestibility. </w:t>
      </w:r>
      <w:r w:rsidRPr="00F21E13">
        <w:rPr>
          <w:rFonts w:cs="Times New Roman"/>
          <w:i/>
          <w:iCs/>
          <w:noProof/>
          <w:lang w:val="en-US"/>
        </w:rPr>
        <w:t>Psychiatry, Psychology and Law</w:t>
      </w:r>
      <w:r w:rsidRPr="00F21E13">
        <w:rPr>
          <w:rFonts w:cs="Times New Roman"/>
          <w:noProof/>
          <w:lang w:val="en-US"/>
        </w:rPr>
        <w:t xml:space="preserve">, </w:t>
      </w:r>
      <w:r w:rsidRPr="00F21E13">
        <w:rPr>
          <w:rFonts w:cs="Times New Roman"/>
          <w:i/>
          <w:iCs/>
          <w:noProof/>
          <w:lang w:val="en-US"/>
        </w:rPr>
        <w:t>23</w:t>
      </w:r>
      <w:r w:rsidRPr="00F21E13">
        <w:rPr>
          <w:rFonts w:cs="Times New Roman"/>
          <w:noProof/>
          <w:lang w:val="en-US"/>
        </w:rPr>
        <w:t>(4), 512–520. https://doi.org/10.1080/13218719.2015.1081088</w:t>
      </w:r>
    </w:p>
    <w:p w14:paraId="65C4A19A" w14:textId="77777777" w:rsidR="00F21E13" w:rsidRPr="00F21E13" w:rsidRDefault="00F21E13" w:rsidP="00F21E13">
      <w:pPr>
        <w:widowControl w:val="0"/>
        <w:autoSpaceDE w:val="0"/>
        <w:autoSpaceDN w:val="0"/>
        <w:adjustRightInd w:val="0"/>
        <w:spacing w:line="360" w:lineRule="auto"/>
        <w:ind w:left="480" w:hanging="480"/>
        <w:rPr>
          <w:rFonts w:cs="Times New Roman"/>
          <w:noProof/>
          <w:lang w:val="en-US"/>
        </w:rPr>
      </w:pPr>
      <w:r w:rsidRPr="00F21E13">
        <w:rPr>
          <w:rFonts w:cs="Times New Roman"/>
          <w:noProof/>
          <w:lang w:val="en-US"/>
        </w:rPr>
        <w:t xml:space="preserve">Tastan, K., Demiroz, H. P., Oztekin, C., &amp; Sincan, S. (2019). Development and Validation of a Turkish Hypnotic Suggestibility Scale. </w:t>
      </w:r>
      <w:r w:rsidRPr="00F21E13">
        <w:rPr>
          <w:rFonts w:cs="Times New Roman"/>
          <w:i/>
          <w:iCs/>
          <w:noProof/>
          <w:lang w:val="en-US"/>
        </w:rPr>
        <w:t>JPMA. The Journal of the Pakistan Medical Association</w:t>
      </w:r>
      <w:r w:rsidRPr="00F21E13">
        <w:rPr>
          <w:rFonts w:cs="Times New Roman"/>
          <w:noProof/>
          <w:lang w:val="en-US"/>
        </w:rPr>
        <w:t xml:space="preserve">, </w:t>
      </w:r>
      <w:r w:rsidRPr="00F21E13">
        <w:rPr>
          <w:rFonts w:cs="Times New Roman"/>
          <w:i/>
          <w:iCs/>
          <w:noProof/>
          <w:lang w:val="en-US"/>
        </w:rPr>
        <w:t>69</w:t>
      </w:r>
      <w:r w:rsidRPr="00F21E13">
        <w:rPr>
          <w:rFonts w:cs="Times New Roman"/>
          <w:noProof/>
          <w:lang w:val="en-US"/>
        </w:rPr>
        <w:t>(9), 1236–1330. https://europepmc.org/article/med/31511719</w:t>
      </w:r>
    </w:p>
    <w:p w14:paraId="43787486" w14:textId="77777777" w:rsidR="00F21E13" w:rsidRPr="00F21E13" w:rsidRDefault="00F21E13" w:rsidP="00F21E13">
      <w:pPr>
        <w:widowControl w:val="0"/>
        <w:autoSpaceDE w:val="0"/>
        <w:autoSpaceDN w:val="0"/>
        <w:adjustRightInd w:val="0"/>
        <w:spacing w:line="360" w:lineRule="auto"/>
        <w:ind w:left="480" w:hanging="480"/>
        <w:rPr>
          <w:rFonts w:cs="Times New Roman"/>
          <w:noProof/>
        </w:rPr>
      </w:pPr>
      <w:r w:rsidRPr="00F21E13">
        <w:rPr>
          <w:rFonts w:cs="Times New Roman"/>
          <w:noProof/>
          <w:lang w:val="en-US"/>
        </w:rPr>
        <w:t xml:space="preserve">Yıldırım, M. S. Ö., &amp; Ermiş, E. N. (2017). The predictive role of autonomous-related self of adolescent and the critical thinking disposition of parents on adolescent psychological resilience. </w:t>
      </w:r>
      <w:r w:rsidRPr="00F21E13">
        <w:rPr>
          <w:rFonts w:cs="Times New Roman"/>
          <w:i/>
          <w:iCs/>
          <w:noProof/>
          <w:lang w:val="en-US"/>
        </w:rPr>
        <w:t>International Journal of Social Sciences and Education Research</w:t>
      </w:r>
      <w:r w:rsidRPr="00F21E13">
        <w:rPr>
          <w:rFonts w:cs="Times New Roman"/>
          <w:noProof/>
          <w:lang w:val="en-US"/>
        </w:rPr>
        <w:t xml:space="preserve">, </w:t>
      </w:r>
      <w:r w:rsidRPr="00F21E13">
        <w:rPr>
          <w:rFonts w:cs="Times New Roman"/>
          <w:i/>
          <w:iCs/>
          <w:noProof/>
          <w:lang w:val="en-US"/>
        </w:rPr>
        <w:t>3</w:t>
      </w:r>
      <w:r w:rsidRPr="00F21E13">
        <w:rPr>
          <w:rFonts w:cs="Times New Roman"/>
          <w:noProof/>
          <w:lang w:val="en-US"/>
        </w:rPr>
        <w:t>(1), 319–327. https://doi.org/10.24289/IJSSER.268562</w:t>
      </w:r>
    </w:p>
    <w:p w14:paraId="6F5EC155" w14:textId="7F1B21E0" w:rsidR="00627172" w:rsidRPr="00F97C61" w:rsidRDefault="00C82D42" w:rsidP="00F21E13">
      <w:pPr>
        <w:widowControl w:val="0"/>
        <w:autoSpaceDE w:val="0"/>
        <w:autoSpaceDN w:val="0"/>
        <w:adjustRightInd w:val="0"/>
        <w:spacing w:line="360" w:lineRule="auto"/>
        <w:ind w:left="480" w:hanging="480"/>
        <w:rPr>
          <w:color w:val="000000" w:themeColor="text1"/>
        </w:rPr>
      </w:pPr>
      <w:r w:rsidRPr="00F97C61">
        <w:rPr>
          <w:color w:val="000000" w:themeColor="text1"/>
        </w:rPr>
        <w:fldChar w:fldCharType="end"/>
      </w:r>
    </w:p>
    <w:p w14:paraId="39FBC78B" w14:textId="0B22EB1A" w:rsidR="000C0BA0" w:rsidRPr="00F97C61" w:rsidRDefault="000C0BA0" w:rsidP="002D0914">
      <w:pPr>
        <w:spacing w:line="360" w:lineRule="auto"/>
        <w:ind w:left="1701" w:hanging="850"/>
        <w:rPr>
          <w:color w:val="000000" w:themeColor="text1"/>
        </w:rPr>
      </w:pPr>
    </w:p>
    <w:p w14:paraId="55A2027C" w14:textId="77777777" w:rsidR="000C0BA0" w:rsidRPr="00F97C61" w:rsidRDefault="000C0BA0" w:rsidP="002D0914">
      <w:pPr>
        <w:spacing w:line="360" w:lineRule="auto"/>
        <w:ind w:left="1701" w:hanging="850"/>
        <w:rPr>
          <w:color w:val="000000" w:themeColor="text1"/>
        </w:rPr>
      </w:pPr>
    </w:p>
    <w:p w14:paraId="73CF7309" w14:textId="4B675147" w:rsidR="00216721" w:rsidRPr="00F97C61" w:rsidRDefault="00216721" w:rsidP="002D0914">
      <w:pPr>
        <w:spacing w:line="360" w:lineRule="auto"/>
        <w:ind w:left="1701" w:hanging="850"/>
        <w:rPr>
          <w:color w:val="000000" w:themeColor="text1"/>
        </w:rPr>
      </w:pPr>
    </w:p>
    <w:sectPr w:rsidR="00216721" w:rsidRPr="00F97C6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4F41" w14:textId="77777777" w:rsidR="000352CC" w:rsidRDefault="000352CC" w:rsidP="00BD4A0E">
      <w:pPr>
        <w:spacing w:after="0" w:line="240" w:lineRule="auto"/>
      </w:pPr>
      <w:r>
        <w:separator/>
      </w:r>
    </w:p>
  </w:endnote>
  <w:endnote w:type="continuationSeparator" w:id="0">
    <w:p w14:paraId="30043F5E" w14:textId="77777777" w:rsidR="000352CC" w:rsidRDefault="000352CC" w:rsidP="00BD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35280"/>
      <w:docPartObj>
        <w:docPartGallery w:val="Page Numbers (Bottom of Page)"/>
        <w:docPartUnique/>
      </w:docPartObj>
    </w:sdtPr>
    <w:sdtEndPr/>
    <w:sdtContent>
      <w:p w14:paraId="6662E119" w14:textId="2C7B0E65" w:rsidR="00842F4E" w:rsidRDefault="00842F4E">
        <w:pPr>
          <w:pStyle w:val="AltBilgi"/>
          <w:jc w:val="right"/>
        </w:pPr>
        <w:r>
          <w:fldChar w:fldCharType="begin"/>
        </w:r>
        <w:r>
          <w:instrText>PAGE   \* MERGEFORMAT</w:instrText>
        </w:r>
        <w:r>
          <w:fldChar w:fldCharType="separate"/>
        </w:r>
        <w:r>
          <w:t>2</w:t>
        </w:r>
        <w:r>
          <w:fldChar w:fldCharType="end"/>
        </w:r>
      </w:p>
    </w:sdtContent>
  </w:sdt>
  <w:p w14:paraId="315E3CF2" w14:textId="77777777" w:rsidR="00842F4E" w:rsidRDefault="00842F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F647" w14:textId="77777777" w:rsidR="000352CC" w:rsidRDefault="000352CC" w:rsidP="00BD4A0E">
      <w:pPr>
        <w:spacing w:after="0" w:line="240" w:lineRule="auto"/>
      </w:pPr>
      <w:r>
        <w:separator/>
      </w:r>
    </w:p>
  </w:footnote>
  <w:footnote w:type="continuationSeparator" w:id="0">
    <w:p w14:paraId="48F495E1" w14:textId="77777777" w:rsidR="000352CC" w:rsidRDefault="000352CC" w:rsidP="00BD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10"/>
    <w:multiLevelType w:val="hybridMultilevel"/>
    <w:tmpl w:val="4FEA5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462078"/>
    <w:multiLevelType w:val="hybridMultilevel"/>
    <w:tmpl w:val="A3F45114"/>
    <w:lvl w:ilvl="0" w:tplc="FC0C2274">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6F50529"/>
    <w:multiLevelType w:val="hybridMultilevel"/>
    <w:tmpl w:val="5E6E0012"/>
    <w:lvl w:ilvl="0" w:tplc="FC0C2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97260903">
    <w:abstractNumId w:val="2"/>
  </w:num>
  <w:num w:numId="2" w16cid:durableId="66462601">
    <w:abstractNumId w:val="0"/>
  </w:num>
  <w:num w:numId="3" w16cid:durableId="150747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1B"/>
    <w:rsid w:val="000170DA"/>
    <w:rsid w:val="00033C01"/>
    <w:rsid w:val="000352CC"/>
    <w:rsid w:val="00047D80"/>
    <w:rsid w:val="00070BC5"/>
    <w:rsid w:val="000722CA"/>
    <w:rsid w:val="0008682A"/>
    <w:rsid w:val="00090D32"/>
    <w:rsid w:val="000913C0"/>
    <w:rsid w:val="0009613D"/>
    <w:rsid w:val="000C0BA0"/>
    <w:rsid w:val="000D3280"/>
    <w:rsid w:val="000D48AE"/>
    <w:rsid w:val="000E06C5"/>
    <w:rsid w:val="000F2AFB"/>
    <w:rsid w:val="001002CA"/>
    <w:rsid w:val="00132BD1"/>
    <w:rsid w:val="001547B7"/>
    <w:rsid w:val="00156990"/>
    <w:rsid w:val="001A7B17"/>
    <w:rsid w:val="001B2890"/>
    <w:rsid w:val="001F203E"/>
    <w:rsid w:val="002018B3"/>
    <w:rsid w:val="00204FF1"/>
    <w:rsid w:val="00216721"/>
    <w:rsid w:val="002276FE"/>
    <w:rsid w:val="00240CD7"/>
    <w:rsid w:val="00271415"/>
    <w:rsid w:val="0027265D"/>
    <w:rsid w:val="002917F4"/>
    <w:rsid w:val="002B5C87"/>
    <w:rsid w:val="002C0B00"/>
    <w:rsid w:val="002D0914"/>
    <w:rsid w:val="002E4466"/>
    <w:rsid w:val="002E534C"/>
    <w:rsid w:val="002F193D"/>
    <w:rsid w:val="002F403D"/>
    <w:rsid w:val="002F4479"/>
    <w:rsid w:val="002F73AD"/>
    <w:rsid w:val="00300C1B"/>
    <w:rsid w:val="003047D0"/>
    <w:rsid w:val="003177FB"/>
    <w:rsid w:val="00327262"/>
    <w:rsid w:val="00330661"/>
    <w:rsid w:val="00367D9F"/>
    <w:rsid w:val="00375F1B"/>
    <w:rsid w:val="003765D7"/>
    <w:rsid w:val="00386185"/>
    <w:rsid w:val="003B2CF5"/>
    <w:rsid w:val="003D1EB6"/>
    <w:rsid w:val="003E6140"/>
    <w:rsid w:val="003F5E62"/>
    <w:rsid w:val="00400883"/>
    <w:rsid w:val="004246B1"/>
    <w:rsid w:val="00444DF6"/>
    <w:rsid w:val="00475754"/>
    <w:rsid w:val="0048221D"/>
    <w:rsid w:val="004860CA"/>
    <w:rsid w:val="004A3EF6"/>
    <w:rsid w:val="004B228D"/>
    <w:rsid w:val="004C22A1"/>
    <w:rsid w:val="004D2C71"/>
    <w:rsid w:val="004F0324"/>
    <w:rsid w:val="004F301A"/>
    <w:rsid w:val="00502270"/>
    <w:rsid w:val="00507AAF"/>
    <w:rsid w:val="00507CFE"/>
    <w:rsid w:val="005147DC"/>
    <w:rsid w:val="00516848"/>
    <w:rsid w:val="00520FC3"/>
    <w:rsid w:val="00534C07"/>
    <w:rsid w:val="00543EEE"/>
    <w:rsid w:val="005500B5"/>
    <w:rsid w:val="00571314"/>
    <w:rsid w:val="005717CC"/>
    <w:rsid w:val="00573539"/>
    <w:rsid w:val="00576253"/>
    <w:rsid w:val="00582CF5"/>
    <w:rsid w:val="00583936"/>
    <w:rsid w:val="00583A24"/>
    <w:rsid w:val="0059086B"/>
    <w:rsid w:val="0059223E"/>
    <w:rsid w:val="005A75F3"/>
    <w:rsid w:val="005C60B2"/>
    <w:rsid w:val="005D3AAE"/>
    <w:rsid w:val="005E212F"/>
    <w:rsid w:val="005E7E97"/>
    <w:rsid w:val="005F0F42"/>
    <w:rsid w:val="00600F82"/>
    <w:rsid w:val="00612F02"/>
    <w:rsid w:val="00627172"/>
    <w:rsid w:val="006318E5"/>
    <w:rsid w:val="0064104F"/>
    <w:rsid w:val="00681EF9"/>
    <w:rsid w:val="006946EB"/>
    <w:rsid w:val="006A14C9"/>
    <w:rsid w:val="006B0295"/>
    <w:rsid w:val="006B5D8F"/>
    <w:rsid w:val="006C195A"/>
    <w:rsid w:val="006C766A"/>
    <w:rsid w:val="006D5CCE"/>
    <w:rsid w:val="006E35FA"/>
    <w:rsid w:val="00702D01"/>
    <w:rsid w:val="00702DBA"/>
    <w:rsid w:val="0070749F"/>
    <w:rsid w:val="007144B3"/>
    <w:rsid w:val="00733E8C"/>
    <w:rsid w:val="00750F06"/>
    <w:rsid w:val="007522E8"/>
    <w:rsid w:val="00765DAF"/>
    <w:rsid w:val="007830C0"/>
    <w:rsid w:val="007A21E0"/>
    <w:rsid w:val="007A27C1"/>
    <w:rsid w:val="007A5207"/>
    <w:rsid w:val="007D408A"/>
    <w:rsid w:val="007D5988"/>
    <w:rsid w:val="007E4C6E"/>
    <w:rsid w:val="007F4B9E"/>
    <w:rsid w:val="007F7DDA"/>
    <w:rsid w:val="008034AC"/>
    <w:rsid w:val="0080519B"/>
    <w:rsid w:val="00812140"/>
    <w:rsid w:val="00813295"/>
    <w:rsid w:val="0082760B"/>
    <w:rsid w:val="00842F4E"/>
    <w:rsid w:val="0087455A"/>
    <w:rsid w:val="0088409D"/>
    <w:rsid w:val="00893215"/>
    <w:rsid w:val="008A183B"/>
    <w:rsid w:val="008B2DF7"/>
    <w:rsid w:val="008B6B9D"/>
    <w:rsid w:val="008E67BA"/>
    <w:rsid w:val="00902A7D"/>
    <w:rsid w:val="009037F5"/>
    <w:rsid w:val="009045B4"/>
    <w:rsid w:val="0090601D"/>
    <w:rsid w:val="00907E77"/>
    <w:rsid w:val="00913AE9"/>
    <w:rsid w:val="00914D34"/>
    <w:rsid w:val="009375A8"/>
    <w:rsid w:val="00962EC6"/>
    <w:rsid w:val="0096775E"/>
    <w:rsid w:val="009723C7"/>
    <w:rsid w:val="00975852"/>
    <w:rsid w:val="0098785C"/>
    <w:rsid w:val="0099161F"/>
    <w:rsid w:val="00992118"/>
    <w:rsid w:val="009948BA"/>
    <w:rsid w:val="009A54EA"/>
    <w:rsid w:val="009A6609"/>
    <w:rsid w:val="009A69D4"/>
    <w:rsid w:val="009C7C92"/>
    <w:rsid w:val="009E659E"/>
    <w:rsid w:val="00A05FE6"/>
    <w:rsid w:val="00A22C4B"/>
    <w:rsid w:val="00A24F84"/>
    <w:rsid w:val="00A34B18"/>
    <w:rsid w:val="00A41AE3"/>
    <w:rsid w:val="00A42654"/>
    <w:rsid w:val="00A43019"/>
    <w:rsid w:val="00A51AC5"/>
    <w:rsid w:val="00A67408"/>
    <w:rsid w:val="00A71A54"/>
    <w:rsid w:val="00A76F38"/>
    <w:rsid w:val="00A95345"/>
    <w:rsid w:val="00AB3CAC"/>
    <w:rsid w:val="00AD23BA"/>
    <w:rsid w:val="00AD307F"/>
    <w:rsid w:val="00AF2AEB"/>
    <w:rsid w:val="00AF3690"/>
    <w:rsid w:val="00B24AB4"/>
    <w:rsid w:val="00B30324"/>
    <w:rsid w:val="00B344DB"/>
    <w:rsid w:val="00B359E6"/>
    <w:rsid w:val="00B43846"/>
    <w:rsid w:val="00B452FE"/>
    <w:rsid w:val="00B57FF7"/>
    <w:rsid w:val="00B679B2"/>
    <w:rsid w:val="00B75A25"/>
    <w:rsid w:val="00B84A79"/>
    <w:rsid w:val="00BA2DEA"/>
    <w:rsid w:val="00BB0441"/>
    <w:rsid w:val="00BB32A2"/>
    <w:rsid w:val="00BC029A"/>
    <w:rsid w:val="00BC68CC"/>
    <w:rsid w:val="00BD0596"/>
    <w:rsid w:val="00BD4A0E"/>
    <w:rsid w:val="00BE1ABC"/>
    <w:rsid w:val="00BE62A1"/>
    <w:rsid w:val="00C10731"/>
    <w:rsid w:val="00C11340"/>
    <w:rsid w:val="00C13610"/>
    <w:rsid w:val="00C3736E"/>
    <w:rsid w:val="00C4194E"/>
    <w:rsid w:val="00C82D42"/>
    <w:rsid w:val="00C84E54"/>
    <w:rsid w:val="00C96270"/>
    <w:rsid w:val="00CA3137"/>
    <w:rsid w:val="00CD3F54"/>
    <w:rsid w:val="00CD464A"/>
    <w:rsid w:val="00CE2087"/>
    <w:rsid w:val="00CF2920"/>
    <w:rsid w:val="00CF64EB"/>
    <w:rsid w:val="00D04EF3"/>
    <w:rsid w:val="00D140C7"/>
    <w:rsid w:val="00D20AB9"/>
    <w:rsid w:val="00D24608"/>
    <w:rsid w:val="00D25F53"/>
    <w:rsid w:val="00D37A42"/>
    <w:rsid w:val="00D53E9D"/>
    <w:rsid w:val="00D5474E"/>
    <w:rsid w:val="00D65717"/>
    <w:rsid w:val="00D65CC7"/>
    <w:rsid w:val="00D65DAE"/>
    <w:rsid w:val="00D72C84"/>
    <w:rsid w:val="00D87235"/>
    <w:rsid w:val="00D87AA6"/>
    <w:rsid w:val="00DA1A4C"/>
    <w:rsid w:val="00DA54D5"/>
    <w:rsid w:val="00DA55A6"/>
    <w:rsid w:val="00DB04AB"/>
    <w:rsid w:val="00DC3F35"/>
    <w:rsid w:val="00DC4918"/>
    <w:rsid w:val="00DD1297"/>
    <w:rsid w:val="00DF153E"/>
    <w:rsid w:val="00E00154"/>
    <w:rsid w:val="00E067BD"/>
    <w:rsid w:val="00E079AD"/>
    <w:rsid w:val="00E27F61"/>
    <w:rsid w:val="00E51325"/>
    <w:rsid w:val="00E62E94"/>
    <w:rsid w:val="00E67ED6"/>
    <w:rsid w:val="00E72C1E"/>
    <w:rsid w:val="00E9227E"/>
    <w:rsid w:val="00E9684C"/>
    <w:rsid w:val="00EB01B9"/>
    <w:rsid w:val="00EB0B1B"/>
    <w:rsid w:val="00EB4D4C"/>
    <w:rsid w:val="00EC2FFD"/>
    <w:rsid w:val="00ED1D47"/>
    <w:rsid w:val="00ED2303"/>
    <w:rsid w:val="00EE56E8"/>
    <w:rsid w:val="00F0135A"/>
    <w:rsid w:val="00F13E4E"/>
    <w:rsid w:val="00F163F4"/>
    <w:rsid w:val="00F21E13"/>
    <w:rsid w:val="00F23779"/>
    <w:rsid w:val="00F271E3"/>
    <w:rsid w:val="00F375CD"/>
    <w:rsid w:val="00F461C1"/>
    <w:rsid w:val="00F643D4"/>
    <w:rsid w:val="00F76092"/>
    <w:rsid w:val="00F76351"/>
    <w:rsid w:val="00F8305B"/>
    <w:rsid w:val="00F87625"/>
    <w:rsid w:val="00F92E94"/>
    <w:rsid w:val="00F97C61"/>
    <w:rsid w:val="00FA0F23"/>
    <w:rsid w:val="00FA3007"/>
    <w:rsid w:val="00FA6D6E"/>
    <w:rsid w:val="00FB54BC"/>
    <w:rsid w:val="00FC6051"/>
    <w:rsid w:val="00FC740E"/>
    <w:rsid w:val="00FD1D52"/>
    <w:rsid w:val="00FD3562"/>
    <w:rsid w:val="00FF5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A7C2"/>
  <w15:chartTrackingRefBased/>
  <w15:docId w15:val="{80291D48-4314-284C-A610-9F2323A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24"/>
    <w:pPr>
      <w:spacing w:after="200" w:line="276" w:lineRule="auto"/>
      <w:jc w:val="both"/>
    </w:pPr>
    <w:rPr>
      <w:rFonts w:ascii="Times New Roman" w:hAnsi="Times New Roman"/>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03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nNotBavurusu">
    <w:name w:val="endnote reference"/>
    <w:basedOn w:val="VarsaylanParagrafYazTipi"/>
    <w:uiPriority w:val="99"/>
    <w:semiHidden/>
    <w:unhideWhenUsed/>
    <w:rsid w:val="004A3EF6"/>
  </w:style>
  <w:style w:type="paragraph" w:styleId="stBilgi">
    <w:name w:val="header"/>
    <w:basedOn w:val="Normal"/>
    <w:link w:val="stBilgiChar"/>
    <w:uiPriority w:val="99"/>
    <w:unhideWhenUsed/>
    <w:rsid w:val="00BD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4A0E"/>
    <w:rPr>
      <w:rFonts w:ascii="Times New Roman" w:hAnsi="Times New Roman"/>
      <w:szCs w:val="22"/>
    </w:rPr>
  </w:style>
  <w:style w:type="paragraph" w:styleId="AltBilgi">
    <w:name w:val="footer"/>
    <w:basedOn w:val="Normal"/>
    <w:link w:val="AltBilgiChar"/>
    <w:uiPriority w:val="99"/>
    <w:unhideWhenUsed/>
    <w:rsid w:val="00BD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4A0E"/>
    <w:rPr>
      <w:rFonts w:ascii="Times New Roman" w:hAnsi="Times New Roman"/>
      <w:szCs w:val="22"/>
    </w:rPr>
  </w:style>
  <w:style w:type="character" w:styleId="Kpr">
    <w:name w:val="Hyperlink"/>
    <w:basedOn w:val="VarsaylanParagrafYazTipi"/>
    <w:uiPriority w:val="99"/>
    <w:unhideWhenUsed/>
    <w:rsid w:val="002917F4"/>
    <w:rPr>
      <w:color w:val="0563C1" w:themeColor="hyperlink"/>
      <w:u w:val="single"/>
    </w:rPr>
  </w:style>
  <w:style w:type="character" w:styleId="zmlenmeyenBahsetme">
    <w:name w:val="Unresolved Mention"/>
    <w:basedOn w:val="VarsaylanParagrafYazTipi"/>
    <w:uiPriority w:val="99"/>
    <w:semiHidden/>
    <w:unhideWhenUsed/>
    <w:rsid w:val="0029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657">
      <w:bodyDiv w:val="1"/>
      <w:marLeft w:val="0"/>
      <w:marRight w:val="0"/>
      <w:marTop w:val="0"/>
      <w:marBottom w:val="0"/>
      <w:divBdr>
        <w:top w:val="none" w:sz="0" w:space="0" w:color="auto"/>
        <w:left w:val="none" w:sz="0" w:space="0" w:color="auto"/>
        <w:bottom w:val="none" w:sz="0" w:space="0" w:color="auto"/>
        <w:right w:val="none" w:sz="0" w:space="0" w:color="auto"/>
      </w:divBdr>
    </w:div>
    <w:div w:id="137233142">
      <w:bodyDiv w:val="1"/>
      <w:marLeft w:val="0"/>
      <w:marRight w:val="0"/>
      <w:marTop w:val="0"/>
      <w:marBottom w:val="0"/>
      <w:divBdr>
        <w:top w:val="none" w:sz="0" w:space="0" w:color="auto"/>
        <w:left w:val="none" w:sz="0" w:space="0" w:color="auto"/>
        <w:bottom w:val="none" w:sz="0" w:space="0" w:color="auto"/>
        <w:right w:val="none" w:sz="0" w:space="0" w:color="auto"/>
      </w:divBdr>
      <w:divsChild>
        <w:div w:id="1147237341">
          <w:marLeft w:val="0"/>
          <w:marRight w:val="0"/>
          <w:marTop w:val="0"/>
          <w:marBottom w:val="0"/>
          <w:divBdr>
            <w:top w:val="none" w:sz="0" w:space="0" w:color="auto"/>
            <w:left w:val="none" w:sz="0" w:space="0" w:color="auto"/>
            <w:bottom w:val="none" w:sz="0" w:space="0" w:color="auto"/>
            <w:right w:val="none" w:sz="0" w:space="0" w:color="auto"/>
          </w:divBdr>
          <w:divsChild>
            <w:div w:id="1123646498">
              <w:marLeft w:val="0"/>
              <w:marRight w:val="0"/>
              <w:marTop w:val="0"/>
              <w:marBottom w:val="0"/>
              <w:divBdr>
                <w:top w:val="none" w:sz="0" w:space="0" w:color="auto"/>
                <w:left w:val="none" w:sz="0" w:space="0" w:color="auto"/>
                <w:bottom w:val="none" w:sz="0" w:space="0" w:color="auto"/>
                <w:right w:val="none" w:sz="0" w:space="0" w:color="auto"/>
              </w:divBdr>
              <w:divsChild>
                <w:div w:id="960889090">
                  <w:marLeft w:val="0"/>
                  <w:marRight w:val="0"/>
                  <w:marTop w:val="0"/>
                  <w:marBottom w:val="0"/>
                  <w:divBdr>
                    <w:top w:val="none" w:sz="0" w:space="0" w:color="auto"/>
                    <w:left w:val="none" w:sz="0" w:space="0" w:color="auto"/>
                    <w:bottom w:val="none" w:sz="0" w:space="0" w:color="auto"/>
                    <w:right w:val="none" w:sz="0" w:space="0" w:color="auto"/>
                  </w:divBdr>
                  <w:divsChild>
                    <w:div w:id="1544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66692">
      <w:bodyDiv w:val="1"/>
      <w:marLeft w:val="0"/>
      <w:marRight w:val="0"/>
      <w:marTop w:val="0"/>
      <w:marBottom w:val="0"/>
      <w:divBdr>
        <w:top w:val="none" w:sz="0" w:space="0" w:color="auto"/>
        <w:left w:val="none" w:sz="0" w:space="0" w:color="auto"/>
        <w:bottom w:val="none" w:sz="0" w:space="0" w:color="auto"/>
        <w:right w:val="none" w:sz="0" w:space="0" w:color="auto"/>
      </w:divBdr>
    </w:div>
    <w:div w:id="249240104">
      <w:bodyDiv w:val="1"/>
      <w:marLeft w:val="0"/>
      <w:marRight w:val="0"/>
      <w:marTop w:val="0"/>
      <w:marBottom w:val="0"/>
      <w:divBdr>
        <w:top w:val="none" w:sz="0" w:space="0" w:color="auto"/>
        <w:left w:val="none" w:sz="0" w:space="0" w:color="auto"/>
        <w:bottom w:val="none" w:sz="0" w:space="0" w:color="auto"/>
        <w:right w:val="none" w:sz="0" w:space="0" w:color="auto"/>
      </w:divBdr>
    </w:div>
    <w:div w:id="277954759">
      <w:bodyDiv w:val="1"/>
      <w:marLeft w:val="0"/>
      <w:marRight w:val="0"/>
      <w:marTop w:val="0"/>
      <w:marBottom w:val="0"/>
      <w:divBdr>
        <w:top w:val="none" w:sz="0" w:space="0" w:color="auto"/>
        <w:left w:val="none" w:sz="0" w:space="0" w:color="auto"/>
        <w:bottom w:val="none" w:sz="0" w:space="0" w:color="auto"/>
        <w:right w:val="none" w:sz="0" w:space="0" w:color="auto"/>
      </w:divBdr>
    </w:div>
    <w:div w:id="330104969">
      <w:bodyDiv w:val="1"/>
      <w:marLeft w:val="0"/>
      <w:marRight w:val="0"/>
      <w:marTop w:val="0"/>
      <w:marBottom w:val="0"/>
      <w:divBdr>
        <w:top w:val="none" w:sz="0" w:space="0" w:color="auto"/>
        <w:left w:val="none" w:sz="0" w:space="0" w:color="auto"/>
        <w:bottom w:val="none" w:sz="0" w:space="0" w:color="auto"/>
        <w:right w:val="none" w:sz="0" w:space="0" w:color="auto"/>
      </w:divBdr>
    </w:div>
    <w:div w:id="352658773">
      <w:bodyDiv w:val="1"/>
      <w:marLeft w:val="0"/>
      <w:marRight w:val="0"/>
      <w:marTop w:val="0"/>
      <w:marBottom w:val="0"/>
      <w:divBdr>
        <w:top w:val="none" w:sz="0" w:space="0" w:color="auto"/>
        <w:left w:val="none" w:sz="0" w:space="0" w:color="auto"/>
        <w:bottom w:val="none" w:sz="0" w:space="0" w:color="auto"/>
        <w:right w:val="none" w:sz="0" w:space="0" w:color="auto"/>
      </w:divBdr>
    </w:div>
    <w:div w:id="385763816">
      <w:bodyDiv w:val="1"/>
      <w:marLeft w:val="0"/>
      <w:marRight w:val="0"/>
      <w:marTop w:val="0"/>
      <w:marBottom w:val="0"/>
      <w:divBdr>
        <w:top w:val="none" w:sz="0" w:space="0" w:color="auto"/>
        <w:left w:val="none" w:sz="0" w:space="0" w:color="auto"/>
        <w:bottom w:val="none" w:sz="0" w:space="0" w:color="auto"/>
        <w:right w:val="none" w:sz="0" w:space="0" w:color="auto"/>
      </w:divBdr>
    </w:div>
    <w:div w:id="525020057">
      <w:bodyDiv w:val="1"/>
      <w:marLeft w:val="0"/>
      <w:marRight w:val="0"/>
      <w:marTop w:val="0"/>
      <w:marBottom w:val="0"/>
      <w:divBdr>
        <w:top w:val="none" w:sz="0" w:space="0" w:color="auto"/>
        <w:left w:val="none" w:sz="0" w:space="0" w:color="auto"/>
        <w:bottom w:val="none" w:sz="0" w:space="0" w:color="auto"/>
        <w:right w:val="none" w:sz="0" w:space="0" w:color="auto"/>
      </w:divBdr>
    </w:div>
    <w:div w:id="531919376">
      <w:bodyDiv w:val="1"/>
      <w:marLeft w:val="0"/>
      <w:marRight w:val="0"/>
      <w:marTop w:val="0"/>
      <w:marBottom w:val="0"/>
      <w:divBdr>
        <w:top w:val="none" w:sz="0" w:space="0" w:color="auto"/>
        <w:left w:val="none" w:sz="0" w:space="0" w:color="auto"/>
        <w:bottom w:val="none" w:sz="0" w:space="0" w:color="auto"/>
        <w:right w:val="none" w:sz="0" w:space="0" w:color="auto"/>
      </w:divBdr>
    </w:div>
    <w:div w:id="539826306">
      <w:bodyDiv w:val="1"/>
      <w:marLeft w:val="0"/>
      <w:marRight w:val="0"/>
      <w:marTop w:val="0"/>
      <w:marBottom w:val="0"/>
      <w:divBdr>
        <w:top w:val="none" w:sz="0" w:space="0" w:color="auto"/>
        <w:left w:val="none" w:sz="0" w:space="0" w:color="auto"/>
        <w:bottom w:val="none" w:sz="0" w:space="0" w:color="auto"/>
        <w:right w:val="none" w:sz="0" w:space="0" w:color="auto"/>
      </w:divBdr>
    </w:div>
    <w:div w:id="601649802">
      <w:bodyDiv w:val="1"/>
      <w:marLeft w:val="0"/>
      <w:marRight w:val="0"/>
      <w:marTop w:val="0"/>
      <w:marBottom w:val="0"/>
      <w:divBdr>
        <w:top w:val="none" w:sz="0" w:space="0" w:color="auto"/>
        <w:left w:val="none" w:sz="0" w:space="0" w:color="auto"/>
        <w:bottom w:val="none" w:sz="0" w:space="0" w:color="auto"/>
        <w:right w:val="none" w:sz="0" w:space="0" w:color="auto"/>
      </w:divBdr>
    </w:div>
    <w:div w:id="653994366">
      <w:bodyDiv w:val="1"/>
      <w:marLeft w:val="0"/>
      <w:marRight w:val="0"/>
      <w:marTop w:val="0"/>
      <w:marBottom w:val="0"/>
      <w:divBdr>
        <w:top w:val="none" w:sz="0" w:space="0" w:color="auto"/>
        <w:left w:val="none" w:sz="0" w:space="0" w:color="auto"/>
        <w:bottom w:val="none" w:sz="0" w:space="0" w:color="auto"/>
        <w:right w:val="none" w:sz="0" w:space="0" w:color="auto"/>
      </w:divBdr>
    </w:div>
    <w:div w:id="733236688">
      <w:bodyDiv w:val="1"/>
      <w:marLeft w:val="0"/>
      <w:marRight w:val="0"/>
      <w:marTop w:val="0"/>
      <w:marBottom w:val="0"/>
      <w:divBdr>
        <w:top w:val="none" w:sz="0" w:space="0" w:color="auto"/>
        <w:left w:val="none" w:sz="0" w:space="0" w:color="auto"/>
        <w:bottom w:val="none" w:sz="0" w:space="0" w:color="auto"/>
        <w:right w:val="none" w:sz="0" w:space="0" w:color="auto"/>
      </w:divBdr>
    </w:div>
    <w:div w:id="747966386">
      <w:bodyDiv w:val="1"/>
      <w:marLeft w:val="0"/>
      <w:marRight w:val="0"/>
      <w:marTop w:val="0"/>
      <w:marBottom w:val="0"/>
      <w:divBdr>
        <w:top w:val="none" w:sz="0" w:space="0" w:color="auto"/>
        <w:left w:val="none" w:sz="0" w:space="0" w:color="auto"/>
        <w:bottom w:val="none" w:sz="0" w:space="0" w:color="auto"/>
        <w:right w:val="none" w:sz="0" w:space="0" w:color="auto"/>
      </w:divBdr>
    </w:div>
    <w:div w:id="770665405">
      <w:bodyDiv w:val="1"/>
      <w:marLeft w:val="0"/>
      <w:marRight w:val="0"/>
      <w:marTop w:val="0"/>
      <w:marBottom w:val="0"/>
      <w:divBdr>
        <w:top w:val="none" w:sz="0" w:space="0" w:color="auto"/>
        <w:left w:val="none" w:sz="0" w:space="0" w:color="auto"/>
        <w:bottom w:val="none" w:sz="0" w:space="0" w:color="auto"/>
        <w:right w:val="none" w:sz="0" w:space="0" w:color="auto"/>
      </w:divBdr>
    </w:div>
    <w:div w:id="880169998">
      <w:bodyDiv w:val="1"/>
      <w:marLeft w:val="0"/>
      <w:marRight w:val="0"/>
      <w:marTop w:val="0"/>
      <w:marBottom w:val="0"/>
      <w:divBdr>
        <w:top w:val="none" w:sz="0" w:space="0" w:color="auto"/>
        <w:left w:val="none" w:sz="0" w:space="0" w:color="auto"/>
        <w:bottom w:val="none" w:sz="0" w:space="0" w:color="auto"/>
        <w:right w:val="none" w:sz="0" w:space="0" w:color="auto"/>
      </w:divBdr>
    </w:div>
    <w:div w:id="1015228288">
      <w:bodyDiv w:val="1"/>
      <w:marLeft w:val="0"/>
      <w:marRight w:val="0"/>
      <w:marTop w:val="0"/>
      <w:marBottom w:val="0"/>
      <w:divBdr>
        <w:top w:val="none" w:sz="0" w:space="0" w:color="auto"/>
        <w:left w:val="none" w:sz="0" w:space="0" w:color="auto"/>
        <w:bottom w:val="none" w:sz="0" w:space="0" w:color="auto"/>
        <w:right w:val="none" w:sz="0" w:space="0" w:color="auto"/>
      </w:divBdr>
    </w:div>
    <w:div w:id="1017000068">
      <w:bodyDiv w:val="1"/>
      <w:marLeft w:val="0"/>
      <w:marRight w:val="0"/>
      <w:marTop w:val="0"/>
      <w:marBottom w:val="0"/>
      <w:divBdr>
        <w:top w:val="none" w:sz="0" w:space="0" w:color="auto"/>
        <w:left w:val="none" w:sz="0" w:space="0" w:color="auto"/>
        <w:bottom w:val="none" w:sz="0" w:space="0" w:color="auto"/>
        <w:right w:val="none" w:sz="0" w:space="0" w:color="auto"/>
      </w:divBdr>
    </w:div>
    <w:div w:id="1126317471">
      <w:bodyDiv w:val="1"/>
      <w:marLeft w:val="0"/>
      <w:marRight w:val="0"/>
      <w:marTop w:val="0"/>
      <w:marBottom w:val="0"/>
      <w:divBdr>
        <w:top w:val="none" w:sz="0" w:space="0" w:color="auto"/>
        <w:left w:val="none" w:sz="0" w:space="0" w:color="auto"/>
        <w:bottom w:val="none" w:sz="0" w:space="0" w:color="auto"/>
        <w:right w:val="none" w:sz="0" w:space="0" w:color="auto"/>
      </w:divBdr>
    </w:div>
    <w:div w:id="1165242791">
      <w:bodyDiv w:val="1"/>
      <w:marLeft w:val="0"/>
      <w:marRight w:val="0"/>
      <w:marTop w:val="0"/>
      <w:marBottom w:val="0"/>
      <w:divBdr>
        <w:top w:val="none" w:sz="0" w:space="0" w:color="auto"/>
        <w:left w:val="none" w:sz="0" w:space="0" w:color="auto"/>
        <w:bottom w:val="none" w:sz="0" w:space="0" w:color="auto"/>
        <w:right w:val="none" w:sz="0" w:space="0" w:color="auto"/>
      </w:divBdr>
    </w:div>
    <w:div w:id="1222207583">
      <w:bodyDiv w:val="1"/>
      <w:marLeft w:val="0"/>
      <w:marRight w:val="0"/>
      <w:marTop w:val="0"/>
      <w:marBottom w:val="0"/>
      <w:divBdr>
        <w:top w:val="none" w:sz="0" w:space="0" w:color="auto"/>
        <w:left w:val="none" w:sz="0" w:space="0" w:color="auto"/>
        <w:bottom w:val="none" w:sz="0" w:space="0" w:color="auto"/>
        <w:right w:val="none" w:sz="0" w:space="0" w:color="auto"/>
      </w:divBdr>
    </w:div>
    <w:div w:id="1357124639">
      <w:bodyDiv w:val="1"/>
      <w:marLeft w:val="0"/>
      <w:marRight w:val="0"/>
      <w:marTop w:val="0"/>
      <w:marBottom w:val="0"/>
      <w:divBdr>
        <w:top w:val="none" w:sz="0" w:space="0" w:color="auto"/>
        <w:left w:val="none" w:sz="0" w:space="0" w:color="auto"/>
        <w:bottom w:val="none" w:sz="0" w:space="0" w:color="auto"/>
        <w:right w:val="none" w:sz="0" w:space="0" w:color="auto"/>
      </w:divBdr>
    </w:div>
    <w:div w:id="1364210339">
      <w:bodyDiv w:val="1"/>
      <w:marLeft w:val="0"/>
      <w:marRight w:val="0"/>
      <w:marTop w:val="0"/>
      <w:marBottom w:val="0"/>
      <w:divBdr>
        <w:top w:val="none" w:sz="0" w:space="0" w:color="auto"/>
        <w:left w:val="none" w:sz="0" w:space="0" w:color="auto"/>
        <w:bottom w:val="none" w:sz="0" w:space="0" w:color="auto"/>
        <w:right w:val="none" w:sz="0" w:space="0" w:color="auto"/>
      </w:divBdr>
      <w:divsChild>
        <w:div w:id="825437006">
          <w:marLeft w:val="0"/>
          <w:marRight w:val="0"/>
          <w:marTop w:val="0"/>
          <w:marBottom w:val="0"/>
          <w:divBdr>
            <w:top w:val="none" w:sz="0" w:space="0" w:color="auto"/>
            <w:left w:val="none" w:sz="0" w:space="0" w:color="auto"/>
            <w:bottom w:val="none" w:sz="0" w:space="0" w:color="auto"/>
            <w:right w:val="none" w:sz="0" w:space="0" w:color="auto"/>
          </w:divBdr>
          <w:divsChild>
            <w:div w:id="2057199534">
              <w:marLeft w:val="0"/>
              <w:marRight w:val="0"/>
              <w:marTop w:val="0"/>
              <w:marBottom w:val="0"/>
              <w:divBdr>
                <w:top w:val="none" w:sz="0" w:space="0" w:color="auto"/>
                <w:left w:val="none" w:sz="0" w:space="0" w:color="auto"/>
                <w:bottom w:val="none" w:sz="0" w:space="0" w:color="auto"/>
                <w:right w:val="none" w:sz="0" w:space="0" w:color="auto"/>
              </w:divBdr>
              <w:divsChild>
                <w:div w:id="1520008144">
                  <w:marLeft w:val="0"/>
                  <w:marRight w:val="0"/>
                  <w:marTop w:val="0"/>
                  <w:marBottom w:val="0"/>
                  <w:divBdr>
                    <w:top w:val="none" w:sz="0" w:space="0" w:color="auto"/>
                    <w:left w:val="none" w:sz="0" w:space="0" w:color="auto"/>
                    <w:bottom w:val="none" w:sz="0" w:space="0" w:color="auto"/>
                    <w:right w:val="none" w:sz="0" w:space="0" w:color="auto"/>
                  </w:divBdr>
                  <w:divsChild>
                    <w:div w:id="3748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3607">
      <w:bodyDiv w:val="1"/>
      <w:marLeft w:val="0"/>
      <w:marRight w:val="0"/>
      <w:marTop w:val="0"/>
      <w:marBottom w:val="0"/>
      <w:divBdr>
        <w:top w:val="none" w:sz="0" w:space="0" w:color="auto"/>
        <w:left w:val="none" w:sz="0" w:space="0" w:color="auto"/>
        <w:bottom w:val="none" w:sz="0" w:space="0" w:color="auto"/>
        <w:right w:val="none" w:sz="0" w:space="0" w:color="auto"/>
      </w:divBdr>
    </w:div>
    <w:div w:id="1550678667">
      <w:bodyDiv w:val="1"/>
      <w:marLeft w:val="0"/>
      <w:marRight w:val="0"/>
      <w:marTop w:val="0"/>
      <w:marBottom w:val="0"/>
      <w:divBdr>
        <w:top w:val="none" w:sz="0" w:space="0" w:color="auto"/>
        <w:left w:val="none" w:sz="0" w:space="0" w:color="auto"/>
        <w:bottom w:val="none" w:sz="0" w:space="0" w:color="auto"/>
        <w:right w:val="none" w:sz="0" w:space="0" w:color="auto"/>
      </w:divBdr>
    </w:div>
    <w:div w:id="1562714404">
      <w:bodyDiv w:val="1"/>
      <w:marLeft w:val="0"/>
      <w:marRight w:val="0"/>
      <w:marTop w:val="0"/>
      <w:marBottom w:val="0"/>
      <w:divBdr>
        <w:top w:val="none" w:sz="0" w:space="0" w:color="auto"/>
        <w:left w:val="none" w:sz="0" w:space="0" w:color="auto"/>
        <w:bottom w:val="none" w:sz="0" w:space="0" w:color="auto"/>
        <w:right w:val="none" w:sz="0" w:space="0" w:color="auto"/>
      </w:divBdr>
    </w:div>
    <w:div w:id="1572539333">
      <w:bodyDiv w:val="1"/>
      <w:marLeft w:val="0"/>
      <w:marRight w:val="0"/>
      <w:marTop w:val="0"/>
      <w:marBottom w:val="0"/>
      <w:divBdr>
        <w:top w:val="none" w:sz="0" w:space="0" w:color="auto"/>
        <w:left w:val="none" w:sz="0" w:space="0" w:color="auto"/>
        <w:bottom w:val="none" w:sz="0" w:space="0" w:color="auto"/>
        <w:right w:val="none" w:sz="0" w:space="0" w:color="auto"/>
      </w:divBdr>
    </w:div>
    <w:div w:id="1595700377">
      <w:bodyDiv w:val="1"/>
      <w:marLeft w:val="0"/>
      <w:marRight w:val="0"/>
      <w:marTop w:val="0"/>
      <w:marBottom w:val="0"/>
      <w:divBdr>
        <w:top w:val="none" w:sz="0" w:space="0" w:color="auto"/>
        <w:left w:val="none" w:sz="0" w:space="0" w:color="auto"/>
        <w:bottom w:val="none" w:sz="0" w:space="0" w:color="auto"/>
        <w:right w:val="none" w:sz="0" w:space="0" w:color="auto"/>
      </w:divBdr>
    </w:div>
    <w:div w:id="1606578778">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56376602">
      <w:bodyDiv w:val="1"/>
      <w:marLeft w:val="0"/>
      <w:marRight w:val="0"/>
      <w:marTop w:val="0"/>
      <w:marBottom w:val="0"/>
      <w:divBdr>
        <w:top w:val="none" w:sz="0" w:space="0" w:color="auto"/>
        <w:left w:val="none" w:sz="0" w:space="0" w:color="auto"/>
        <w:bottom w:val="none" w:sz="0" w:space="0" w:color="auto"/>
        <w:right w:val="none" w:sz="0" w:space="0" w:color="auto"/>
      </w:divBdr>
    </w:div>
    <w:div w:id="1666780685">
      <w:bodyDiv w:val="1"/>
      <w:marLeft w:val="0"/>
      <w:marRight w:val="0"/>
      <w:marTop w:val="0"/>
      <w:marBottom w:val="0"/>
      <w:divBdr>
        <w:top w:val="none" w:sz="0" w:space="0" w:color="auto"/>
        <w:left w:val="none" w:sz="0" w:space="0" w:color="auto"/>
        <w:bottom w:val="none" w:sz="0" w:space="0" w:color="auto"/>
        <w:right w:val="none" w:sz="0" w:space="0" w:color="auto"/>
      </w:divBdr>
    </w:div>
    <w:div w:id="1717310466">
      <w:bodyDiv w:val="1"/>
      <w:marLeft w:val="0"/>
      <w:marRight w:val="0"/>
      <w:marTop w:val="0"/>
      <w:marBottom w:val="0"/>
      <w:divBdr>
        <w:top w:val="none" w:sz="0" w:space="0" w:color="auto"/>
        <w:left w:val="none" w:sz="0" w:space="0" w:color="auto"/>
        <w:bottom w:val="none" w:sz="0" w:space="0" w:color="auto"/>
        <w:right w:val="none" w:sz="0" w:space="0" w:color="auto"/>
      </w:divBdr>
    </w:div>
    <w:div w:id="1717856769">
      <w:bodyDiv w:val="1"/>
      <w:marLeft w:val="0"/>
      <w:marRight w:val="0"/>
      <w:marTop w:val="0"/>
      <w:marBottom w:val="0"/>
      <w:divBdr>
        <w:top w:val="none" w:sz="0" w:space="0" w:color="auto"/>
        <w:left w:val="none" w:sz="0" w:space="0" w:color="auto"/>
        <w:bottom w:val="none" w:sz="0" w:space="0" w:color="auto"/>
        <w:right w:val="none" w:sz="0" w:space="0" w:color="auto"/>
      </w:divBdr>
    </w:div>
    <w:div w:id="1841463212">
      <w:bodyDiv w:val="1"/>
      <w:marLeft w:val="0"/>
      <w:marRight w:val="0"/>
      <w:marTop w:val="0"/>
      <w:marBottom w:val="0"/>
      <w:divBdr>
        <w:top w:val="none" w:sz="0" w:space="0" w:color="auto"/>
        <w:left w:val="none" w:sz="0" w:space="0" w:color="auto"/>
        <w:bottom w:val="none" w:sz="0" w:space="0" w:color="auto"/>
        <w:right w:val="none" w:sz="0" w:space="0" w:color="auto"/>
      </w:divBdr>
    </w:div>
    <w:div w:id="1980761337">
      <w:bodyDiv w:val="1"/>
      <w:marLeft w:val="0"/>
      <w:marRight w:val="0"/>
      <w:marTop w:val="0"/>
      <w:marBottom w:val="0"/>
      <w:divBdr>
        <w:top w:val="none" w:sz="0" w:space="0" w:color="auto"/>
        <w:left w:val="none" w:sz="0" w:space="0" w:color="auto"/>
        <w:bottom w:val="none" w:sz="0" w:space="0" w:color="auto"/>
        <w:right w:val="none" w:sz="0" w:space="0" w:color="auto"/>
      </w:divBdr>
    </w:div>
    <w:div w:id="1986620016">
      <w:bodyDiv w:val="1"/>
      <w:marLeft w:val="0"/>
      <w:marRight w:val="0"/>
      <w:marTop w:val="0"/>
      <w:marBottom w:val="0"/>
      <w:divBdr>
        <w:top w:val="none" w:sz="0" w:space="0" w:color="auto"/>
        <w:left w:val="none" w:sz="0" w:space="0" w:color="auto"/>
        <w:bottom w:val="none" w:sz="0" w:space="0" w:color="auto"/>
        <w:right w:val="none" w:sz="0" w:space="0" w:color="auto"/>
      </w:divBdr>
    </w:div>
    <w:div w:id="2020618800">
      <w:bodyDiv w:val="1"/>
      <w:marLeft w:val="0"/>
      <w:marRight w:val="0"/>
      <w:marTop w:val="0"/>
      <w:marBottom w:val="0"/>
      <w:divBdr>
        <w:top w:val="none" w:sz="0" w:space="0" w:color="auto"/>
        <w:left w:val="none" w:sz="0" w:space="0" w:color="auto"/>
        <w:bottom w:val="none" w:sz="0" w:space="0" w:color="auto"/>
        <w:right w:val="none" w:sz="0" w:space="0" w:color="auto"/>
      </w:divBdr>
    </w:div>
    <w:div w:id="2079085626">
      <w:bodyDiv w:val="1"/>
      <w:marLeft w:val="0"/>
      <w:marRight w:val="0"/>
      <w:marTop w:val="0"/>
      <w:marBottom w:val="0"/>
      <w:divBdr>
        <w:top w:val="none" w:sz="0" w:space="0" w:color="auto"/>
        <w:left w:val="none" w:sz="0" w:space="0" w:color="auto"/>
        <w:bottom w:val="none" w:sz="0" w:space="0" w:color="auto"/>
        <w:right w:val="none" w:sz="0" w:space="0" w:color="auto"/>
      </w:divBdr>
    </w:div>
    <w:div w:id="20879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32B1-6F4A-3C45-84B9-B79EE54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21063</Words>
  <Characters>120064</Characters>
  <Application>Microsoft Office Word</Application>
  <DocSecurity>0</DocSecurity>
  <Lines>1000</Lines>
  <Paragraphs>281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 Ayribas</dc:creator>
  <cp:keywords/>
  <dc:description/>
  <cp:lastModifiedBy>Emre .</cp:lastModifiedBy>
  <cp:revision>3</cp:revision>
  <dcterms:created xsi:type="dcterms:W3CDTF">2022-05-17T20:49:00Z</dcterms:created>
  <dcterms:modified xsi:type="dcterms:W3CDTF">2022-05-19T11:02:00Z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http://www.zotero.org/styles/asian-journal-of-psychiatry</vt:lpwstr>
  </property>
  <property fmtid="{D5CDD505-2E9C-101B-9397-08002B2CF9AE}" pid="9" name="Mendeley Recent Style Name 3_1">
    <vt:lpwstr>Asian Journal of Psychiatry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http://www.zotero.org/styles/national-library-of-medicine-brackets-no-et-al</vt:lpwstr>
  </property>
  <property fmtid="{D5CDD505-2E9C-101B-9397-08002B2CF9AE}" pid="13" name="Mendeley Recent Style Name 5_1">
    <vt:lpwstr>National Library of Medicine (brackets, no "et al.")</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38a4be06-049e-3751-8a8d-66791283ddb0</vt:lpwstr>
  </property>
  <property fmtid="{D5CDD505-2E9C-101B-9397-08002B2CF9AE}" pid="24" name="Mendeley Citation Style_1">
    <vt:lpwstr>http://www.zotero.org/styles/apa</vt:lpwstr>
  </property>
</Properties>
</file>